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1.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drawings/drawing1.xml" ContentType="application/vnd.openxmlformats-officedocument.drawingml.chartshapes+xml"/>
  <Override PartName="/word/charts/chart47.xml" ContentType="application/vnd.openxmlformats-officedocument.drawingml.chart+xml"/>
  <Override PartName="/word/drawings/drawing2.xml" ContentType="application/vnd.openxmlformats-officedocument.drawingml.chartshapes+xml"/>
  <Override PartName="/word/charts/chart48.xml" ContentType="application/vnd.openxmlformats-officedocument.drawingml.chart+xml"/>
  <Override PartName="/word/drawings/drawing3.xml" ContentType="application/vnd.openxmlformats-officedocument.drawingml.chartshapes+xml"/>
  <Override PartName="/word/charts/chart49.xml" ContentType="application/vnd.openxmlformats-officedocument.drawingml.chart+xml"/>
  <Override PartName="/word/drawings/drawing4.xml" ContentType="application/vnd.openxmlformats-officedocument.drawingml.chartshapes+xml"/>
  <Override PartName="/word/charts/chart50.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E3" w:rsidRPr="00617833" w:rsidRDefault="00F77C96" w:rsidP="0063568D">
      <w:pPr>
        <w:pStyle w:val="Ttulo1"/>
        <w:jc w:val="center"/>
        <w:rPr>
          <w:rFonts w:ascii="Verdana" w:hAnsi="Verdana"/>
          <w:color w:val="333399"/>
        </w:rPr>
      </w:pPr>
      <w:r>
        <w:rPr>
          <w:rFonts w:ascii="Verdana" w:hAnsi="Verdana"/>
          <w:color w:val="333399"/>
        </w:rPr>
        <w:t xml:space="preserve"> </w:t>
      </w:r>
      <w:r w:rsidR="001B4EE3" w:rsidRPr="00CE214A">
        <w:rPr>
          <w:rFonts w:ascii="Verdana" w:hAnsi="Verdana"/>
          <w:color w:val="333399"/>
        </w:rPr>
        <w:t xml:space="preserve">Panorámica </w:t>
      </w:r>
      <w:r w:rsidR="001B4EE3" w:rsidRPr="00617833">
        <w:rPr>
          <w:rFonts w:ascii="Verdana" w:hAnsi="Verdana"/>
          <w:color w:val="333399"/>
        </w:rPr>
        <w:t xml:space="preserve">de la JUsticia durante </w:t>
      </w:r>
      <w:r w:rsidR="00336306" w:rsidRPr="00617833">
        <w:rPr>
          <w:rFonts w:ascii="Verdana" w:hAnsi="Verdana"/>
          <w:color w:val="333399"/>
        </w:rPr>
        <w:t>201</w:t>
      </w:r>
      <w:r w:rsidR="003B10C0" w:rsidRPr="00617833">
        <w:rPr>
          <w:rFonts w:ascii="Verdana" w:hAnsi="Verdana"/>
          <w:color w:val="333399"/>
        </w:rPr>
        <w:t>7</w:t>
      </w:r>
    </w:p>
    <w:p w:rsidR="001B4EE3" w:rsidRPr="00617833" w:rsidRDefault="001B4EE3">
      <w:pPr>
        <w:pStyle w:val="Textoindependiente"/>
        <w:rPr>
          <w:rFonts w:ascii="Verdana" w:hAnsi="Verdana"/>
          <w:color w:val="333399"/>
        </w:rPr>
      </w:pPr>
    </w:p>
    <w:p w:rsidR="00537BBA" w:rsidRPr="00617833" w:rsidRDefault="00537BBA">
      <w:pPr>
        <w:pStyle w:val="Textoindependiente"/>
        <w:rPr>
          <w:rFonts w:ascii="Verdana" w:hAnsi="Verdana"/>
          <w:color w:val="333399"/>
        </w:rPr>
      </w:pPr>
    </w:p>
    <w:p w:rsidR="001B4EE3" w:rsidRPr="00617833" w:rsidRDefault="001B4EE3">
      <w:pPr>
        <w:pStyle w:val="Ttulo2"/>
        <w:numPr>
          <w:ilvl w:val="0"/>
          <w:numId w:val="4"/>
        </w:numPr>
        <w:rPr>
          <w:rFonts w:ascii="Verdana" w:hAnsi="Verdana"/>
          <w:color w:val="333399"/>
        </w:rPr>
      </w:pPr>
      <w:r w:rsidRPr="00617833">
        <w:rPr>
          <w:rFonts w:ascii="Verdana" w:hAnsi="Verdana"/>
          <w:color w:val="333399"/>
        </w:rPr>
        <w:t xml:space="preserve">Visión de conjunto </w:t>
      </w:r>
    </w:p>
    <w:p w:rsidR="003B10C0" w:rsidRPr="00617833" w:rsidRDefault="005B698C" w:rsidP="002E5A6D">
      <w:pPr>
        <w:pStyle w:val="Textoindependiente"/>
        <w:spacing w:before="120" w:after="120"/>
        <w:ind w:firstLine="357"/>
        <w:rPr>
          <w:rFonts w:ascii="Verdana" w:hAnsi="Verdana"/>
          <w:sz w:val="20"/>
        </w:rPr>
      </w:pPr>
      <w:r w:rsidRPr="00617833">
        <w:rPr>
          <w:rFonts w:ascii="Verdana" w:hAnsi="Verdana"/>
          <w:sz w:val="20"/>
        </w:rPr>
        <w:t>E</w:t>
      </w:r>
      <w:r w:rsidR="003B10C0" w:rsidRPr="00617833">
        <w:rPr>
          <w:rFonts w:ascii="Verdana" w:hAnsi="Verdana"/>
          <w:sz w:val="20"/>
        </w:rPr>
        <w:t>n el año 2017 ingresaron en el conjunto de los órganos judiciales españoles</w:t>
      </w:r>
      <w:r w:rsidRPr="00617833">
        <w:rPr>
          <w:rFonts w:ascii="Verdana" w:hAnsi="Verdana"/>
          <w:sz w:val="20"/>
        </w:rPr>
        <w:t xml:space="preserve"> </w:t>
      </w:r>
      <w:r w:rsidR="003B10C0" w:rsidRPr="00617833">
        <w:rPr>
          <w:rFonts w:ascii="Verdana" w:hAnsi="Verdana"/>
          <w:sz w:val="20"/>
        </w:rPr>
        <w:t>5.873.689 asuntos, un 1,1% más que los ingresados en 2016.</w:t>
      </w:r>
    </w:p>
    <w:p w:rsidR="002E5A6D" w:rsidRPr="00617833" w:rsidRDefault="002E5A6D" w:rsidP="002E5A6D">
      <w:pPr>
        <w:pStyle w:val="Textoindependiente"/>
        <w:spacing w:before="120" w:after="120"/>
        <w:ind w:firstLine="357"/>
        <w:rPr>
          <w:rFonts w:ascii="Verdana" w:hAnsi="Verdana"/>
          <w:sz w:val="20"/>
        </w:rPr>
      </w:pPr>
    </w:p>
    <w:p w:rsidR="002E5A6D" w:rsidRPr="00617833" w:rsidRDefault="00576F57" w:rsidP="002E5A6D">
      <w:pPr>
        <w:pStyle w:val="Textoindependiente"/>
        <w:spacing w:before="120" w:after="120"/>
        <w:ind w:firstLine="357"/>
        <w:rPr>
          <w:rFonts w:ascii="Verdana" w:hAnsi="Verdana"/>
          <w:sz w:val="20"/>
        </w:rPr>
      </w:pPr>
      <w:r w:rsidRPr="00617833">
        <w:rPr>
          <w:rFonts w:ascii="Verdana" w:hAnsi="Verdana"/>
          <w:sz w:val="20"/>
        </w:rPr>
        <w:t xml:space="preserve"> </w:t>
      </w:r>
      <w:r w:rsidR="002E5A6D" w:rsidRPr="00617833">
        <w:rPr>
          <w:rFonts w:ascii="Verdana" w:hAnsi="Verdana"/>
          <w:sz w:val="20"/>
        </w:rPr>
        <w:t xml:space="preserve">Mientras que en la jurisdicción penal se ha observado una disminución interanual del 4% en los asuntos ingresados, y en la contenciosa del 0,1%, la jurisdicción social ha aumentado un 5,8% y la civil, como consecuencia principalmente de las demandas relacionadas con  acciones individuales sobre condiciones generales incluidas en contratos de financiación con garantías reales inmobiliarias cuyo prestatario sea una persona física, ha aumentado su ingreso un </w:t>
      </w:r>
      <w:r w:rsidR="00B0504A" w:rsidRPr="00617833">
        <w:rPr>
          <w:rFonts w:ascii="Verdana" w:hAnsi="Verdana"/>
          <w:sz w:val="20"/>
        </w:rPr>
        <w:t>9</w:t>
      </w:r>
      <w:r w:rsidR="002E5A6D" w:rsidRPr="00617833">
        <w:rPr>
          <w:rFonts w:ascii="Verdana" w:hAnsi="Verdana"/>
          <w:sz w:val="20"/>
        </w:rPr>
        <w:t>,2%.</w:t>
      </w:r>
    </w:p>
    <w:p w:rsidR="00CF7CBA" w:rsidRPr="00617833" w:rsidRDefault="003B10C0" w:rsidP="00CF7CBA">
      <w:pPr>
        <w:pStyle w:val="Textoindependiente"/>
        <w:spacing w:before="120" w:after="120"/>
        <w:ind w:firstLine="357"/>
        <w:jc w:val="center"/>
        <w:rPr>
          <w:rFonts w:ascii="Verdana" w:hAnsi="Verdana"/>
        </w:rPr>
      </w:pPr>
      <w:r w:rsidRPr="00617833">
        <w:rPr>
          <w:noProof/>
        </w:rPr>
        <w:drawing>
          <wp:inline distT="0" distB="0" distL="0" distR="0" wp14:anchorId="69DE209B" wp14:editId="0995BBF2">
            <wp:extent cx="5000625" cy="28098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F57" w:rsidRPr="00617833" w:rsidRDefault="002E5A6D">
      <w:pPr>
        <w:pStyle w:val="Textoindependiente"/>
        <w:spacing w:before="120" w:after="120"/>
        <w:ind w:firstLine="357"/>
        <w:rPr>
          <w:rFonts w:ascii="Verdana" w:hAnsi="Verdana"/>
          <w:sz w:val="20"/>
        </w:rPr>
      </w:pPr>
      <w:r w:rsidRPr="00617833">
        <w:rPr>
          <w:rFonts w:ascii="Verdana" w:hAnsi="Verdana"/>
          <w:sz w:val="20"/>
        </w:rPr>
        <w:t xml:space="preserve">Con una población que se ha mantenido estable (entre el 1 de enero de 2016 y el de 2017 ha aumentado en 15.124 personas), el ligero aumento del ingreso se ha traducido en un incremento de la tasa de litigiosidad </w:t>
      </w:r>
      <w:r w:rsidR="00576F57" w:rsidRPr="00617833">
        <w:rPr>
          <w:rFonts w:ascii="Verdana" w:hAnsi="Verdana"/>
          <w:sz w:val="20"/>
        </w:rPr>
        <w:t>que ha pasado de los 1</w:t>
      </w:r>
      <w:r w:rsidRPr="00617833">
        <w:rPr>
          <w:rFonts w:ascii="Verdana" w:hAnsi="Verdana"/>
          <w:sz w:val="20"/>
        </w:rPr>
        <w:t>24</w:t>
      </w:r>
      <w:r w:rsidR="00576F57" w:rsidRPr="00617833">
        <w:rPr>
          <w:rFonts w:ascii="Verdana" w:hAnsi="Verdana"/>
          <w:sz w:val="20"/>
        </w:rPr>
        <w:t>,</w:t>
      </w:r>
      <w:r w:rsidRPr="00617833">
        <w:rPr>
          <w:rFonts w:ascii="Verdana" w:hAnsi="Verdana"/>
          <w:sz w:val="20"/>
        </w:rPr>
        <w:t>8</w:t>
      </w:r>
      <w:r w:rsidR="00576F57" w:rsidRPr="00617833">
        <w:rPr>
          <w:rFonts w:ascii="Verdana" w:hAnsi="Verdana"/>
          <w:sz w:val="20"/>
        </w:rPr>
        <w:t xml:space="preserve"> asuntos por cada 1.000 habitantes de 201</w:t>
      </w:r>
      <w:r w:rsidRPr="00617833">
        <w:rPr>
          <w:rFonts w:ascii="Verdana" w:hAnsi="Verdana"/>
          <w:sz w:val="20"/>
        </w:rPr>
        <w:t>6</w:t>
      </w:r>
      <w:r w:rsidR="00576F57" w:rsidRPr="00617833">
        <w:rPr>
          <w:rFonts w:ascii="Verdana" w:hAnsi="Verdana"/>
          <w:sz w:val="20"/>
        </w:rPr>
        <w:t xml:space="preserve"> a los 12</w:t>
      </w:r>
      <w:r w:rsidRPr="00617833">
        <w:rPr>
          <w:rFonts w:ascii="Verdana" w:hAnsi="Verdana"/>
          <w:sz w:val="20"/>
        </w:rPr>
        <w:t>6</w:t>
      </w:r>
      <w:r w:rsidR="00576F57" w:rsidRPr="00617833">
        <w:rPr>
          <w:rFonts w:ascii="Verdana" w:hAnsi="Verdana"/>
          <w:sz w:val="20"/>
        </w:rPr>
        <w:t>,</w:t>
      </w:r>
      <w:r w:rsidRPr="00617833">
        <w:rPr>
          <w:rFonts w:ascii="Verdana" w:hAnsi="Verdana"/>
          <w:sz w:val="20"/>
        </w:rPr>
        <w:t>1</w:t>
      </w:r>
      <w:r w:rsidR="00576F57" w:rsidRPr="00617833">
        <w:rPr>
          <w:rFonts w:ascii="Verdana" w:hAnsi="Verdana"/>
          <w:sz w:val="20"/>
        </w:rPr>
        <w:t xml:space="preserve"> de 201</w:t>
      </w:r>
      <w:r w:rsidRPr="00617833">
        <w:rPr>
          <w:rFonts w:ascii="Verdana" w:hAnsi="Verdana"/>
          <w:sz w:val="20"/>
        </w:rPr>
        <w:t>7</w:t>
      </w:r>
      <w:r w:rsidR="00576F57" w:rsidRPr="00617833">
        <w:rPr>
          <w:rFonts w:ascii="Verdana" w:hAnsi="Verdana"/>
          <w:sz w:val="20"/>
        </w:rPr>
        <w:t>.</w:t>
      </w:r>
    </w:p>
    <w:p w:rsidR="001B4EE3" w:rsidRPr="00617833" w:rsidRDefault="003B10C0" w:rsidP="0046154F">
      <w:pPr>
        <w:pStyle w:val="Textoindependiente"/>
        <w:spacing w:before="120" w:after="120"/>
        <w:ind w:firstLine="357"/>
        <w:jc w:val="center"/>
        <w:rPr>
          <w:rFonts w:ascii="Verdana" w:hAnsi="Verdana"/>
        </w:rPr>
      </w:pPr>
      <w:r w:rsidRPr="00617833">
        <w:rPr>
          <w:noProof/>
        </w:rPr>
        <w:drawing>
          <wp:inline distT="0" distB="0" distL="0" distR="0" wp14:anchorId="5057DA07" wp14:editId="55541156">
            <wp:extent cx="4591050" cy="2647949"/>
            <wp:effectExtent l="0" t="0" r="19050" b="196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781" w:rsidRPr="00617833" w:rsidRDefault="006A18D7" w:rsidP="00F448D5">
      <w:pPr>
        <w:pStyle w:val="Textoindependiente"/>
        <w:spacing w:before="120" w:after="120"/>
        <w:ind w:firstLine="357"/>
        <w:rPr>
          <w:rFonts w:ascii="Verdana" w:hAnsi="Verdana"/>
          <w:sz w:val="20"/>
        </w:rPr>
      </w:pPr>
      <w:r w:rsidRPr="00617833">
        <w:rPr>
          <w:rFonts w:ascii="Verdana" w:hAnsi="Verdana"/>
          <w:sz w:val="20"/>
        </w:rPr>
        <w:lastRenderedPageBreak/>
        <w:t>A</w:t>
      </w:r>
      <w:r w:rsidR="001B4EE3" w:rsidRPr="00617833">
        <w:rPr>
          <w:rFonts w:ascii="Verdana" w:hAnsi="Verdana"/>
          <w:sz w:val="20"/>
        </w:rPr>
        <w:t>naliza</w:t>
      </w:r>
      <w:r w:rsidRPr="00617833">
        <w:rPr>
          <w:rFonts w:ascii="Verdana" w:hAnsi="Verdana"/>
          <w:sz w:val="20"/>
        </w:rPr>
        <w:t>ndo</w:t>
      </w:r>
      <w:r w:rsidR="001B4EE3" w:rsidRPr="00617833">
        <w:rPr>
          <w:rFonts w:ascii="Verdana" w:hAnsi="Verdana"/>
          <w:sz w:val="20"/>
        </w:rPr>
        <w:t xml:space="preserve"> la litigiosidad en las distintas Comunidades Autónomas</w:t>
      </w:r>
      <w:r w:rsidRPr="00617833">
        <w:rPr>
          <w:rFonts w:ascii="Verdana" w:hAnsi="Verdana"/>
          <w:sz w:val="20"/>
        </w:rPr>
        <w:t xml:space="preserve">, </w:t>
      </w:r>
      <w:r w:rsidR="00811A04" w:rsidRPr="00617833">
        <w:rPr>
          <w:rFonts w:ascii="Verdana" w:hAnsi="Verdana"/>
          <w:sz w:val="20"/>
        </w:rPr>
        <w:t>se ha dado una litigios</w:t>
      </w:r>
      <w:r w:rsidR="00B33F12" w:rsidRPr="00617833">
        <w:rPr>
          <w:rFonts w:ascii="Verdana" w:hAnsi="Verdana"/>
          <w:sz w:val="20"/>
        </w:rPr>
        <w:t xml:space="preserve">idad superior a la nacional en </w:t>
      </w:r>
      <w:r w:rsidR="00DC3D1C" w:rsidRPr="00617833">
        <w:rPr>
          <w:rFonts w:ascii="Verdana" w:hAnsi="Verdana"/>
          <w:sz w:val="20"/>
        </w:rPr>
        <w:t>Canarias (1</w:t>
      </w:r>
      <w:r w:rsidR="002E5A6D" w:rsidRPr="00617833">
        <w:rPr>
          <w:rFonts w:ascii="Verdana" w:hAnsi="Verdana"/>
          <w:sz w:val="20"/>
        </w:rPr>
        <w:t>65</w:t>
      </w:r>
      <w:r w:rsidR="00DC3D1C" w:rsidRPr="00617833">
        <w:rPr>
          <w:rFonts w:ascii="Verdana" w:hAnsi="Verdana"/>
          <w:sz w:val="20"/>
        </w:rPr>
        <w:t xml:space="preserve">), </w:t>
      </w:r>
      <w:r w:rsidR="00811A04" w:rsidRPr="00617833">
        <w:rPr>
          <w:rFonts w:ascii="Verdana" w:hAnsi="Verdana"/>
          <w:sz w:val="20"/>
        </w:rPr>
        <w:t>Andalucía (</w:t>
      </w:r>
      <w:r w:rsidR="002E5A6D" w:rsidRPr="00617833">
        <w:rPr>
          <w:rFonts w:ascii="Verdana" w:hAnsi="Verdana"/>
          <w:sz w:val="20"/>
        </w:rPr>
        <w:t>145</w:t>
      </w:r>
      <w:r w:rsidR="00811A04" w:rsidRPr="00617833">
        <w:rPr>
          <w:rFonts w:ascii="Verdana" w:hAnsi="Verdana"/>
          <w:sz w:val="20"/>
        </w:rPr>
        <w:t xml:space="preserve">), </w:t>
      </w:r>
      <w:r w:rsidR="00DC3D1C" w:rsidRPr="00617833">
        <w:rPr>
          <w:rFonts w:ascii="Verdana" w:hAnsi="Verdana"/>
          <w:sz w:val="20"/>
        </w:rPr>
        <w:t>Illes Baleares (13</w:t>
      </w:r>
      <w:r w:rsidR="002E5A6D" w:rsidRPr="00617833">
        <w:rPr>
          <w:rFonts w:ascii="Verdana" w:hAnsi="Verdana"/>
          <w:sz w:val="20"/>
        </w:rPr>
        <w:t>9</w:t>
      </w:r>
      <w:r w:rsidR="00DC3D1C" w:rsidRPr="00617833">
        <w:rPr>
          <w:rFonts w:ascii="Verdana" w:hAnsi="Verdana"/>
          <w:sz w:val="20"/>
        </w:rPr>
        <w:t xml:space="preserve">), </w:t>
      </w:r>
      <w:r w:rsidR="002E5A6D" w:rsidRPr="00617833">
        <w:rPr>
          <w:rFonts w:ascii="Verdana" w:hAnsi="Verdana"/>
          <w:sz w:val="20"/>
        </w:rPr>
        <w:t xml:space="preserve">Asturias (129), Cantabria (130) y </w:t>
      </w:r>
      <w:r w:rsidR="00DC3D1C" w:rsidRPr="00617833">
        <w:rPr>
          <w:rFonts w:ascii="Verdana" w:hAnsi="Verdana"/>
          <w:sz w:val="20"/>
        </w:rPr>
        <w:t>Murcia (12</w:t>
      </w:r>
      <w:r w:rsidR="002E5A6D" w:rsidRPr="00617833">
        <w:rPr>
          <w:rFonts w:ascii="Verdana" w:hAnsi="Verdana"/>
          <w:sz w:val="20"/>
        </w:rPr>
        <w:t>8</w:t>
      </w:r>
      <w:r w:rsidR="00DC3D1C" w:rsidRPr="00617833">
        <w:rPr>
          <w:rFonts w:ascii="Verdana" w:hAnsi="Verdana"/>
          <w:sz w:val="20"/>
        </w:rPr>
        <w:t>)</w:t>
      </w:r>
      <w:r w:rsidR="00811A04" w:rsidRPr="00617833">
        <w:rPr>
          <w:rFonts w:ascii="Verdana" w:hAnsi="Verdana"/>
          <w:sz w:val="20"/>
        </w:rPr>
        <w:t xml:space="preserve">.  Por el contrario, la menor tasa de litigiosidad se ha dado en </w:t>
      </w:r>
      <w:r w:rsidR="00B458EA" w:rsidRPr="00617833">
        <w:rPr>
          <w:rFonts w:ascii="Verdana" w:hAnsi="Verdana"/>
          <w:sz w:val="20"/>
        </w:rPr>
        <w:t>L</w:t>
      </w:r>
      <w:r w:rsidR="00EF032C" w:rsidRPr="00617833">
        <w:rPr>
          <w:rFonts w:ascii="Verdana" w:hAnsi="Verdana"/>
          <w:sz w:val="20"/>
        </w:rPr>
        <w:t xml:space="preserve">a Rioja </w:t>
      </w:r>
      <w:r w:rsidR="00DC3D1C" w:rsidRPr="00617833">
        <w:rPr>
          <w:rFonts w:ascii="Verdana" w:hAnsi="Verdana"/>
          <w:sz w:val="20"/>
        </w:rPr>
        <w:t>(8</w:t>
      </w:r>
      <w:r w:rsidR="00E147E4" w:rsidRPr="00617833">
        <w:rPr>
          <w:rFonts w:ascii="Verdana" w:hAnsi="Verdana"/>
          <w:sz w:val="20"/>
        </w:rPr>
        <w:t>5</w:t>
      </w:r>
      <w:r w:rsidR="00DC3D1C" w:rsidRPr="00617833">
        <w:rPr>
          <w:rFonts w:ascii="Verdana" w:hAnsi="Verdana"/>
          <w:sz w:val="20"/>
        </w:rPr>
        <w:t xml:space="preserve">), </w:t>
      </w:r>
      <w:r w:rsidR="00EF032C" w:rsidRPr="00617833">
        <w:rPr>
          <w:rFonts w:ascii="Verdana" w:hAnsi="Verdana"/>
          <w:sz w:val="20"/>
        </w:rPr>
        <w:t xml:space="preserve"> </w:t>
      </w:r>
      <w:r w:rsidR="00811A04" w:rsidRPr="00617833">
        <w:rPr>
          <w:rFonts w:ascii="Verdana" w:hAnsi="Verdana"/>
          <w:sz w:val="20"/>
        </w:rPr>
        <w:t xml:space="preserve">el País Vasco </w:t>
      </w:r>
      <w:r w:rsidR="00E147E4" w:rsidRPr="00617833">
        <w:rPr>
          <w:rFonts w:ascii="Verdana" w:hAnsi="Verdana"/>
          <w:sz w:val="20"/>
        </w:rPr>
        <w:t xml:space="preserve">y </w:t>
      </w:r>
      <w:r w:rsidR="002B73D8" w:rsidRPr="00617833">
        <w:rPr>
          <w:rFonts w:ascii="Verdana" w:hAnsi="Verdana"/>
          <w:sz w:val="20"/>
        </w:rPr>
        <w:t>Navarra</w:t>
      </w:r>
      <w:r w:rsidR="00E147E4" w:rsidRPr="00617833">
        <w:rPr>
          <w:rFonts w:ascii="Verdana" w:hAnsi="Verdana"/>
          <w:sz w:val="20"/>
        </w:rPr>
        <w:t xml:space="preserve"> </w:t>
      </w:r>
      <w:r w:rsidR="00811A04" w:rsidRPr="00617833">
        <w:rPr>
          <w:rFonts w:ascii="Verdana" w:hAnsi="Verdana"/>
          <w:sz w:val="20"/>
        </w:rPr>
        <w:t>(</w:t>
      </w:r>
      <w:r w:rsidR="00E147E4" w:rsidRPr="00617833">
        <w:rPr>
          <w:rFonts w:ascii="Verdana" w:hAnsi="Verdana"/>
          <w:sz w:val="20"/>
        </w:rPr>
        <w:t>94</w:t>
      </w:r>
      <w:r w:rsidR="00811A04" w:rsidRPr="00617833">
        <w:rPr>
          <w:rFonts w:ascii="Verdana" w:hAnsi="Verdana"/>
          <w:sz w:val="20"/>
        </w:rPr>
        <w:t>)</w:t>
      </w:r>
      <w:r w:rsidR="00BF69D7" w:rsidRPr="00617833">
        <w:rPr>
          <w:rFonts w:ascii="Verdana" w:hAnsi="Verdana"/>
          <w:sz w:val="20"/>
        </w:rPr>
        <w:t>,</w:t>
      </w:r>
      <w:r w:rsidR="00811A04" w:rsidRPr="00617833">
        <w:rPr>
          <w:rFonts w:ascii="Verdana" w:hAnsi="Verdana"/>
          <w:sz w:val="20"/>
        </w:rPr>
        <w:t xml:space="preserve"> </w:t>
      </w:r>
      <w:r w:rsidR="00E147E4" w:rsidRPr="00617833">
        <w:rPr>
          <w:rFonts w:ascii="Verdana" w:hAnsi="Verdana"/>
          <w:sz w:val="20"/>
        </w:rPr>
        <w:t xml:space="preserve">Castilla la Mancha (104) y </w:t>
      </w:r>
      <w:r w:rsidR="00811A04" w:rsidRPr="00617833">
        <w:rPr>
          <w:rFonts w:ascii="Verdana" w:hAnsi="Verdana"/>
          <w:sz w:val="20"/>
        </w:rPr>
        <w:t>Extremadura (</w:t>
      </w:r>
      <w:r w:rsidR="00E147E4" w:rsidRPr="00617833">
        <w:rPr>
          <w:rFonts w:ascii="Verdana" w:hAnsi="Verdana"/>
          <w:sz w:val="20"/>
        </w:rPr>
        <w:t>105</w:t>
      </w:r>
      <w:r w:rsidR="00811A04" w:rsidRPr="00617833">
        <w:rPr>
          <w:rFonts w:ascii="Verdana" w:hAnsi="Verdana"/>
          <w:sz w:val="20"/>
        </w:rPr>
        <w:t>)</w:t>
      </w:r>
      <w:r w:rsidR="00E147E4" w:rsidRPr="00617833">
        <w:rPr>
          <w:rFonts w:ascii="Verdana" w:hAnsi="Verdana"/>
          <w:sz w:val="20"/>
        </w:rPr>
        <w:t>.</w:t>
      </w:r>
      <w:r w:rsidR="00FD5C95" w:rsidRPr="00617833">
        <w:rPr>
          <w:rFonts w:ascii="Verdana" w:hAnsi="Verdana"/>
          <w:sz w:val="20"/>
        </w:rPr>
        <w:t xml:space="preserve"> </w:t>
      </w:r>
      <w:r w:rsidR="00472781" w:rsidRPr="00617833">
        <w:rPr>
          <w:rFonts w:ascii="Verdana" w:hAnsi="Verdana"/>
          <w:sz w:val="20"/>
        </w:rPr>
        <w:t>La tasa de litigiosidad ha aumentado en el País Vasco, el 7,6%; en Cataluña, el 5,3%; Aragón, 4,5%; en Asturias, el 4%. Ha disminuido el 4% en Galicia. En el resto de tribunales superiores de justicia la variación ha oscilado entre el 3,5 y el -2,1%.</w:t>
      </w:r>
    </w:p>
    <w:p w:rsidR="001B4EE3" w:rsidRPr="00617833" w:rsidRDefault="002E5A6D">
      <w:pPr>
        <w:pStyle w:val="Textoindependiente"/>
        <w:spacing w:before="120" w:after="120"/>
        <w:ind w:firstLine="357"/>
        <w:rPr>
          <w:rFonts w:ascii="Verdana" w:hAnsi="Verdana"/>
        </w:rPr>
      </w:pPr>
      <w:r w:rsidRPr="00617833">
        <w:rPr>
          <w:noProof/>
        </w:rPr>
        <w:drawing>
          <wp:inline distT="0" distB="0" distL="0" distR="0" wp14:anchorId="152A056F" wp14:editId="081F2A1A">
            <wp:extent cx="5495925" cy="30765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3F99" w:rsidRPr="00617833" w:rsidRDefault="00472781">
      <w:pPr>
        <w:pStyle w:val="Textoindependiente"/>
        <w:spacing w:before="120" w:after="120"/>
        <w:ind w:firstLine="357"/>
        <w:rPr>
          <w:rFonts w:ascii="Verdana" w:hAnsi="Verdana"/>
          <w:sz w:val="20"/>
        </w:rPr>
      </w:pPr>
      <w:r w:rsidRPr="00617833">
        <w:rPr>
          <w:rFonts w:ascii="Verdana" w:hAnsi="Verdana"/>
          <w:sz w:val="20"/>
        </w:rPr>
        <w:t>El fuerte incremento del ingreso en la jurisdicción civil ha motivado que su peso en el total de asuntos ingresados haya aumentado del 32,1% de 2016 al 34,7% de 2017. Por el contrario, la jurisdicción penal ha pasado de significar el 57,</w:t>
      </w:r>
      <w:r w:rsidR="002B73D8" w:rsidRPr="00617833">
        <w:rPr>
          <w:rFonts w:ascii="Verdana" w:hAnsi="Verdana"/>
          <w:sz w:val="20"/>
        </w:rPr>
        <w:t>9</w:t>
      </w:r>
      <w:r w:rsidRPr="00617833">
        <w:rPr>
          <w:rFonts w:ascii="Verdana" w:hAnsi="Verdana"/>
          <w:sz w:val="20"/>
        </w:rPr>
        <w:t>% del ingreso a significar el 55%. El peso de las jurisdicciones contenciosa y social se ha mantenido mucho más estable.</w:t>
      </w:r>
    </w:p>
    <w:p w:rsidR="009B72F6" w:rsidRPr="00617833" w:rsidRDefault="009B72F6">
      <w:pPr>
        <w:pStyle w:val="Textoindependiente"/>
        <w:spacing w:before="120" w:after="120"/>
        <w:ind w:firstLine="357"/>
        <w:rPr>
          <w:rFonts w:ascii="Verdana" w:hAnsi="Verdana"/>
          <w:sz w:val="20"/>
        </w:rPr>
      </w:pPr>
    </w:p>
    <w:p w:rsidR="001B4EE3" w:rsidRPr="00617833" w:rsidRDefault="00372745">
      <w:pPr>
        <w:pStyle w:val="Textoindependiente"/>
        <w:spacing w:before="120" w:after="120"/>
        <w:ind w:firstLine="357"/>
        <w:jc w:val="center"/>
        <w:rPr>
          <w:rFonts w:ascii="Verdana" w:hAnsi="Verdana"/>
          <w:sz w:val="20"/>
        </w:rPr>
      </w:pPr>
      <w:r w:rsidRPr="00617833">
        <w:rPr>
          <w:noProof/>
        </w:rPr>
        <w:drawing>
          <wp:inline distT="0" distB="0" distL="0" distR="0" wp14:anchorId="2E9ED275" wp14:editId="1DFC9006">
            <wp:extent cx="5067300" cy="238125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CED" w:rsidRPr="00617833" w:rsidRDefault="00013CED" w:rsidP="000A2337">
      <w:pPr>
        <w:pStyle w:val="Textoindependiente"/>
        <w:spacing w:before="120" w:after="120"/>
        <w:ind w:firstLine="357"/>
        <w:rPr>
          <w:rFonts w:ascii="Verdana" w:hAnsi="Verdana"/>
          <w:sz w:val="20"/>
        </w:rPr>
      </w:pPr>
    </w:p>
    <w:p w:rsidR="00472781" w:rsidRPr="00617833" w:rsidRDefault="00472781" w:rsidP="000A2337">
      <w:pPr>
        <w:pStyle w:val="Textoindependiente"/>
        <w:spacing w:before="120" w:after="120"/>
        <w:ind w:firstLine="357"/>
        <w:rPr>
          <w:rFonts w:ascii="Verdana" w:hAnsi="Verdana"/>
          <w:sz w:val="20"/>
        </w:rPr>
      </w:pPr>
      <w:r w:rsidRPr="00617833">
        <w:rPr>
          <w:rFonts w:ascii="Verdana" w:hAnsi="Verdana"/>
          <w:sz w:val="20"/>
        </w:rPr>
        <w:t xml:space="preserve">El número total de asuntos </w:t>
      </w:r>
      <w:r w:rsidR="002B73D8" w:rsidRPr="00617833">
        <w:rPr>
          <w:rFonts w:ascii="Verdana" w:hAnsi="Verdana"/>
          <w:sz w:val="20"/>
        </w:rPr>
        <w:t>resuelto</w:t>
      </w:r>
      <w:r w:rsidR="007A31B0" w:rsidRPr="00617833">
        <w:rPr>
          <w:rFonts w:ascii="Verdana" w:hAnsi="Verdana"/>
          <w:sz w:val="20"/>
        </w:rPr>
        <w:t>s</w:t>
      </w:r>
      <w:r w:rsidRPr="00617833">
        <w:rPr>
          <w:rFonts w:ascii="Verdana" w:hAnsi="Verdana"/>
          <w:sz w:val="20"/>
        </w:rPr>
        <w:t xml:space="preserve"> en 2017 ha sido de 5.748.410; un 4,3% menos que los resueltos en 2016.</w:t>
      </w:r>
    </w:p>
    <w:p w:rsidR="001B4EE3" w:rsidRPr="00617833" w:rsidRDefault="00472781" w:rsidP="000544FC">
      <w:pPr>
        <w:pStyle w:val="Textoindependiente"/>
        <w:spacing w:before="120" w:after="120"/>
        <w:ind w:firstLine="357"/>
        <w:jc w:val="center"/>
        <w:rPr>
          <w:rFonts w:ascii="Verdana" w:hAnsi="Verdana"/>
        </w:rPr>
      </w:pPr>
      <w:r w:rsidRPr="00617833">
        <w:rPr>
          <w:noProof/>
        </w:rPr>
        <w:lastRenderedPageBreak/>
        <w:drawing>
          <wp:inline distT="0" distB="0" distL="0" distR="0" wp14:anchorId="7D2DEE86" wp14:editId="66247B4B">
            <wp:extent cx="5553075" cy="2781300"/>
            <wp:effectExtent l="0" t="0" r="9525"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548" w:rsidRPr="00617833" w:rsidRDefault="00A85577" w:rsidP="00153722">
      <w:pPr>
        <w:pStyle w:val="Textoindependiente"/>
        <w:spacing w:before="120" w:after="120"/>
        <w:ind w:firstLine="357"/>
        <w:rPr>
          <w:rFonts w:ascii="Verdana" w:hAnsi="Verdana"/>
          <w:sz w:val="20"/>
        </w:rPr>
      </w:pPr>
      <w:r w:rsidRPr="00617833">
        <w:rPr>
          <w:rFonts w:ascii="Verdana" w:hAnsi="Verdana"/>
          <w:sz w:val="20"/>
        </w:rPr>
        <w:t>El número de asuntos que figura</w:t>
      </w:r>
      <w:r w:rsidRPr="00617833">
        <w:rPr>
          <w:rFonts w:ascii="Verdana" w:hAnsi="Verdana"/>
          <w:strike/>
          <w:sz w:val="20"/>
        </w:rPr>
        <w:t>ba</w:t>
      </w:r>
      <w:r w:rsidRPr="00617833">
        <w:rPr>
          <w:rFonts w:ascii="Verdana" w:hAnsi="Verdana"/>
          <w:sz w:val="20"/>
        </w:rPr>
        <w:t>n en trámite al final del año 201</w:t>
      </w:r>
      <w:r w:rsidR="00BB7A01" w:rsidRPr="00617833">
        <w:rPr>
          <w:rFonts w:ascii="Verdana" w:hAnsi="Verdana"/>
          <w:sz w:val="20"/>
        </w:rPr>
        <w:t>7</w:t>
      </w:r>
      <w:r w:rsidRPr="00617833">
        <w:rPr>
          <w:rFonts w:ascii="Verdana" w:hAnsi="Verdana"/>
          <w:sz w:val="20"/>
        </w:rPr>
        <w:t>, 2.</w:t>
      </w:r>
      <w:r w:rsidR="00BB7A01" w:rsidRPr="00617833">
        <w:rPr>
          <w:rFonts w:ascii="Verdana" w:hAnsi="Verdana"/>
          <w:sz w:val="20"/>
        </w:rPr>
        <w:t>379</w:t>
      </w:r>
      <w:r w:rsidRPr="00617833">
        <w:rPr>
          <w:rFonts w:ascii="Verdana" w:hAnsi="Verdana"/>
          <w:sz w:val="20"/>
        </w:rPr>
        <w:t>.</w:t>
      </w:r>
      <w:r w:rsidR="00BB7A01" w:rsidRPr="00617833">
        <w:rPr>
          <w:rFonts w:ascii="Verdana" w:hAnsi="Verdana"/>
          <w:sz w:val="20"/>
        </w:rPr>
        <w:t>293</w:t>
      </w:r>
      <w:r w:rsidRPr="00617833">
        <w:rPr>
          <w:rFonts w:ascii="Verdana" w:hAnsi="Verdana"/>
          <w:sz w:val="20"/>
        </w:rPr>
        <w:t xml:space="preserve">, es un </w:t>
      </w:r>
      <w:r w:rsidR="00BB7A01" w:rsidRPr="00617833">
        <w:rPr>
          <w:rFonts w:ascii="Verdana" w:hAnsi="Verdana"/>
          <w:sz w:val="20"/>
        </w:rPr>
        <w:t>6</w:t>
      </w:r>
      <w:r w:rsidRPr="00617833">
        <w:rPr>
          <w:rFonts w:ascii="Verdana" w:hAnsi="Verdana"/>
          <w:sz w:val="20"/>
        </w:rPr>
        <w:t>,</w:t>
      </w:r>
      <w:r w:rsidR="00BB7A01" w:rsidRPr="00617833">
        <w:rPr>
          <w:rFonts w:ascii="Verdana" w:hAnsi="Verdana"/>
          <w:sz w:val="20"/>
        </w:rPr>
        <w:t>5</w:t>
      </w:r>
      <w:r w:rsidRPr="00617833">
        <w:rPr>
          <w:rFonts w:ascii="Verdana" w:hAnsi="Verdana"/>
          <w:sz w:val="20"/>
        </w:rPr>
        <w:t xml:space="preserve">% </w:t>
      </w:r>
      <w:r w:rsidR="00BB7A01" w:rsidRPr="00617833">
        <w:rPr>
          <w:rFonts w:ascii="Verdana" w:hAnsi="Verdana"/>
          <w:sz w:val="20"/>
        </w:rPr>
        <w:t>superior</w:t>
      </w:r>
      <w:r w:rsidRPr="00617833">
        <w:rPr>
          <w:rFonts w:ascii="Verdana" w:hAnsi="Verdana"/>
          <w:sz w:val="20"/>
        </w:rPr>
        <w:t xml:space="preserve"> a los existentes al final de 201</w:t>
      </w:r>
      <w:r w:rsidR="00BB7A01" w:rsidRPr="00617833">
        <w:rPr>
          <w:rFonts w:ascii="Verdana" w:hAnsi="Verdana"/>
          <w:sz w:val="20"/>
        </w:rPr>
        <w:t>6</w:t>
      </w:r>
      <w:r w:rsidRPr="00617833">
        <w:rPr>
          <w:rFonts w:ascii="Verdana" w:hAnsi="Verdana"/>
          <w:sz w:val="20"/>
        </w:rPr>
        <w:t>.</w:t>
      </w:r>
    </w:p>
    <w:p w:rsidR="00A85577" w:rsidRPr="00617833" w:rsidRDefault="00A85577" w:rsidP="00153722">
      <w:pPr>
        <w:pStyle w:val="Textoindependiente"/>
        <w:spacing w:before="120" w:after="120"/>
        <w:ind w:firstLine="357"/>
        <w:rPr>
          <w:rFonts w:ascii="Verdana" w:hAnsi="Verdana"/>
          <w:sz w:val="20"/>
        </w:rPr>
      </w:pPr>
    </w:p>
    <w:p w:rsidR="00985252" w:rsidRPr="00617833" w:rsidRDefault="00BB7A01" w:rsidP="00985252">
      <w:pPr>
        <w:pStyle w:val="Textoindependiente"/>
        <w:spacing w:before="120" w:after="120"/>
        <w:ind w:firstLine="357"/>
        <w:jc w:val="center"/>
        <w:rPr>
          <w:rFonts w:ascii="Verdana" w:hAnsi="Verdana"/>
          <w:sz w:val="20"/>
        </w:rPr>
      </w:pPr>
      <w:r w:rsidRPr="00617833">
        <w:rPr>
          <w:noProof/>
        </w:rPr>
        <w:drawing>
          <wp:inline distT="0" distB="0" distL="0" distR="0" wp14:anchorId="209AECC0" wp14:editId="727948EE">
            <wp:extent cx="5486400" cy="272415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188E" w:rsidRPr="00617833" w:rsidRDefault="0009188E">
      <w:pPr>
        <w:pStyle w:val="Textoindependiente"/>
        <w:spacing w:before="120" w:after="120"/>
        <w:ind w:firstLine="357"/>
        <w:rPr>
          <w:rFonts w:ascii="Verdana" w:hAnsi="Verdana"/>
          <w:sz w:val="20"/>
        </w:rPr>
      </w:pPr>
    </w:p>
    <w:p w:rsidR="001B4EE3" w:rsidRPr="00617833" w:rsidRDefault="001B4EE3">
      <w:pPr>
        <w:pStyle w:val="Textoindependiente"/>
        <w:spacing w:before="120" w:after="120"/>
        <w:ind w:firstLine="357"/>
        <w:rPr>
          <w:rFonts w:ascii="Verdana" w:hAnsi="Verdana"/>
          <w:sz w:val="20"/>
        </w:rPr>
      </w:pPr>
      <w:r w:rsidRPr="00617833">
        <w:rPr>
          <w:rFonts w:ascii="Verdana" w:hAnsi="Verdana"/>
          <w:sz w:val="20"/>
        </w:rPr>
        <w:t xml:space="preserve">Como indicadores significativos para comparar  la situación en distintos periodos o en distintos territorios, consideramos las </w:t>
      </w:r>
      <w:r w:rsidRPr="00617833">
        <w:rPr>
          <w:rFonts w:ascii="Verdana" w:hAnsi="Verdana"/>
          <w:b/>
          <w:sz w:val="20"/>
        </w:rPr>
        <w:t>tasas de resolución</w:t>
      </w:r>
      <w:r w:rsidRPr="00617833">
        <w:rPr>
          <w:rFonts w:ascii="Verdana" w:hAnsi="Verdana"/>
          <w:sz w:val="20"/>
        </w:rPr>
        <w:t xml:space="preserve">, </w:t>
      </w:r>
      <w:r w:rsidRPr="00617833">
        <w:rPr>
          <w:rFonts w:ascii="Verdana" w:hAnsi="Verdana"/>
          <w:i/>
          <w:sz w:val="20"/>
        </w:rPr>
        <w:t>cociente entre el número de asuntos resueltos en el periodo y los ingresados en el mismo</w:t>
      </w:r>
      <w:r w:rsidRPr="00617833">
        <w:rPr>
          <w:rFonts w:ascii="Verdana" w:hAnsi="Verdana"/>
          <w:sz w:val="20"/>
        </w:rPr>
        <w:t xml:space="preserve">; la </w:t>
      </w:r>
      <w:r w:rsidRPr="00617833">
        <w:rPr>
          <w:rFonts w:ascii="Verdana" w:hAnsi="Verdana"/>
          <w:b/>
          <w:sz w:val="20"/>
        </w:rPr>
        <w:t>tasa de pendencia</w:t>
      </w:r>
      <w:r w:rsidRPr="00617833">
        <w:rPr>
          <w:rFonts w:ascii="Verdana" w:hAnsi="Verdana"/>
          <w:sz w:val="20"/>
        </w:rPr>
        <w:t xml:space="preserve">, </w:t>
      </w:r>
      <w:r w:rsidRPr="00617833">
        <w:rPr>
          <w:rFonts w:ascii="Verdana" w:hAnsi="Verdana"/>
          <w:i/>
          <w:sz w:val="20"/>
        </w:rPr>
        <w:t>cociente entre los asuntos pendientes al final del periodo y los resueltos en el mismo</w:t>
      </w:r>
      <w:r w:rsidRPr="00617833">
        <w:rPr>
          <w:rFonts w:ascii="Verdana" w:hAnsi="Verdana"/>
          <w:sz w:val="20"/>
        </w:rPr>
        <w:t xml:space="preserve">; y como indicador global de la capacidad resolutiva respecto a la carga de trabajo,  la </w:t>
      </w:r>
      <w:r w:rsidRPr="00617833">
        <w:rPr>
          <w:rFonts w:ascii="Verdana" w:hAnsi="Verdana"/>
          <w:b/>
          <w:sz w:val="20"/>
        </w:rPr>
        <w:t>tasa de congestión</w:t>
      </w:r>
      <w:r w:rsidRPr="00617833">
        <w:rPr>
          <w:rFonts w:ascii="Verdana" w:hAnsi="Verdana"/>
          <w:sz w:val="20"/>
        </w:rPr>
        <w:t xml:space="preserve">, </w:t>
      </w:r>
      <w:r w:rsidRPr="00617833">
        <w:rPr>
          <w:rFonts w:ascii="Verdana" w:hAnsi="Verdana"/>
          <w:i/>
          <w:sz w:val="20"/>
        </w:rPr>
        <w:t>cociente entre la suma de los pendientes de resolver al comienzo del periodo y los ingresados en el mismo</w:t>
      </w:r>
      <w:r w:rsidR="0017057E" w:rsidRPr="00617833">
        <w:rPr>
          <w:rFonts w:ascii="Verdana" w:hAnsi="Verdana"/>
          <w:i/>
          <w:sz w:val="20"/>
        </w:rPr>
        <w:t xml:space="preserve"> y los asuntos resueltos en el periodo</w:t>
      </w:r>
      <w:r w:rsidRPr="00617833">
        <w:rPr>
          <w:rFonts w:ascii="Verdana" w:hAnsi="Verdana"/>
          <w:sz w:val="20"/>
        </w:rPr>
        <w:t xml:space="preserve">. En los años </w:t>
      </w:r>
      <w:r w:rsidR="00A8065F" w:rsidRPr="00617833">
        <w:rPr>
          <w:rFonts w:ascii="Verdana" w:hAnsi="Verdana"/>
          <w:sz w:val="20"/>
        </w:rPr>
        <w:t>2</w:t>
      </w:r>
      <w:r w:rsidR="00BB2869" w:rsidRPr="00617833">
        <w:rPr>
          <w:rFonts w:ascii="Verdana" w:hAnsi="Verdana"/>
          <w:sz w:val="20"/>
        </w:rPr>
        <w:t>01</w:t>
      </w:r>
      <w:r w:rsidR="0009188E" w:rsidRPr="00617833">
        <w:rPr>
          <w:rFonts w:ascii="Verdana" w:hAnsi="Verdana"/>
          <w:sz w:val="20"/>
        </w:rPr>
        <w:t>6</w:t>
      </w:r>
      <w:r w:rsidRPr="00617833">
        <w:rPr>
          <w:rFonts w:ascii="Verdana" w:hAnsi="Verdana"/>
          <w:sz w:val="20"/>
        </w:rPr>
        <w:t xml:space="preserve"> y </w:t>
      </w:r>
      <w:r w:rsidR="00A8065F" w:rsidRPr="00617833">
        <w:rPr>
          <w:rFonts w:ascii="Verdana" w:hAnsi="Verdana"/>
          <w:sz w:val="20"/>
        </w:rPr>
        <w:t>2</w:t>
      </w:r>
      <w:r w:rsidR="0064000E" w:rsidRPr="00617833">
        <w:rPr>
          <w:rFonts w:ascii="Verdana" w:hAnsi="Verdana"/>
          <w:sz w:val="20"/>
        </w:rPr>
        <w:t>0</w:t>
      </w:r>
      <w:r w:rsidR="00DF02AC" w:rsidRPr="00617833">
        <w:rPr>
          <w:rFonts w:ascii="Verdana" w:hAnsi="Verdana"/>
          <w:sz w:val="20"/>
        </w:rPr>
        <w:t>1</w:t>
      </w:r>
      <w:r w:rsidR="0009188E" w:rsidRPr="00617833">
        <w:rPr>
          <w:rFonts w:ascii="Verdana" w:hAnsi="Verdana"/>
          <w:sz w:val="20"/>
        </w:rPr>
        <w:t>7</w:t>
      </w:r>
      <w:r w:rsidRPr="00617833">
        <w:rPr>
          <w:rFonts w:ascii="Verdana" w:hAnsi="Verdana"/>
          <w:sz w:val="20"/>
        </w:rPr>
        <w:t>, estos indicadores</w:t>
      </w:r>
      <w:r w:rsidR="002B2BFC" w:rsidRPr="00617833">
        <w:rPr>
          <w:rFonts w:ascii="Verdana" w:hAnsi="Verdana"/>
          <w:sz w:val="20"/>
        </w:rPr>
        <w:t xml:space="preserve"> han sido</w:t>
      </w:r>
      <w:r w:rsidRPr="00617833">
        <w:rPr>
          <w:rFonts w:ascii="Verdana" w:hAnsi="Verdana"/>
          <w:sz w:val="20"/>
        </w:rPr>
        <w:t>:</w:t>
      </w:r>
    </w:p>
    <w:p w:rsidR="00AD5B38" w:rsidRPr="00617833" w:rsidRDefault="00AD5B38">
      <w:pPr>
        <w:pStyle w:val="Textoindependiente"/>
        <w:spacing w:before="120" w:after="120"/>
        <w:ind w:firstLine="357"/>
        <w:rPr>
          <w:rFonts w:ascii="Verdana" w:hAnsi="Verdana"/>
          <w:sz w:val="20"/>
        </w:rPr>
      </w:pPr>
    </w:p>
    <w:tbl>
      <w:tblPr>
        <w:tblW w:w="5940" w:type="dxa"/>
        <w:jc w:val="center"/>
        <w:tblInd w:w="55" w:type="dxa"/>
        <w:tblCellMar>
          <w:left w:w="70" w:type="dxa"/>
          <w:right w:w="70" w:type="dxa"/>
        </w:tblCellMar>
        <w:tblLook w:val="04A0" w:firstRow="1" w:lastRow="0" w:firstColumn="1" w:lastColumn="0" w:noHBand="0" w:noVBand="1"/>
      </w:tblPr>
      <w:tblGrid>
        <w:gridCol w:w="2341"/>
        <w:gridCol w:w="1189"/>
        <w:gridCol w:w="1189"/>
        <w:gridCol w:w="1221"/>
      </w:tblGrid>
      <w:tr w:rsidR="00E21115" w:rsidRPr="00617833" w:rsidTr="009B72F6">
        <w:trPr>
          <w:trHeight w:val="315"/>
          <w:jc w:val="center"/>
        </w:trPr>
        <w:tc>
          <w:tcPr>
            <w:tcW w:w="2341" w:type="dxa"/>
            <w:tcBorders>
              <w:top w:val="nil"/>
              <w:left w:val="nil"/>
              <w:bottom w:val="nil"/>
              <w:right w:val="nil"/>
            </w:tcBorders>
            <w:shd w:val="clear" w:color="auto" w:fill="auto"/>
            <w:noWrap/>
            <w:vAlign w:val="bottom"/>
            <w:hideMark/>
          </w:tcPr>
          <w:p w:rsidR="00E21115" w:rsidRPr="00617833" w:rsidRDefault="00E21115">
            <w:pPr>
              <w:rPr>
                <w:color w:val="000000"/>
                <w:sz w:val="20"/>
                <w:szCs w:val="20"/>
              </w:rPr>
            </w:pPr>
            <w:bookmarkStart w:id="0" w:name="OLE_LINK3" w:colFirst="2" w:colLast="3"/>
          </w:p>
        </w:tc>
        <w:tc>
          <w:tcPr>
            <w:tcW w:w="1189"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b/>
                <w:bCs/>
                <w:color w:val="000080"/>
                <w:sz w:val="20"/>
                <w:szCs w:val="20"/>
              </w:rPr>
            </w:pPr>
            <w:bookmarkStart w:id="1" w:name="RANGE!B4"/>
            <w:r w:rsidRPr="00617833">
              <w:rPr>
                <w:rFonts w:ascii="Verdana" w:hAnsi="Verdana" w:cs="Arial"/>
                <w:b/>
                <w:bCs/>
                <w:color w:val="000080"/>
                <w:sz w:val="20"/>
                <w:szCs w:val="20"/>
              </w:rPr>
              <w:t>2016</w:t>
            </w:r>
            <w:bookmarkEnd w:id="1"/>
          </w:p>
        </w:tc>
        <w:tc>
          <w:tcPr>
            <w:tcW w:w="1189"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b/>
                <w:bCs/>
                <w:color w:val="000080"/>
                <w:sz w:val="20"/>
                <w:szCs w:val="20"/>
              </w:rPr>
            </w:pPr>
            <w:r w:rsidRPr="00617833">
              <w:rPr>
                <w:rFonts w:ascii="Verdana" w:hAnsi="Verdana" w:cs="Arial"/>
                <w:b/>
                <w:bCs/>
                <w:color w:val="000080"/>
                <w:sz w:val="20"/>
                <w:szCs w:val="20"/>
              </w:rPr>
              <w:t>2017</w:t>
            </w:r>
          </w:p>
        </w:tc>
        <w:tc>
          <w:tcPr>
            <w:tcW w:w="1221"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b/>
                <w:bCs/>
                <w:color w:val="000080"/>
                <w:sz w:val="20"/>
                <w:szCs w:val="20"/>
              </w:rPr>
            </w:pPr>
            <w:bookmarkStart w:id="2" w:name="RANGE!D4"/>
            <w:r w:rsidRPr="00617833">
              <w:rPr>
                <w:rFonts w:ascii="Verdana" w:hAnsi="Verdana" w:cs="Arial"/>
                <w:b/>
                <w:bCs/>
                <w:color w:val="000080"/>
                <w:sz w:val="20"/>
                <w:szCs w:val="20"/>
              </w:rPr>
              <w:t>Evolución</w:t>
            </w:r>
            <w:bookmarkEnd w:id="2"/>
          </w:p>
        </w:tc>
      </w:tr>
      <w:bookmarkEnd w:id="0"/>
      <w:tr w:rsidR="00E21115" w:rsidRPr="00617833" w:rsidTr="009B72F6">
        <w:trPr>
          <w:trHeight w:val="300"/>
          <w:jc w:val="center"/>
        </w:trPr>
        <w:tc>
          <w:tcPr>
            <w:tcW w:w="2341" w:type="dxa"/>
            <w:tcBorders>
              <w:top w:val="single" w:sz="8" w:space="0" w:color="auto"/>
              <w:left w:val="nil"/>
              <w:bottom w:val="nil"/>
              <w:right w:val="nil"/>
            </w:tcBorders>
            <w:shd w:val="clear" w:color="auto" w:fill="auto"/>
            <w:vAlign w:val="center"/>
            <w:hideMark/>
          </w:tcPr>
          <w:p w:rsidR="00E21115" w:rsidRPr="00617833" w:rsidRDefault="00E21115">
            <w:pPr>
              <w:jc w:val="both"/>
              <w:rPr>
                <w:rFonts w:ascii="Verdana" w:hAnsi="Verdana" w:cs="Calibri"/>
                <w:color w:val="000000"/>
                <w:sz w:val="20"/>
                <w:szCs w:val="20"/>
              </w:rPr>
            </w:pPr>
            <w:r w:rsidRPr="00617833">
              <w:rPr>
                <w:rFonts w:ascii="Verdana" w:hAnsi="Verdana" w:cs="Arial"/>
                <w:color w:val="000000"/>
                <w:sz w:val="20"/>
                <w:szCs w:val="20"/>
              </w:rPr>
              <w:t>Tasa de Resolución</w:t>
            </w:r>
          </w:p>
        </w:tc>
        <w:tc>
          <w:tcPr>
            <w:tcW w:w="1189"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1,03</w:t>
            </w:r>
          </w:p>
        </w:tc>
        <w:tc>
          <w:tcPr>
            <w:tcW w:w="1189"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0,98</w:t>
            </w:r>
          </w:p>
        </w:tc>
        <w:tc>
          <w:tcPr>
            <w:tcW w:w="1221" w:type="dxa"/>
            <w:tcBorders>
              <w:top w:val="single" w:sz="8" w:space="0" w:color="auto"/>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-5,3%</w:t>
            </w:r>
          </w:p>
        </w:tc>
      </w:tr>
      <w:tr w:rsidR="00E21115" w:rsidRPr="00617833" w:rsidTr="009B72F6">
        <w:trPr>
          <w:trHeight w:val="300"/>
          <w:jc w:val="center"/>
        </w:trPr>
        <w:tc>
          <w:tcPr>
            <w:tcW w:w="2341" w:type="dxa"/>
            <w:tcBorders>
              <w:top w:val="nil"/>
              <w:left w:val="nil"/>
              <w:bottom w:val="nil"/>
              <w:right w:val="nil"/>
            </w:tcBorders>
            <w:shd w:val="clear" w:color="auto" w:fill="auto"/>
            <w:vAlign w:val="center"/>
            <w:hideMark/>
          </w:tcPr>
          <w:p w:rsidR="00E21115" w:rsidRPr="00617833" w:rsidRDefault="00E21115">
            <w:pPr>
              <w:jc w:val="both"/>
              <w:rPr>
                <w:rFonts w:ascii="Verdana" w:hAnsi="Verdana" w:cs="Calibri"/>
                <w:color w:val="000000"/>
                <w:sz w:val="20"/>
                <w:szCs w:val="20"/>
              </w:rPr>
            </w:pPr>
            <w:r w:rsidRPr="00617833">
              <w:rPr>
                <w:rFonts w:ascii="Verdana" w:hAnsi="Verdana" w:cs="Arial"/>
                <w:color w:val="000000"/>
                <w:sz w:val="20"/>
                <w:szCs w:val="20"/>
              </w:rPr>
              <w:t>Tasa de Pendencia</w:t>
            </w:r>
          </w:p>
        </w:tc>
        <w:tc>
          <w:tcPr>
            <w:tcW w:w="1189" w:type="dxa"/>
            <w:tcBorders>
              <w:top w:val="nil"/>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0,37</w:t>
            </w:r>
          </w:p>
        </w:tc>
        <w:tc>
          <w:tcPr>
            <w:tcW w:w="1189" w:type="dxa"/>
            <w:tcBorders>
              <w:top w:val="nil"/>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0,41</w:t>
            </w:r>
          </w:p>
        </w:tc>
        <w:tc>
          <w:tcPr>
            <w:tcW w:w="1221" w:type="dxa"/>
            <w:tcBorders>
              <w:top w:val="nil"/>
              <w:left w:val="nil"/>
              <w:bottom w:val="nil"/>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11,3%</w:t>
            </w:r>
          </w:p>
        </w:tc>
      </w:tr>
      <w:tr w:rsidR="00E21115" w:rsidRPr="00617833" w:rsidTr="009B72F6">
        <w:trPr>
          <w:trHeight w:val="315"/>
          <w:jc w:val="center"/>
        </w:trPr>
        <w:tc>
          <w:tcPr>
            <w:tcW w:w="2341" w:type="dxa"/>
            <w:tcBorders>
              <w:top w:val="nil"/>
              <w:left w:val="nil"/>
              <w:bottom w:val="single" w:sz="8" w:space="0" w:color="auto"/>
              <w:right w:val="nil"/>
            </w:tcBorders>
            <w:shd w:val="clear" w:color="auto" w:fill="auto"/>
            <w:vAlign w:val="center"/>
            <w:hideMark/>
          </w:tcPr>
          <w:p w:rsidR="00E21115" w:rsidRPr="00617833" w:rsidRDefault="00E21115">
            <w:pPr>
              <w:jc w:val="both"/>
              <w:rPr>
                <w:rFonts w:ascii="Verdana" w:hAnsi="Verdana" w:cs="Calibri"/>
                <w:color w:val="000000"/>
                <w:sz w:val="20"/>
                <w:szCs w:val="20"/>
              </w:rPr>
            </w:pPr>
            <w:r w:rsidRPr="00617833">
              <w:rPr>
                <w:rFonts w:ascii="Verdana" w:hAnsi="Verdana" w:cs="Arial"/>
                <w:color w:val="000000"/>
                <w:sz w:val="20"/>
                <w:szCs w:val="20"/>
              </w:rPr>
              <w:t>Tasa de Congestión</w:t>
            </w:r>
          </w:p>
        </w:tc>
        <w:tc>
          <w:tcPr>
            <w:tcW w:w="1189" w:type="dxa"/>
            <w:tcBorders>
              <w:top w:val="nil"/>
              <w:left w:val="nil"/>
              <w:bottom w:val="single" w:sz="8" w:space="0" w:color="auto"/>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1,37</w:t>
            </w:r>
          </w:p>
        </w:tc>
        <w:tc>
          <w:tcPr>
            <w:tcW w:w="1189" w:type="dxa"/>
            <w:tcBorders>
              <w:top w:val="nil"/>
              <w:left w:val="nil"/>
              <w:bottom w:val="single" w:sz="8" w:space="0" w:color="auto"/>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1,41</w:t>
            </w:r>
          </w:p>
        </w:tc>
        <w:tc>
          <w:tcPr>
            <w:tcW w:w="1221" w:type="dxa"/>
            <w:tcBorders>
              <w:top w:val="nil"/>
              <w:left w:val="nil"/>
              <w:bottom w:val="single" w:sz="8" w:space="0" w:color="auto"/>
              <w:right w:val="nil"/>
            </w:tcBorders>
            <w:shd w:val="clear" w:color="auto" w:fill="auto"/>
            <w:vAlign w:val="center"/>
            <w:hideMark/>
          </w:tcPr>
          <w:p w:rsidR="00E21115" w:rsidRPr="00617833" w:rsidRDefault="00E21115">
            <w:pPr>
              <w:jc w:val="center"/>
              <w:rPr>
                <w:rFonts w:ascii="Verdana" w:hAnsi="Verdana" w:cs="Calibri"/>
                <w:color w:val="000000"/>
                <w:sz w:val="20"/>
                <w:szCs w:val="20"/>
              </w:rPr>
            </w:pPr>
            <w:r w:rsidRPr="00617833">
              <w:rPr>
                <w:rFonts w:ascii="Verdana" w:hAnsi="Verdana" w:cs="Calibri"/>
                <w:color w:val="000000"/>
                <w:sz w:val="20"/>
                <w:szCs w:val="20"/>
              </w:rPr>
              <w:t>2,8%</w:t>
            </w:r>
          </w:p>
        </w:tc>
      </w:tr>
    </w:tbl>
    <w:p w:rsidR="00D0400C" w:rsidRPr="00617833" w:rsidRDefault="00E21115" w:rsidP="00D0400C">
      <w:pPr>
        <w:pStyle w:val="Textoindependiente"/>
        <w:spacing w:before="120" w:after="120"/>
        <w:ind w:firstLine="357"/>
        <w:rPr>
          <w:rFonts w:ascii="Verdana" w:hAnsi="Verdana"/>
          <w:sz w:val="20"/>
          <w:lang w:val="es-ES_tradnl"/>
        </w:rPr>
      </w:pPr>
      <w:r w:rsidRPr="00617833">
        <w:rPr>
          <w:rFonts w:ascii="Verdana" w:hAnsi="Verdana"/>
          <w:sz w:val="20"/>
          <w:lang w:val="es-ES_tradnl"/>
        </w:rPr>
        <w:lastRenderedPageBreak/>
        <w:t xml:space="preserve">La tasa de resolución ha disminuido significativamente, mientras que las de cogestión y, especialmente, la de pendencia, han aumentado por lo que </w:t>
      </w:r>
      <w:r w:rsidR="00D0400C" w:rsidRPr="00617833">
        <w:rPr>
          <w:rFonts w:ascii="Verdana" w:hAnsi="Verdana"/>
          <w:sz w:val="20"/>
          <w:lang w:val="es-ES_tradnl"/>
        </w:rPr>
        <w:t>podemos inferir un</w:t>
      </w:r>
      <w:r w:rsidRPr="00617833">
        <w:rPr>
          <w:rFonts w:ascii="Verdana" w:hAnsi="Verdana"/>
          <w:sz w:val="20"/>
          <w:lang w:val="es-ES_tradnl"/>
        </w:rPr>
        <w:t xml:space="preserve"> deterioro </w:t>
      </w:r>
      <w:r w:rsidR="00D0400C" w:rsidRPr="00617833">
        <w:rPr>
          <w:rFonts w:ascii="Verdana" w:hAnsi="Verdana"/>
          <w:sz w:val="20"/>
          <w:lang w:val="es-ES_tradnl"/>
        </w:rPr>
        <w:t>en la situación del conjunto de las jurisdicciones.</w:t>
      </w:r>
    </w:p>
    <w:p w:rsidR="006122D9" w:rsidRPr="00617833" w:rsidRDefault="001B4EE3">
      <w:pPr>
        <w:pStyle w:val="Textoindependiente"/>
        <w:spacing w:before="120" w:after="120"/>
        <w:ind w:firstLine="357"/>
        <w:rPr>
          <w:rFonts w:ascii="Verdana" w:hAnsi="Verdana"/>
          <w:color w:val="FF0000"/>
          <w:sz w:val="20"/>
          <w:lang w:val="es-ES_tradnl"/>
        </w:rPr>
      </w:pPr>
      <w:r w:rsidRPr="00617833">
        <w:rPr>
          <w:rFonts w:ascii="Verdana" w:hAnsi="Verdana"/>
          <w:sz w:val="20"/>
          <w:lang w:val="es-ES_tradnl"/>
        </w:rPr>
        <w:t xml:space="preserve">Estas tasas también son útiles para realizar una comparación de las situaciones en los </w:t>
      </w:r>
      <w:r w:rsidR="004A0024" w:rsidRPr="00617833">
        <w:rPr>
          <w:rFonts w:ascii="Verdana" w:hAnsi="Verdana"/>
          <w:sz w:val="20"/>
          <w:lang w:val="es-ES_tradnl"/>
        </w:rPr>
        <w:t xml:space="preserve"> </w:t>
      </w:r>
      <w:r w:rsidR="00132820" w:rsidRPr="00617833">
        <w:rPr>
          <w:rFonts w:ascii="Verdana" w:hAnsi="Verdana"/>
          <w:sz w:val="20"/>
          <w:lang w:val="es-ES_tradnl"/>
        </w:rPr>
        <w:t>diferentes tribunales superiores de j</w:t>
      </w:r>
      <w:r w:rsidRPr="00617833">
        <w:rPr>
          <w:rFonts w:ascii="Verdana" w:hAnsi="Verdana"/>
          <w:sz w:val="20"/>
          <w:lang w:val="es-ES_tradnl"/>
        </w:rPr>
        <w:t>usticia</w:t>
      </w:r>
      <w:r w:rsidRPr="00617833">
        <w:rPr>
          <w:rStyle w:val="Refdenotaalpie"/>
          <w:rFonts w:ascii="Verdana" w:hAnsi="Verdana"/>
          <w:sz w:val="20"/>
          <w:lang w:val="es-ES_tradnl"/>
        </w:rPr>
        <w:footnoteReference w:id="1"/>
      </w:r>
      <w:r w:rsidRPr="00617833">
        <w:rPr>
          <w:rFonts w:ascii="Verdana" w:hAnsi="Verdana"/>
          <w:sz w:val="20"/>
          <w:lang w:val="es-ES_tradnl"/>
        </w:rPr>
        <w:t>.</w:t>
      </w:r>
      <w:r w:rsidRPr="00617833">
        <w:rPr>
          <w:rFonts w:ascii="Verdana" w:hAnsi="Verdana"/>
          <w:color w:val="FF0000"/>
          <w:sz w:val="20"/>
          <w:lang w:val="es-ES_tradnl"/>
        </w:rPr>
        <w:t xml:space="preserve">   </w:t>
      </w:r>
    </w:p>
    <w:p w:rsidR="00A12F42" w:rsidRPr="00617833" w:rsidRDefault="006122D9">
      <w:pPr>
        <w:pStyle w:val="Textoindependiente"/>
        <w:spacing w:before="120" w:after="120"/>
        <w:ind w:firstLine="357"/>
        <w:rPr>
          <w:rFonts w:ascii="Verdana" w:hAnsi="Verdana"/>
          <w:sz w:val="20"/>
          <w:lang w:val="es-ES_tradnl"/>
        </w:rPr>
      </w:pPr>
      <w:r w:rsidRPr="00617833">
        <w:rPr>
          <w:noProof/>
        </w:rPr>
        <w:t xml:space="preserve"> </w:t>
      </w:r>
      <w:r w:rsidR="0009188E" w:rsidRPr="00617833">
        <w:rPr>
          <w:noProof/>
        </w:rPr>
        <w:drawing>
          <wp:inline distT="0" distB="0" distL="0" distR="0" wp14:anchorId="31EFC1BB" wp14:editId="55E7F2BB">
            <wp:extent cx="5495925" cy="3114675"/>
            <wp:effectExtent l="0" t="0" r="9525"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72F6" w:rsidRPr="00617833" w:rsidRDefault="009B72F6" w:rsidP="0063568D">
      <w:pPr>
        <w:pStyle w:val="Textoindependiente"/>
        <w:spacing w:before="120" w:after="120"/>
        <w:ind w:firstLine="357"/>
        <w:rPr>
          <w:rFonts w:ascii="Verdana" w:hAnsi="Verdana"/>
          <w:sz w:val="20"/>
          <w:lang w:val="es-ES_tradnl"/>
        </w:rPr>
      </w:pPr>
      <w:r w:rsidRPr="00617833">
        <w:rPr>
          <w:rFonts w:ascii="Verdana" w:hAnsi="Verdana"/>
          <w:sz w:val="20"/>
          <w:lang w:val="es-ES_tradnl"/>
        </w:rPr>
        <w:t xml:space="preserve">Sólo Madrid ha tenido una tasa de pendencia, 1,01, superior a 1, es decir lo resuelto ha superado a lo ingresado. </w:t>
      </w:r>
      <w:r w:rsidR="002B73D8" w:rsidRPr="00617833">
        <w:rPr>
          <w:rFonts w:ascii="Verdana" w:hAnsi="Verdana"/>
          <w:sz w:val="20"/>
          <w:lang w:val="es-ES_tradnl"/>
        </w:rPr>
        <w:t>También</w:t>
      </w:r>
      <w:r w:rsidRPr="00617833">
        <w:rPr>
          <w:rFonts w:ascii="Verdana" w:hAnsi="Verdana"/>
          <w:sz w:val="20"/>
          <w:lang w:val="es-ES_tradnl"/>
        </w:rPr>
        <w:t xml:space="preserve"> superan la tasa nacional de 0,98 los tribunales superiores de justicia de </w:t>
      </w:r>
      <w:r w:rsidR="002B73D8" w:rsidRPr="00617833">
        <w:rPr>
          <w:rFonts w:ascii="Verdana" w:hAnsi="Verdana"/>
          <w:sz w:val="20"/>
          <w:lang w:val="es-ES_tradnl"/>
        </w:rPr>
        <w:t>Andalucía</w:t>
      </w:r>
      <w:r w:rsidRPr="00617833">
        <w:rPr>
          <w:rFonts w:ascii="Verdana" w:hAnsi="Verdana"/>
          <w:sz w:val="20"/>
          <w:lang w:val="es-ES_tradnl"/>
        </w:rPr>
        <w:t>, C. Valenciana y Navarra, todos con 0,99. Por el contrario, la tasa de resolución más baja se ha dado en Extremadura, con 0,93; y en Illes Balears y País Vasco, con 0,95.</w:t>
      </w:r>
    </w:p>
    <w:p w:rsidR="009B72F6" w:rsidRPr="00617833" w:rsidRDefault="00AC110E" w:rsidP="0063568D">
      <w:pPr>
        <w:pStyle w:val="Textoindependiente"/>
        <w:spacing w:before="120" w:after="120"/>
        <w:ind w:firstLine="357"/>
        <w:rPr>
          <w:rFonts w:ascii="Verdana" w:hAnsi="Verdana"/>
          <w:sz w:val="20"/>
          <w:lang w:val="es-ES_tradnl"/>
        </w:rPr>
      </w:pPr>
      <w:r w:rsidRPr="00617833">
        <w:rPr>
          <w:rFonts w:ascii="Verdana" w:hAnsi="Verdana"/>
          <w:noProof/>
          <w:sz w:val="20"/>
        </w:rPr>
        <mc:AlternateContent>
          <mc:Choice Requires="wpg">
            <w:drawing>
              <wp:anchor distT="0" distB="0" distL="114300" distR="114300" simplePos="0" relativeHeight="251717632" behindDoc="0" locked="0" layoutInCell="1" allowOverlap="1" wp14:anchorId="3E57DAEE" wp14:editId="4B76C4FC">
                <wp:simplePos x="0" y="0"/>
                <wp:positionH relativeFrom="column">
                  <wp:posOffset>777240</wp:posOffset>
                </wp:positionH>
                <wp:positionV relativeFrom="paragraph">
                  <wp:posOffset>225425</wp:posOffset>
                </wp:positionV>
                <wp:extent cx="3696970" cy="2876550"/>
                <wp:effectExtent l="0" t="0" r="0" b="0"/>
                <wp:wrapNone/>
                <wp:docPr id="47" name="4 Grupo"/>
                <wp:cNvGraphicFramePr/>
                <a:graphic xmlns:a="http://schemas.openxmlformats.org/drawingml/2006/main">
                  <a:graphicData uri="http://schemas.microsoft.com/office/word/2010/wordprocessingGroup">
                    <wpg:wgp>
                      <wpg:cNvGrpSpPr/>
                      <wpg:grpSpPr>
                        <a:xfrm>
                          <a:off x="0" y="0"/>
                          <a:ext cx="3696970" cy="2876550"/>
                          <a:chOff x="0" y="0"/>
                          <a:chExt cx="4220964" cy="3505200"/>
                        </a:xfrm>
                      </wpg:grpSpPr>
                      <pic:pic xmlns:pic="http://schemas.openxmlformats.org/drawingml/2006/picture">
                        <pic:nvPicPr>
                          <pic:cNvPr id="5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1750" cy="3505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57"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96939" y="2181225"/>
                            <a:ext cx="1724025" cy="857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4 Grupo" o:spid="_x0000_s1026" style="position:absolute;margin-left:61.2pt;margin-top:17.75pt;width:291.1pt;height:226.5pt;z-index:251717632;mso-width-relative:margin;mso-height-relative:margin" coordsize="42209,3505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8417;height:3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9E6HCAAAA2wAAAA8AAABkcnMvZG93bnJldi54bWxEj0FrAjEUhO9C/0N4BS9SsxW0shpFWgWv&#10;rhZ6fGyem6WblyWJ6/rvjSB4HGbmG2a57m0jOvKhdqzgc5yBIC6drrlScDruPuYgQkTW2DgmBTcK&#10;sF69DZaYa3flA3VFrESCcMhRgYmxzaUMpSGLYexa4uSdnbcYk/SV1B6vCW4bOcmymbRYc1ow2NK3&#10;ofK/uFgFuph+/Yx2o24bfulv4+e3i2kKpYbv/WYBIlIfX+Fne68VTGfw+JJ+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vROhwgAAANsAAAAPAAAAAAAAAAAAAAAAAJ8C&#10;AABkcnMvZG93bnJldi54bWxQSwUGAAAAAAQABAD3AAAAjgMAAAAA&#10;" fillcolor="#4f81bd [3204]" strokecolor="black [3213]">
                  <v:imagedata r:id="rId18" o:title=""/>
                  <v:shadow color="#eeece1 [3214]"/>
                </v:shape>
                <v:shape id="Picture 3" o:spid="_x0000_s1028" type="#_x0000_t75" style="position:absolute;left:24969;top:21812;width:17240;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PEPnGAAAA2wAAAA8AAABkcnMvZG93bnJldi54bWxEj1trwkAUhN+F/oflFPqmmxbqJbqKlLZ4&#10;AY2XH3DMHpPQ7NmQXTX667uC4OMwM98wo0ljSnGm2hWWFbx3IhDEqdUFZwr2u592H4TzyBpLy6Tg&#10;Sg4m45fWCGNtL7yh89ZnIkDYxagg976KpXRpTgZdx1bEwTva2qAPss6krvES4KaUH1HUlQYLDgs5&#10;VvSVU/q3PRkFxXzeXw1+l8dV7/uWLJKpOyTrVKm312Y6BOGp8c/woz3TCj57cP8SfoAc/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g8Q+cYAAADbAAAADwAAAAAAAAAAAAAA&#10;AACfAgAAZHJzL2Rvd25yZXYueG1sUEsFBgAAAAAEAAQA9wAAAJIDAAAAAA==&#10;" fillcolor="#4f81bd [3204]" strokecolor="black [3213]">
                  <v:imagedata r:id="rId19" o:title=""/>
                </v:shape>
              </v:group>
            </w:pict>
          </mc:Fallback>
        </mc:AlternateContent>
      </w:r>
    </w:p>
    <w:p w:rsidR="009B72F6" w:rsidRPr="00617833" w:rsidRDefault="009B72F6" w:rsidP="0063568D">
      <w:pPr>
        <w:pStyle w:val="Textoindependiente"/>
        <w:spacing w:before="120" w:after="120"/>
        <w:ind w:firstLine="357"/>
        <w:rPr>
          <w:rFonts w:ascii="Verdana" w:hAnsi="Verdana"/>
          <w:sz w:val="20"/>
          <w:lang w:val="es-ES_tradnl"/>
        </w:rPr>
      </w:pPr>
    </w:p>
    <w:p w:rsidR="00AA1194" w:rsidRPr="00617833" w:rsidRDefault="00AA1194"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5402B7" w:rsidRPr="00617833" w:rsidRDefault="005402B7" w:rsidP="0063568D">
      <w:pPr>
        <w:pStyle w:val="Textoindependiente"/>
        <w:spacing w:before="120" w:after="120"/>
        <w:ind w:firstLine="357"/>
        <w:rPr>
          <w:rFonts w:ascii="Verdana" w:hAnsi="Verdana"/>
          <w:sz w:val="20"/>
          <w:lang w:val="es-ES_tradnl"/>
        </w:rPr>
      </w:pPr>
    </w:p>
    <w:p w:rsidR="001B5C0B" w:rsidRPr="00617833" w:rsidRDefault="001B5C0B" w:rsidP="0063568D">
      <w:pPr>
        <w:pStyle w:val="Textoindependiente"/>
        <w:spacing w:before="120" w:after="120"/>
        <w:ind w:firstLine="357"/>
        <w:rPr>
          <w:rFonts w:ascii="Verdana" w:hAnsi="Verdana" w:cs="Times New Roman"/>
          <w:noProof/>
        </w:rPr>
      </w:pPr>
    </w:p>
    <w:p w:rsidR="001B5C0B" w:rsidRPr="00617833" w:rsidRDefault="001B5C0B" w:rsidP="0063568D">
      <w:pPr>
        <w:pStyle w:val="Textoindependiente"/>
        <w:spacing w:before="120" w:after="120"/>
        <w:ind w:firstLine="357"/>
        <w:rPr>
          <w:rFonts w:ascii="Verdana" w:hAnsi="Verdana" w:cs="Times New Roman"/>
          <w:noProof/>
        </w:rPr>
      </w:pPr>
    </w:p>
    <w:p w:rsidR="001B5C0B" w:rsidRPr="00617833" w:rsidRDefault="001B5C0B" w:rsidP="0063568D">
      <w:pPr>
        <w:pStyle w:val="Textoindependiente"/>
        <w:spacing w:before="120" w:after="120"/>
        <w:ind w:firstLine="357"/>
        <w:rPr>
          <w:rFonts w:ascii="Verdana" w:hAnsi="Verdana"/>
          <w:sz w:val="20"/>
          <w:lang w:val="es-ES_tradnl"/>
        </w:rPr>
      </w:pPr>
    </w:p>
    <w:p w:rsidR="00431439" w:rsidRPr="00617833" w:rsidRDefault="00AA1194" w:rsidP="003F1926">
      <w:pPr>
        <w:pStyle w:val="Textoindependiente"/>
        <w:spacing w:before="120" w:after="120"/>
        <w:ind w:firstLine="357"/>
        <w:rPr>
          <w:rFonts w:ascii="Verdana" w:hAnsi="Verdana"/>
          <w:sz w:val="20"/>
          <w:lang w:val="es-ES_tradnl"/>
        </w:rPr>
      </w:pPr>
      <w:r w:rsidRPr="00617833">
        <w:rPr>
          <w:rFonts w:ascii="Verdana" w:hAnsi="Verdana"/>
          <w:noProof/>
          <w:sz w:val="20"/>
        </w:rPr>
        <mc:AlternateContent>
          <mc:Choice Requires="wps">
            <w:drawing>
              <wp:anchor distT="0" distB="0" distL="114300" distR="114300" simplePos="0" relativeHeight="251654144" behindDoc="0" locked="0" layoutInCell="1" allowOverlap="1" wp14:anchorId="266FE04C" wp14:editId="2CFC9AE7">
                <wp:simplePos x="0" y="0"/>
                <wp:positionH relativeFrom="column">
                  <wp:posOffset>1729740</wp:posOffset>
                </wp:positionH>
                <wp:positionV relativeFrom="paragraph">
                  <wp:posOffset>200660</wp:posOffset>
                </wp:positionV>
                <wp:extent cx="2313305" cy="337820"/>
                <wp:effectExtent l="0" t="0" r="0" b="0"/>
                <wp:wrapNone/>
                <wp:docPr id="54"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3C" w:rsidRPr="005E3A00" w:rsidRDefault="00F9053C" w:rsidP="00537BBA">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Tasa de resolución</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136.2pt;margin-top:15.8pt;width:182.15pt;height:26.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" filled="f" stroked="f">
                <v:textbox style="mso-fit-shape-to-text:t">
                  <w:txbxContent>
                    <w:p w:rsidR="00F9053C" w:rsidRPr="005E3A00" w:rsidRDefault="00F9053C" w:rsidP="00537BBA">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Tasa de resolución</w:t>
                      </w:r>
                    </w:p>
                  </w:txbxContent>
                </v:textbox>
              </v:shape>
            </w:pict>
          </mc:Fallback>
        </mc:AlternateContent>
      </w:r>
    </w:p>
    <w:p w:rsidR="003F1926" w:rsidRPr="00617833" w:rsidRDefault="003F1926" w:rsidP="00B458EA">
      <w:pPr>
        <w:pStyle w:val="Textoindependiente"/>
        <w:spacing w:before="120" w:after="120"/>
        <w:ind w:firstLine="357"/>
        <w:rPr>
          <w:rFonts w:ascii="Verdana" w:hAnsi="Verdana"/>
          <w:color w:val="FF0000"/>
          <w:sz w:val="20"/>
          <w:lang w:val="es-ES_tradnl"/>
        </w:rPr>
      </w:pPr>
      <w:r w:rsidRPr="00617833">
        <w:rPr>
          <w:rFonts w:ascii="Verdana" w:hAnsi="Verdana"/>
          <w:sz w:val="20"/>
          <w:lang w:val="es-ES_tradnl"/>
        </w:rPr>
        <w:lastRenderedPageBreak/>
        <w:t>En cuanto a la tasa de pendencia, las más altas (peor situación) se han dado  en Castilla-La Mancha</w:t>
      </w:r>
      <w:r w:rsidR="00032EB2" w:rsidRPr="00617833">
        <w:rPr>
          <w:rFonts w:ascii="Verdana" w:hAnsi="Verdana"/>
          <w:sz w:val="20"/>
          <w:lang w:val="es-ES_tradnl"/>
        </w:rPr>
        <w:t xml:space="preserve"> </w:t>
      </w:r>
      <w:r w:rsidR="00B87782" w:rsidRPr="00617833">
        <w:rPr>
          <w:rFonts w:ascii="Verdana" w:hAnsi="Verdana"/>
          <w:sz w:val="20"/>
          <w:lang w:val="es-ES_tradnl"/>
        </w:rPr>
        <w:t>(0,</w:t>
      </w:r>
      <w:r w:rsidR="00AC110E" w:rsidRPr="00617833">
        <w:rPr>
          <w:rFonts w:ascii="Verdana" w:hAnsi="Verdana"/>
          <w:sz w:val="20"/>
          <w:lang w:val="es-ES_tradnl"/>
        </w:rPr>
        <w:t>35</w:t>
      </w:r>
      <w:r w:rsidR="00C43A86" w:rsidRPr="00617833">
        <w:rPr>
          <w:rFonts w:ascii="Verdana" w:hAnsi="Verdana"/>
          <w:sz w:val="20"/>
          <w:lang w:val="es-ES_tradnl"/>
        </w:rPr>
        <w:t>)</w:t>
      </w:r>
      <w:r w:rsidR="00970BD3" w:rsidRPr="00617833">
        <w:rPr>
          <w:rFonts w:ascii="Verdana" w:hAnsi="Verdana"/>
          <w:sz w:val="20"/>
          <w:lang w:val="es-ES_tradnl"/>
        </w:rPr>
        <w:t>;</w:t>
      </w:r>
      <w:r w:rsidR="00C43A86" w:rsidRPr="00617833">
        <w:rPr>
          <w:rFonts w:ascii="Verdana" w:hAnsi="Verdana"/>
          <w:sz w:val="20"/>
          <w:lang w:val="es-ES_tradnl"/>
        </w:rPr>
        <w:t xml:space="preserve"> </w:t>
      </w:r>
      <w:r w:rsidR="00AC110E" w:rsidRPr="00617833">
        <w:rPr>
          <w:rFonts w:ascii="Verdana" w:hAnsi="Verdana"/>
          <w:sz w:val="20"/>
          <w:lang w:val="es-ES_tradnl"/>
        </w:rPr>
        <w:t xml:space="preserve">La Rioja (0,33); </w:t>
      </w:r>
      <w:r w:rsidR="00611D44" w:rsidRPr="00617833">
        <w:rPr>
          <w:rFonts w:ascii="Verdana" w:hAnsi="Verdana"/>
          <w:sz w:val="20"/>
          <w:lang w:val="es-ES_tradnl"/>
        </w:rPr>
        <w:t>Murcia (0,</w:t>
      </w:r>
      <w:r w:rsidR="00AC110E" w:rsidRPr="00617833">
        <w:rPr>
          <w:rFonts w:ascii="Verdana" w:hAnsi="Verdana"/>
          <w:sz w:val="20"/>
          <w:lang w:val="es-ES_tradnl"/>
        </w:rPr>
        <w:t>2</w:t>
      </w:r>
      <w:r w:rsidR="00032EB2" w:rsidRPr="00617833">
        <w:rPr>
          <w:rFonts w:ascii="Verdana" w:hAnsi="Verdana"/>
          <w:sz w:val="20"/>
          <w:lang w:val="es-ES_tradnl"/>
        </w:rPr>
        <w:t>7</w:t>
      </w:r>
      <w:r w:rsidRPr="00617833">
        <w:rPr>
          <w:rFonts w:ascii="Verdana" w:hAnsi="Verdana"/>
          <w:sz w:val="20"/>
          <w:lang w:val="es-ES_tradnl"/>
        </w:rPr>
        <w:t>)</w:t>
      </w:r>
      <w:r w:rsidR="004E19B5" w:rsidRPr="00617833">
        <w:rPr>
          <w:rFonts w:ascii="Verdana" w:hAnsi="Verdana"/>
          <w:sz w:val="20"/>
          <w:lang w:val="es-ES_tradnl"/>
        </w:rPr>
        <w:t xml:space="preserve">; </w:t>
      </w:r>
      <w:r w:rsidR="00AC110E" w:rsidRPr="00617833">
        <w:rPr>
          <w:rFonts w:ascii="Verdana" w:hAnsi="Verdana"/>
          <w:sz w:val="20"/>
          <w:lang w:val="es-ES_tradnl"/>
        </w:rPr>
        <w:t xml:space="preserve">Illes Balears y C. Valenciana (0,26); País Vasco (0,24) y Cataluña y Galicia (0,23). </w:t>
      </w:r>
      <w:r w:rsidRPr="00617833">
        <w:rPr>
          <w:rFonts w:ascii="Verdana" w:hAnsi="Verdana"/>
          <w:sz w:val="20"/>
          <w:lang w:val="es-ES_tradnl"/>
        </w:rPr>
        <w:t>Todas ellas  superan la tasa nacional de 0,</w:t>
      </w:r>
      <w:r w:rsidR="00AC110E" w:rsidRPr="00617833">
        <w:rPr>
          <w:rFonts w:ascii="Verdana" w:hAnsi="Verdana"/>
          <w:sz w:val="20"/>
          <w:lang w:val="es-ES_tradnl"/>
        </w:rPr>
        <w:t>22</w:t>
      </w:r>
      <w:r w:rsidRPr="00617833">
        <w:rPr>
          <w:rFonts w:ascii="Verdana" w:hAnsi="Verdana"/>
          <w:sz w:val="20"/>
          <w:lang w:val="es-ES_tradnl"/>
        </w:rPr>
        <w:t>.  En la mejor situación se encuentran Navarra (0,</w:t>
      </w:r>
      <w:r w:rsidR="00AC110E" w:rsidRPr="00617833">
        <w:rPr>
          <w:rFonts w:ascii="Verdana" w:hAnsi="Verdana"/>
          <w:sz w:val="20"/>
          <w:lang w:val="es-ES_tradnl"/>
        </w:rPr>
        <w:t>14</w:t>
      </w:r>
      <w:r w:rsidRPr="00617833">
        <w:rPr>
          <w:rFonts w:ascii="Verdana" w:hAnsi="Verdana"/>
          <w:sz w:val="20"/>
          <w:lang w:val="es-ES_tradnl"/>
        </w:rPr>
        <w:t>)</w:t>
      </w:r>
      <w:r w:rsidR="00907EC9" w:rsidRPr="00617833">
        <w:rPr>
          <w:rFonts w:ascii="Verdana" w:hAnsi="Verdana"/>
          <w:sz w:val="20"/>
          <w:lang w:val="es-ES_tradnl"/>
        </w:rPr>
        <w:t>;</w:t>
      </w:r>
      <w:r w:rsidR="001B29EA" w:rsidRPr="00617833">
        <w:rPr>
          <w:rFonts w:ascii="Verdana" w:hAnsi="Verdana"/>
          <w:sz w:val="20"/>
          <w:lang w:val="es-ES_tradnl"/>
        </w:rPr>
        <w:t xml:space="preserve"> </w:t>
      </w:r>
      <w:r w:rsidR="00AC110E" w:rsidRPr="00617833">
        <w:rPr>
          <w:rFonts w:ascii="Verdana" w:hAnsi="Verdana"/>
          <w:sz w:val="20"/>
          <w:lang w:val="es-ES_tradnl"/>
        </w:rPr>
        <w:t>Aragón</w:t>
      </w:r>
      <w:r w:rsidR="00B87782" w:rsidRPr="00617833">
        <w:rPr>
          <w:rFonts w:ascii="Verdana" w:hAnsi="Verdana"/>
          <w:sz w:val="20"/>
          <w:lang w:val="es-ES_tradnl"/>
        </w:rPr>
        <w:t xml:space="preserve"> </w:t>
      </w:r>
      <w:r w:rsidR="00AC110E" w:rsidRPr="00617833">
        <w:rPr>
          <w:rFonts w:ascii="Verdana" w:hAnsi="Verdana"/>
          <w:sz w:val="20"/>
          <w:lang w:val="es-ES_tradnl"/>
        </w:rPr>
        <w:t xml:space="preserve">y Canarias </w:t>
      </w:r>
      <w:r w:rsidR="00B87782" w:rsidRPr="00617833">
        <w:rPr>
          <w:rFonts w:ascii="Verdana" w:hAnsi="Verdana"/>
          <w:sz w:val="20"/>
          <w:lang w:val="es-ES_tradnl"/>
        </w:rPr>
        <w:t>(0,</w:t>
      </w:r>
      <w:r w:rsidR="00AC110E" w:rsidRPr="00617833">
        <w:rPr>
          <w:rFonts w:ascii="Verdana" w:hAnsi="Verdana"/>
          <w:sz w:val="20"/>
          <w:lang w:val="es-ES_tradnl"/>
        </w:rPr>
        <w:t>15)</w:t>
      </w:r>
      <w:r w:rsidRPr="00617833">
        <w:rPr>
          <w:rFonts w:ascii="Verdana" w:hAnsi="Verdana"/>
          <w:sz w:val="20"/>
          <w:lang w:val="es-ES_tradnl"/>
        </w:rPr>
        <w:t>.</w:t>
      </w:r>
      <w:r w:rsidR="00B458EA" w:rsidRPr="00617833">
        <w:rPr>
          <w:rFonts w:ascii="Verdana" w:hAnsi="Verdana"/>
          <w:color w:val="FF0000"/>
          <w:sz w:val="20"/>
          <w:lang w:val="es-ES_tradnl"/>
        </w:rPr>
        <w:t xml:space="preserve"> </w:t>
      </w:r>
    </w:p>
    <w:p w:rsidR="00A12F42" w:rsidRPr="00617833" w:rsidRDefault="00AC110E">
      <w:pPr>
        <w:pStyle w:val="Textoindependiente"/>
        <w:spacing w:before="120" w:after="120"/>
        <w:ind w:firstLine="357"/>
        <w:rPr>
          <w:rFonts w:ascii="Verdana" w:hAnsi="Verdana"/>
          <w:sz w:val="20"/>
          <w:lang w:val="es-ES_tradnl"/>
        </w:rPr>
      </w:pPr>
      <w:r w:rsidRPr="00617833">
        <w:rPr>
          <w:noProof/>
        </w:rPr>
        <w:drawing>
          <wp:inline distT="0" distB="0" distL="0" distR="0" wp14:anchorId="71CF5AD8" wp14:editId="3ADD02E3">
            <wp:extent cx="5514975" cy="3114675"/>
            <wp:effectExtent l="0" t="0" r="9525" b="9525"/>
            <wp:docPr id="1028" name="Gráfico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2F42" w:rsidRPr="00617833" w:rsidRDefault="00A12F42">
      <w:pPr>
        <w:pStyle w:val="Textoindependiente"/>
        <w:spacing w:before="120" w:after="120"/>
        <w:ind w:firstLine="357"/>
        <w:rPr>
          <w:rFonts w:ascii="Verdana" w:hAnsi="Verdana"/>
          <w:sz w:val="20"/>
          <w:lang w:val="es-ES_tradnl"/>
        </w:rPr>
      </w:pPr>
    </w:p>
    <w:p w:rsidR="003F1196" w:rsidRPr="00617833" w:rsidRDefault="00AC110E" w:rsidP="002E3D17">
      <w:pPr>
        <w:pStyle w:val="Textoindependiente"/>
        <w:spacing w:before="120" w:after="120"/>
        <w:jc w:val="center"/>
        <w:rPr>
          <w:rFonts w:ascii="Verdana" w:hAnsi="Verdana"/>
          <w:sz w:val="20"/>
          <w:lang w:val="es-ES_tradnl"/>
        </w:rPr>
      </w:pPr>
      <w:r w:rsidRPr="00617833">
        <w:rPr>
          <w:rFonts w:ascii="Verdana" w:hAnsi="Verdana"/>
          <w:noProof/>
          <w:sz w:val="20"/>
        </w:rPr>
        <mc:AlternateContent>
          <mc:Choice Requires="wpg">
            <w:drawing>
              <wp:anchor distT="0" distB="0" distL="114300" distR="114300" simplePos="0" relativeHeight="251719680" behindDoc="0" locked="0" layoutInCell="1" allowOverlap="1" wp14:anchorId="4BC48007" wp14:editId="4C7063E9">
                <wp:simplePos x="0" y="0"/>
                <wp:positionH relativeFrom="column">
                  <wp:posOffset>929640</wp:posOffset>
                </wp:positionH>
                <wp:positionV relativeFrom="paragraph">
                  <wp:posOffset>151765</wp:posOffset>
                </wp:positionV>
                <wp:extent cx="4248150" cy="3190875"/>
                <wp:effectExtent l="0" t="0" r="0" b="9525"/>
                <wp:wrapNone/>
                <wp:docPr id="1051" name="1 Grupo"/>
                <wp:cNvGraphicFramePr/>
                <a:graphic xmlns:a="http://schemas.openxmlformats.org/drawingml/2006/main">
                  <a:graphicData uri="http://schemas.microsoft.com/office/word/2010/wordprocessingGroup">
                    <wpg:wgp>
                      <wpg:cNvGrpSpPr/>
                      <wpg:grpSpPr>
                        <a:xfrm>
                          <a:off x="0" y="0"/>
                          <a:ext cx="4248150" cy="3190875"/>
                          <a:chOff x="0" y="0"/>
                          <a:chExt cx="4364980" cy="3505200"/>
                        </a:xfrm>
                      </wpg:grpSpPr>
                      <pic:pic xmlns:pic="http://schemas.openxmlformats.org/drawingml/2006/picture">
                        <pic:nvPicPr>
                          <pic:cNvPr id="1052"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0" cy="3505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53"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40955" y="2317799"/>
                            <a:ext cx="1724025" cy="857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1 Grupo" o:spid="_x0000_s1026" style="position:absolute;margin-left:73.2pt;margin-top:11.95pt;width:334.5pt;height:251.25pt;z-index:251719680;mso-width-relative:margin;mso-height-relative:margin" coordsize="43649,3505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">
                <v:shape id="Picture 2" o:spid="_x0000_s1027" type="#_x0000_t75" style="position:absolute;width:38417;height:3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2TrbDAAAA3QAAAA8AAABkcnMvZG93bnJldi54bWxET0trwkAQvhf8D8sIvdWNUqtN3QSRCu1B&#10;xNd9yI5JMDsbd7dJ+u+7hUJv8/E9Z5UPphEdOV9bVjCdJCCIC6trLhWcT9unJQgfkDU2lknBN3nI&#10;s9HDClNtez5QdwyliCHsU1RQhdCmUvqiIoN+YlviyF2tMxgidKXUDvsYbho5S5IXabDm2FBhS5uK&#10;itvxyyhwPW397vW+6Pbz98/dsyzN7bJW6nE8rN9ABBrCv/jP/aHj/GQ+g99v4gk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ZOtsMAAADdAAAADwAAAAAAAAAAAAAAAACf&#10;AgAAZHJzL2Rvd25yZXYueG1sUEsFBgAAAAAEAAQA9wAAAI8DAAAAAA==&#10;" fillcolor="#4f81bd [3204]" strokecolor="black [3213]">
                  <v:imagedata r:id="rId23" o:title=""/>
                  <v:shadow color="#eeece1 [3214]"/>
                </v:shape>
                <v:shape id="Picture 3" o:spid="_x0000_s1028" type="#_x0000_t75" style="position:absolute;left:26409;top:23177;width:17240;height: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Bp1XCAAAA3QAAAA8AAABkcnMvZG93bnJldi54bWxET02LwjAQvQv7H8IseNPUldXdahTpInhS&#10;bMXz2IxtsZmUJmr99xtB8DaP9znzZWdqcaPWVZYVjIYRCOLc6ooLBYdsPfgB4TyyxtoyKXiQg+Xi&#10;ozfHWNs77+mW+kKEEHYxKii9b2IpXV6SQTe0DXHgzrY16ANsC6lbvIdwU8uvKJpIgxWHhhIbSkrK&#10;L+nVKNhPr6fficuS8e6YHf4ux2S7qhKl+p/dagbCU+ff4pd7o8P86HsMz2/CC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wadVwgAAAN0AAAAPAAAAAAAAAAAAAAAAAJ8C&#10;AABkcnMvZG93bnJldi54bWxQSwUGAAAAAAQABAD3AAAAjgMAAAAA&#10;" fillcolor="#4f81bd [3204]" strokecolor="black [3213]">
                  <v:imagedata r:id="rId24" o:title=""/>
                </v:shape>
              </v:group>
            </w:pict>
          </mc:Fallback>
        </mc:AlternateContent>
      </w: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2E3D17">
      <w:pPr>
        <w:pStyle w:val="Textoindependiente"/>
        <w:spacing w:before="120" w:after="120"/>
        <w:jc w:val="center"/>
        <w:rPr>
          <w:rFonts w:ascii="Verdana" w:hAnsi="Verdana"/>
          <w:sz w:val="20"/>
          <w:lang w:val="es-ES_tradnl"/>
        </w:rPr>
      </w:pPr>
    </w:p>
    <w:p w:rsidR="00D92FA8" w:rsidRPr="00617833" w:rsidRDefault="00D92FA8" w:rsidP="003F1926">
      <w:pPr>
        <w:pStyle w:val="Textoindependiente"/>
        <w:spacing w:before="120" w:after="120"/>
        <w:ind w:firstLine="357"/>
        <w:rPr>
          <w:rFonts w:ascii="Verdana" w:hAnsi="Verdana"/>
          <w:sz w:val="20"/>
          <w:lang w:val="es-ES_tradnl"/>
        </w:rPr>
      </w:pPr>
    </w:p>
    <w:p w:rsidR="00D92FA8" w:rsidRPr="00617833" w:rsidRDefault="00D92FA8" w:rsidP="003F1926">
      <w:pPr>
        <w:pStyle w:val="Textoindependiente"/>
        <w:spacing w:before="120" w:after="120"/>
        <w:ind w:firstLine="357"/>
        <w:rPr>
          <w:rFonts w:ascii="Verdana" w:hAnsi="Verdana"/>
          <w:sz w:val="20"/>
          <w:lang w:val="es-ES_tradnl"/>
        </w:rPr>
      </w:pPr>
    </w:p>
    <w:p w:rsidR="00D92FA8" w:rsidRPr="00617833" w:rsidRDefault="00D92FA8" w:rsidP="003F1926">
      <w:pPr>
        <w:pStyle w:val="Textoindependiente"/>
        <w:spacing w:before="120" w:after="120"/>
        <w:ind w:firstLine="357"/>
        <w:rPr>
          <w:rFonts w:ascii="Verdana" w:hAnsi="Verdana"/>
          <w:sz w:val="20"/>
          <w:lang w:val="es-ES_tradnl"/>
        </w:rPr>
      </w:pPr>
    </w:p>
    <w:p w:rsidR="00D92FA8" w:rsidRPr="00617833" w:rsidRDefault="00D92FA8" w:rsidP="003F1926">
      <w:pPr>
        <w:pStyle w:val="Textoindependiente"/>
        <w:spacing w:before="120" w:after="120"/>
        <w:ind w:firstLine="357"/>
        <w:rPr>
          <w:rFonts w:ascii="Verdana" w:hAnsi="Verdana"/>
          <w:sz w:val="20"/>
          <w:lang w:val="es-ES_tradnl"/>
        </w:rPr>
      </w:pPr>
    </w:p>
    <w:p w:rsidR="001D246F" w:rsidRPr="00617833" w:rsidRDefault="001D246F" w:rsidP="003F1926">
      <w:pPr>
        <w:pStyle w:val="Textoindependiente"/>
        <w:spacing w:before="120" w:after="120"/>
        <w:ind w:firstLine="357"/>
        <w:rPr>
          <w:rFonts w:ascii="Verdana" w:hAnsi="Verdana"/>
          <w:sz w:val="20"/>
          <w:lang w:val="es-ES_tradnl"/>
        </w:rPr>
      </w:pPr>
    </w:p>
    <w:p w:rsidR="006A7443" w:rsidRPr="00617833" w:rsidRDefault="006A7443" w:rsidP="003F1926">
      <w:pPr>
        <w:pStyle w:val="Textoindependiente"/>
        <w:spacing w:before="120" w:after="120"/>
        <w:ind w:firstLine="357"/>
        <w:rPr>
          <w:rFonts w:ascii="Verdana" w:hAnsi="Verdana"/>
          <w:sz w:val="20"/>
          <w:lang w:val="es-ES_tradnl"/>
        </w:rPr>
      </w:pPr>
    </w:p>
    <w:p w:rsidR="006A7443" w:rsidRPr="00617833" w:rsidRDefault="00AC110E" w:rsidP="003F1926">
      <w:pPr>
        <w:pStyle w:val="Textoindependiente"/>
        <w:spacing w:before="120" w:after="120"/>
        <w:ind w:firstLine="357"/>
        <w:rPr>
          <w:rFonts w:ascii="Verdana" w:hAnsi="Verdana"/>
          <w:sz w:val="20"/>
          <w:lang w:val="es-ES_tradnl"/>
        </w:rPr>
      </w:pPr>
      <w:r w:rsidRPr="00617833">
        <w:rPr>
          <w:rFonts w:ascii="Verdana" w:hAnsi="Verdana"/>
          <w:noProof/>
          <w:sz w:val="20"/>
        </w:rPr>
        <mc:AlternateContent>
          <mc:Choice Requires="wps">
            <w:drawing>
              <wp:anchor distT="0" distB="0" distL="114300" distR="114300" simplePos="0" relativeHeight="251673600" behindDoc="0" locked="0" layoutInCell="1" allowOverlap="1" wp14:anchorId="0EB5B38B" wp14:editId="6BB5A36D">
                <wp:simplePos x="0" y="0"/>
                <wp:positionH relativeFrom="column">
                  <wp:posOffset>1967865</wp:posOffset>
                </wp:positionH>
                <wp:positionV relativeFrom="paragraph">
                  <wp:posOffset>46990</wp:posOffset>
                </wp:positionV>
                <wp:extent cx="2313305" cy="337820"/>
                <wp:effectExtent l="0" t="0" r="0" b="0"/>
                <wp:wrapNone/>
                <wp:docPr id="17"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3C" w:rsidRPr="005E3A00" w:rsidRDefault="00F9053C" w:rsidP="005402B7">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 xml:space="preserve">Tasa de </w:t>
                            </w:r>
                            <w:r>
                              <w:rPr>
                                <w:rFonts w:ascii="Verdana" w:eastAsia="Verdana" w:hAnsi="Verdana" w:cs="Verdana"/>
                                <w:b/>
                                <w:bCs/>
                                <w:color w:val="000000"/>
                                <w:kern w:val="24"/>
                                <w:sz w:val="28"/>
                                <w:szCs w:val="28"/>
                              </w:rPr>
                              <w:t>pendencia</w:t>
                            </w:r>
                          </w:p>
                        </w:txbxContent>
                      </wps:txbx>
                      <wps:bodyPr rot="0" vert="horz" wrap="none" lIns="91440" tIns="45720" rIns="91440" bIns="45720" anchor="t" anchorCtr="0" upright="1">
                        <a:spAutoFit/>
                      </wps:bodyPr>
                    </wps:wsp>
                  </a:graphicData>
                </a:graphic>
              </wp:anchor>
            </w:drawing>
          </mc:Choice>
          <mc:Fallback>
            <w:pict>
              <v:shape id="_x0000_s1027" type="#_x0000_t202" style="position:absolute;left:0;text-align:left;margin-left:154.95pt;margin-top:3.7pt;width:182.15pt;height:26.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" filled="f" stroked="f">
                <v:textbox style="mso-fit-shape-to-text:t">
                  <w:txbxContent>
                    <w:p w:rsidR="00F9053C" w:rsidRPr="005E3A00" w:rsidRDefault="00F9053C" w:rsidP="005402B7">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 xml:space="preserve">Tasa de </w:t>
                      </w:r>
                      <w:r>
                        <w:rPr>
                          <w:rFonts w:ascii="Verdana" w:eastAsia="Verdana" w:hAnsi="Verdana" w:cs="Verdana"/>
                          <w:b/>
                          <w:bCs/>
                          <w:color w:val="000000"/>
                          <w:kern w:val="24"/>
                          <w:sz w:val="28"/>
                          <w:szCs w:val="28"/>
                        </w:rPr>
                        <w:t>pendencia</w:t>
                      </w:r>
                    </w:p>
                  </w:txbxContent>
                </v:textbox>
              </v:shape>
            </w:pict>
          </mc:Fallback>
        </mc:AlternateContent>
      </w:r>
    </w:p>
    <w:p w:rsidR="006A7443" w:rsidRPr="00617833" w:rsidRDefault="006A7443" w:rsidP="003F1926">
      <w:pPr>
        <w:pStyle w:val="Textoindependiente"/>
        <w:spacing w:before="120" w:after="120"/>
        <w:ind w:firstLine="357"/>
        <w:rPr>
          <w:rFonts w:ascii="Verdana" w:hAnsi="Verdana"/>
          <w:sz w:val="20"/>
          <w:lang w:val="es-ES_tradnl"/>
        </w:rPr>
      </w:pPr>
    </w:p>
    <w:p w:rsidR="006A7443" w:rsidRPr="00617833" w:rsidRDefault="006A7443" w:rsidP="003F1926">
      <w:pPr>
        <w:pStyle w:val="Textoindependiente"/>
        <w:spacing w:before="120" w:after="120"/>
        <w:ind w:firstLine="357"/>
        <w:rPr>
          <w:rFonts w:ascii="Verdana" w:hAnsi="Verdana"/>
          <w:sz w:val="20"/>
          <w:lang w:val="es-ES_tradnl"/>
        </w:rPr>
      </w:pPr>
    </w:p>
    <w:p w:rsidR="006A7443" w:rsidRPr="00617833" w:rsidRDefault="006A7443" w:rsidP="003F1926">
      <w:pPr>
        <w:pStyle w:val="Textoindependiente"/>
        <w:spacing w:before="120" w:after="120"/>
        <w:ind w:firstLine="357"/>
        <w:rPr>
          <w:rFonts w:ascii="Verdana" w:hAnsi="Verdana"/>
          <w:sz w:val="20"/>
          <w:lang w:val="es-ES_tradnl"/>
        </w:rPr>
      </w:pPr>
    </w:p>
    <w:p w:rsidR="005402B7" w:rsidRPr="00617833" w:rsidRDefault="005402B7" w:rsidP="00B458EA">
      <w:pPr>
        <w:pStyle w:val="Textoindependiente"/>
        <w:spacing w:before="120" w:after="120"/>
        <w:ind w:firstLine="357"/>
        <w:rPr>
          <w:rFonts w:ascii="Verdana" w:hAnsi="Verdana"/>
          <w:sz w:val="20"/>
          <w:lang w:val="es-ES_tradnl"/>
        </w:rPr>
      </w:pPr>
    </w:p>
    <w:p w:rsidR="005402B7" w:rsidRPr="00617833" w:rsidRDefault="005402B7" w:rsidP="00B458EA">
      <w:pPr>
        <w:pStyle w:val="Textoindependiente"/>
        <w:spacing w:before="120" w:after="120"/>
        <w:ind w:firstLine="357"/>
        <w:rPr>
          <w:rFonts w:ascii="Verdana" w:hAnsi="Verdana"/>
          <w:sz w:val="20"/>
          <w:lang w:val="es-ES_tradnl"/>
        </w:rPr>
      </w:pPr>
    </w:p>
    <w:p w:rsidR="005402B7" w:rsidRPr="00617833" w:rsidRDefault="005402B7" w:rsidP="00B458EA">
      <w:pPr>
        <w:pStyle w:val="Textoindependiente"/>
        <w:spacing w:before="120" w:after="120"/>
        <w:ind w:firstLine="357"/>
        <w:rPr>
          <w:rFonts w:ascii="Verdana" w:hAnsi="Verdana"/>
          <w:sz w:val="20"/>
          <w:lang w:val="es-ES_tradnl"/>
        </w:rPr>
      </w:pPr>
    </w:p>
    <w:p w:rsidR="005402B7" w:rsidRPr="00617833" w:rsidRDefault="005402B7" w:rsidP="00B458EA">
      <w:pPr>
        <w:pStyle w:val="Textoindependiente"/>
        <w:spacing w:before="120" w:after="120"/>
        <w:ind w:firstLine="357"/>
        <w:rPr>
          <w:rFonts w:ascii="Verdana" w:hAnsi="Verdana"/>
          <w:sz w:val="20"/>
          <w:lang w:val="es-ES_tradnl"/>
        </w:rPr>
      </w:pPr>
    </w:p>
    <w:p w:rsidR="003F1926" w:rsidRPr="00617833" w:rsidRDefault="003F1926" w:rsidP="00B458EA">
      <w:pPr>
        <w:pStyle w:val="Textoindependiente"/>
        <w:spacing w:before="120" w:after="120"/>
        <w:ind w:firstLine="357"/>
        <w:rPr>
          <w:rFonts w:ascii="Verdana" w:hAnsi="Verdana"/>
          <w:color w:val="FF0000"/>
          <w:sz w:val="20"/>
          <w:lang w:val="es-ES_tradnl"/>
        </w:rPr>
      </w:pPr>
      <w:r w:rsidRPr="00617833">
        <w:rPr>
          <w:rFonts w:ascii="Verdana" w:hAnsi="Verdana"/>
          <w:sz w:val="20"/>
          <w:lang w:val="es-ES_tradnl"/>
        </w:rPr>
        <w:t>La tasa de congestión más alta se ha dado en Castilla-La Mancha (1,</w:t>
      </w:r>
      <w:r w:rsidR="008C5EFA" w:rsidRPr="00617833">
        <w:rPr>
          <w:rFonts w:ascii="Verdana" w:hAnsi="Verdana"/>
          <w:sz w:val="20"/>
          <w:lang w:val="es-ES_tradnl"/>
        </w:rPr>
        <w:t>5</w:t>
      </w:r>
      <w:r w:rsidR="009B6323" w:rsidRPr="00617833">
        <w:rPr>
          <w:rFonts w:ascii="Verdana" w:hAnsi="Verdana"/>
          <w:sz w:val="20"/>
          <w:lang w:val="es-ES_tradnl"/>
        </w:rPr>
        <w:t>6</w:t>
      </w:r>
      <w:r w:rsidR="00C15B2A" w:rsidRPr="00617833">
        <w:rPr>
          <w:rFonts w:ascii="Verdana" w:hAnsi="Verdana"/>
          <w:sz w:val="20"/>
          <w:lang w:val="es-ES_tradnl"/>
        </w:rPr>
        <w:t>)</w:t>
      </w:r>
      <w:r w:rsidR="00970BD3" w:rsidRPr="00617833">
        <w:rPr>
          <w:rFonts w:ascii="Verdana" w:hAnsi="Verdana"/>
          <w:sz w:val="20"/>
          <w:lang w:val="es-ES_tradnl"/>
        </w:rPr>
        <w:t>;</w:t>
      </w:r>
      <w:r w:rsidR="00C15B2A" w:rsidRPr="00617833">
        <w:rPr>
          <w:rFonts w:ascii="Verdana" w:hAnsi="Verdana"/>
          <w:sz w:val="20"/>
          <w:lang w:val="es-ES_tradnl"/>
        </w:rPr>
        <w:t xml:space="preserve"> Murcia</w:t>
      </w:r>
      <w:r w:rsidR="00E77B97" w:rsidRPr="00617833">
        <w:rPr>
          <w:rFonts w:ascii="Verdana" w:hAnsi="Verdana"/>
          <w:sz w:val="20"/>
          <w:lang w:val="es-ES_tradnl"/>
        </w:rPr>
        <w:t xml:space="preserve"> </w:t>
      </w:r>
      <w:r w:rsidR="00C15B2A" w:rsidRPr="00617833">
        <w:rPr>
          <w:rFonts w:ascii="Verdana" w:hAnsi="Verdana"/>
          <w:sz w:val="20"/>
          <w:lang w:val="es-ES_tradnl"/>
        </w:rPr>
        <w:t>(1,</w:t>
      </w:r>
      <w:r w:rsidR="009B6323" w:rsidRPr="00617833">
        <w:rPr>
          <w:rFonts w:ascii="Verdana" w:hAnsi="Verdana"/>
          <w:sz w:val="20"/>
          <w:lang w:val="es-ES_tradnl"/>
        </w:rPr>
        <w:t>53</w:t>
      </w:r>
      <w:r w:rsidR="00C15B2A" w:rsidRPr="00617833">
        <w:rPr>
          <w:rFonts w:ascii="Verdana" w:hAnsi="Verdana"/>
          <w:sz w:val="20"/>
          <w:lang w:val="es-ES_tradnl"/>
        </w:rPr>
        <w:t>)</w:t>
      </w:r>
      <w:r w:rsidR="00970BD3" w:rsidRPr="00617833">
        <w:rPr>
          <w:rFonts w:ascii="Verdana" w:hAnsi="Verdana"/>
          <w:sz w:val="20"/>
          <w:lang w:val="es-ES_tradnl"/>
        </w:rPr>
        <w:t>;</w:t>
      </w:r>
      <w:r w:rsidRPr="00617833">
        <w:rPr>
          <w:rFonts w:ascii="Verdana" w:hAnsi="Verdana"/>
          <w:sz w:val="20"/>
          <w:lang w:val="es-ES_tradnl"/>
        </w:rPr>
        <w:t xml:space="preserve"> </w:t>
      </w:r>
      <w:r w:rsidR="004E19B5" w:rsidRPr="00617833">
        <w:rPr>
          <w:rFonts w:ascii="Verdana" w:hAnsi="Verdana"/>
          <w:sz w:val="20"/>
          <w:lang w:val="es-ES_tradnl"/>
        </w:rPr>
        <w:t>L</w:t>
      </w:r>
      <w:r w:rsidR="00241884" w:rsidRPr="00617833">
        <w:rPr>
          <w:rFonts w:ascii="Verdana" w:hAnsi="Verdana"/>
          <w:sz w:val="20"/>
          <w:lang w:val="es-ES_tradnl"/>
        </w:rPr>
        <w:t>a Rioja (1,</w:t>
      </w:r>
      <w:r w:rsidR="008C5EFA" w:rsidRPr="00617833">
        <w:rPr>
          <w:rFonts w:ascii="Verdana" w:hAnsi="Verdana"/>
          <w:sz w:val="20"/>
          <w:lang w:val="es-ES_tradnl"/>
        </w:rPr>
        <w:t>4</w:t>
      </w:r>
      <w:r w:rsidR="009B6323" w:rsidRPr="00617833">
        <w:rPr>
          <w:rFonts w:ascii="Verdana" w:hAnsi="Verdana"/>
          <w:sz w:val="20"/>
          <w:lang w:val="es-ES_tradnl"/>
        </w:rPr>
        <w:t>6</w:t>
      </w:r>
      <w:r w:rsidR="00241884" w:rsidRPr="00617833">
        <w:rPr>
          <w:rFonts w:ascii="Verdana" w:hAnsi="Verdana"/>
          <w:sz w:val="20"/>
          <w:lang w:val="es-ES_tradnl"/>
        </w:rPr>
        <w:t>)</w:t>
      </w:r>
      <w:r w:rsidR="00970BD3" w:rsidRPr="00617833">
        <w:rPr>
          <w:rFonts w:ascii="Verdana" w:hAnsi="Verdana"/>
          <w:sz w:val="20"/>
          <w:lang w:val="es-ES_tradnl"/>
        </w:rPr>
        <w:t>;</w:t>
      </w:r>
      <w:r w:rsidR="008C5EFA" w:rsidRPr="00617833">
        <w:rPr>
          <w:rFonts w:ascii="Verdana" w:hAnsi="Verdana"/>
          <w:sz w:val="20"/>
          <w:lang w:val="es-ES_tradnl"/>
        </w:rPr>
        <w:t xml:space="preserve"> </w:t>
      </w:r>
      <w:r w:rsidR="009B6323" w:rsidRPr="00617833">
        <w:rPr>
          <w:rFonts w:ascii="Verdana" w:hAnsi="Verdana"/>
          <w:sz w:val="20"/>
          <w:lang w:val="es-ES_tradnl"/>
        </w:rPr>
        <w:t xml:space="preserve">Illes Balears, Cataluña y </w:t>
      </w:r>
      <w:r w:rsidR="008C5EFA" w:rsidRPr="00617833">
        <w:rPr>
          <w:rFonts w:ascii="Verdana" w:hAnsi="Verdana"/>
          <w:sz w:val="20"/>
          <w:lang w:val="es-ES_tradnl"/>
        </w:rPr>
        <w:t>C. Valenciana (1,4</w:t>
      </w:r>
      <w:r w:rsidR="009B6323" w:rsidRPr="00617833">
        <w:rPr>
          <w:rFonts w:ascii="Verdana" w:hAnsi="Verdana"/>
          <w:sz w:val="20"/>
          <w:lang w:val="es-ES_tradnl"/>
        </w:rPr>
        <w:t>3</w:t>
      </w:r>
      <w:r w:rsidR="008C5EFA" w:rsidRPr="00617833">
        <w:rPr>
          <w:rFonts w:ascii="Verdana" w:hAnsi="Verdana"/>
          <w:sz w:val="20"/>
          <w:lang w:val="es-ES_tradnl"/>
        </w:rPr>
        <w:t xml:space="preserve">); </w:t>
      </w:r>
      <w:r w:rsidR="002B73D8" w:rsidRPr="00617833">
        <w:rPr>
          <w:rFonts w:ascii="Verdana" w:hAnsi="Verdana"/>
          <w:sz w:val="20"/>
          <w:lang w:val="es-ES_tradnl"/>
        </w:rPr>
        <w:t>Andalucía</w:t>
      </w:r>
      <w:r w:rsidR="009B6323" w:rsidRPr="00617833">
        <w:rPr>
          <w:rFonts w:ascii="Verdana" w:hAnsi="Verdana"/>
          <w:sz w:val="20"/>
          <w:lang w:val="es-ES_tradnl"/>
        </w:rPr>
        <w:t xml:space="preserve"> (1,42)</w:t>
      </w:r>
      <w:r w:rsidRPr="00617833">
        <w:rPr>
          <w:rFonts w:ascii="Verdana" w:hAnsi="Verdana"/>
          <w:sz w:val="20"/>
          <w:lang w:val="es-ES_tradnl"/>
        </w:rPr>
        <w:t>.</w:t>
      </w:r>
      <w:r w:rsidR="00C15B2A" w:rsidRPr="00617833">
        <w:rPr>
          <w:rFonts w:ascii="Verdana" w:hAnsi="Verdana"/>
          <w:sz w:val="20"/>
          <w:lang w:val="es-ES_tradnl"/>
        </w:rPr>
        <w:t xml:space="preserve"> </w:t>
      </w:r>
      <w:r w:rsidRPr="00617833">
        <w:rPr>
          <w:rFonts w:ascii="Verdana" w:hAnsi="Verdana"/>
          <w:sz w:val="20"/>
          <w:lang w:val="es-ES_tradnl"/>
        </w:rPr>
        <w:t xml:space="preserve"> La</w:t>
      </w:r>
      <w:r w:rsidR="00E477AE" w:rsidRPr="00617833">
        <w:rPr>
          <w:rFonts w:ascii="Verdana" w:hAnsi="Verdana"/>
          <w:sz w:val="20"/>
          <w:lang w:val="es-ES_tradnl"/>
        </w:rPr>
        <w:t>s</w:t>
      </w:r>
      <w:r w:rsidRPr="00617833">
        <w:rPr>
          <w:rFonts w:ascii="Verdana" w:hAnsi="Verdana"/>
          <w:sz w:val="20"/>
          <w:lang w:val="es-ES_tradnl"/>
        </w:rPr>
        <w:t xml:space="preserve"> más baja</w:t>
      </w:r>
      <w:r w:rsidR="00E477AE" w:rsidRPr="00617833">
        <w:rPr>
          <w:rFonts w:ascii="Verdana" w:hAnsi="Verdana"/>
          <w:sz w:val="20"/>
          <w:lang w:val="es-ES_tradnl"/>
        </w:rPr>
        <w:t>s</w:t>
      </w:r>
      <w:r w:rsidRPr="00617833">
        <w:rPr>
          <w:rFonts w:ascii="Verdana" w:hAnsi="Verdana"/>
          <w:sz w:val="20"/>
          <w:lang w:val="es-ES_tradnl"/>
        </w:rPr>
        <w:t xml:space="preserve"> ha</w:t>
      </w:r>
      <w:r w:rsidR="00E477AE" w:rsidRPr="00617833">
        <w:rPr>
          <w:rFonts w:ascii="Verdana" w:hAnsi="Verdana"/>
          <w:sz w:val="20"/>
          <w:lang w:val="es-ES_tradnl"/>
        </w:rPr>
        <w:t>n</w:t>
      </w:r>
      <w:r w:rsidRPr="00617833">
        <w:rPr>
          <w:rFonts w:ascii="Verdana" w:hAnsi="Verdana"/>
          <w:sz w:val="20"/>
          <w:lang w:val="es-ES_tradnl"/>
        </w:rPr>
        <w:t xml:space="preserve"> correspondido a  Navarra (1,</w:t>
      </w:r>
      <w:r w:rsidR="00C43A86" w:rsidRPr="00617833">
        <w:rPr>
          <w:rFonts w:ascii="Verdana" w:hAnsi="Verdana"/>
          <w:sz w:val="20"/>
          <w:lang w:val="es-ES_tradnl"/>
        </w:rPr>
        <w:t>2</w:t>
      </w:r>
      <w:r w:rsidR="009B6323" w:rsidRPr="00617833">
        <w:rPr>
          <w:rFonts w:ascii="Verdana" w:hAnsi="Verdana"/>
          <w:sz w:val="20"/>
          <w:lang w:val="es-ES_tradnl"/>
        </w:rPr>
        <w:t>7</w:t>
      </w:r>
      <w:r w:rsidRPr="00617833">
        <w:rPr>
          <w:rFonts w:ascii="Verdana" w:hAnsi="Verdana"/>
          <w:sz w:val="20"/>
          <w:lang w:val="es-ES_tradnl"/>
        </w:rPr>
        <w:t>)</w:t>
      </w:r>
      <w:r w:rsidR="00970BD3" w:rsidRPr="00617833">
        <w:rPr>
          <w:rFonts w:ascii="Verdana" w:hAnsi="Verdana"/>
          <w:sz w:val="20"/>
          <w:lang w:val="es-ES_tradnl"/>
        </w:rPr>
        <w:t>;</w:t>
      </w:r>
      <w:r w:rsidR="00C15B2A" w:rsidRPr="00617833">
        <w:rPr>
          <w:rFonts w:ascii="Verdana" w:hAnsi="Verdana"/>
          <w:sz w:val="20"/>
          <w:lang w:val="es-ES_tradnl"/>
        </w:rPr>
        <w:t xml:space="preserve"> </w:t>
      </w:r>
      <w:r w:rsidR="008C5EFA" w:rsidRPr="00617833">
        <w:rPr>
          <w:rFonts w:ascii="Verdana" w:hAnsi="Verdana"/>
          <w:sz w:val="20"/>
          <w:lang w:val="es-ES_tradnl"/>
        </w:rPr>
        <w:t>Asturias (1,2</w:t>
      </w:r>
      <w:r w:rsidR="009B6323" w:rsidRPr="00617833">
        <w:rPr>
          <w:rFonts w:ascii="Verdana" w:hAnsi="Verdana"/>
          <w:sz w:val="20"/>
          <w:lang w:val="es-ES_tradnl"/>
        </w:rPr>
        <w:t>9</w:t>
      </w:r>
      <w:r w:rsidR="008C5EFA" w:rsidRPr="00617833">
        <w:rPr>
          <w:rFonts w:ascii="Verdana" w:hAnsi="Verdana"/>
          <w:sz w:val="20"/>
          <w:lang w:val="es-ES_tradnl"/>
        </w:rPr>
        <w:t xml:space="preserve">); Aragón </w:t>
      </w:r>
      <w:r w:rsidR="00241884" w:rsidRPr="00617833">
        <w:rPr>
          <w:rFonts w:ascii="Verdana" w:hAnsi="Verdana"/>
          <w:sz w:val="20"/>
          <w:lang w:val="es-ES_tradnl"/>
        </w:rPr>
        <w:t xml:space="preserve"> </w:t>
      </w:r>
      <w:r w:rsidR="00C43A86" w:rsidRPr="00617833">
        <w:rPr>
          <w:rFonts w:ascii="Verdana" w:hAnsi="Verdana"/>
          <w:sz w:val="20"/>
          <w:lang w:val="es-ES_tradnl"/>
        </w:rPr>
        <w:t xml:space="preserve">y </w:t>
      </w:r>
      <w:r w:rsidR="00241884" w:rsidRPr="00617833">
        <w:rPr>
          <w:rFonts w:ascii="Verdana" w:hAnsi="Verdana"/>
          <w:sz w:val="20"/>
          <w:lang w:val="es-ES_tradnl"/>
        </w:rPr>
        <w:t>Cantabria (1,</w:t>
      </w:r>
      <w:r w:rsidR="009B6323" w:rsidRPr="00617833">
        <w:rPr>
          <w:rFonts w:ascii="Verdana" w:hAnsi="Verdana"/>
          <w:sz w:val="20"/>
          <w:lang w:val="es-ES_tradnl"/>
        </w:rPr>
        <w:t>32</w:t>
      </w:r>
      <w:r w:rsidR="00241884" w:rsidRPr="00617833">
        <w:rPr>
          <w:rFonts w:ascii="Verdana" w:hAnsi="Verdana"/>
          <w:sz w:val="20"/>
          <w:lang w:val="es-ES_tradnl"/>
        </w:rPr>
        <w:t>)</w:t>
      </w:r>
      <w:r w:rsidR="001B547C" w:rsidRPr="00617833">
        <w:rPr>
          <w:rFonts w:ascii="Verdana" w:hAnsi="Verdana"/>
          <w:sz w:val="20"/>
          <w:lang w:val="es-ES_tradnl"/>
        </w:rPr>
        <w:t>.</w:t>
      </w:r>
    </w:p>
    <w:p w:rsidR="00A12F42" w:rsidRPr="00617833" w:rsidRDefault="00BA1397" w:rsidP="00983CAE">
      <w:pPr>
        <w:pStyle w:val="Textoindependiente"/>
        <w:spacing w:before="120" w:after="120"/>
        <w:rPr>
          <w:rFonts w:ascii="Verdana" w:hAnsi="Verdana"/>
          <w:sz w:val="20"/>
          <w:lang w:val="es-ES_tradnl"/>
        </w:rPr>
      </w:pPr>
      <w:r w:rsidRPr="00617833">
        <w:rPr>
          <w:noProof/>
        </w:rPr>
        <w:drawing>
          <wp:inline distT="0" distB="0" distL="0" distR="0" wp14:anchorId="324B74D3" wp14:editId="13CD8F9B">
            <wp:extent cx="5495925" cy="3219450"/>
            <wp:effectExtent l="0" t="0" r="9525" b="19050"/>
            <wp:docPr id="1054" name="Gráfico 10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4EE3" w:rsidRPr="00617833" w:rsidRDefault="00983CAE" w:rsidP="00366C5F">
      <w:pPr>
        <w:pStyle w:val="Textoindependiente"/>
        <w:spacing w:before="120" w:after="120"/>
        <w:ind w:left="720" w:hanging="540"/>
        <w:rPr>
          <w:rFonts w:ascii="Verdana" w:hAnsi="Verdana"/>
          <w:sz w:val="20"/>
        </w:rPr>
      </w:pPr>
      <w:r w:rsidRPr="00617833">
        <w:rPr>
          <w:rFonts w:ascii="Verdana" w:hAnsi="Verdana"/>
          <w:sz w:val="20"/>
        </w:rPr>
        <w:tab/>
      </w:r>
    </w:p>
    <w:p w:rsidR="005402B7" w:rsidRPr="00617833" w:rsidRDefault="005402B7" w:rsidP="00366C5F">
      <w:pPr>
        <w:pStyle w:val="Textoindependiente"/>
        <w:spacing w:before="120" w:after="120"/>
        <w:ind w:left="720" w:hanging="540"/>
        <w:rPr>
          <w:rFonts w:ascii="Verdana" w:hAnsi="Verdana"/>
          <w:sz w:val="20"/>
        </w:rPr>
      </w:pPr>
    </w:p>
    <w:p w:rsidR="00D92FA8" w:rsidRPr="00617833" w:rsidRDefault="009B6323" w:rsidP="00705A20">
      <w:pPr>
        <w:pStyle w:val="Textoindependiente"/>
        <w:spacing w:before="120" w:after="120"/>
        <w:jc w:val="center"/>
        <w:rPr>
          <w:rFonts w:ascii="Verdana" w:hAnsi="Verdana"/>
          <w:sz w:val="20"/>
        </w:rPr>
      </w:pPr>
      <w:r w:rsidRPr="00617833">
        <w:rPr>
          <w:rFonts w:ascii="Verdana" w:hAnsi="Verdana"/>
          <w:noProof/>
          <w:sz w:val="20"/>
        </w:rPr>
        <mc:AlternateContent>
          <mc:Choice Requires="wpg">
            <w:drawing>
              <wp:anchor distT="0" distB="0" distL="114300" distR="114300" simplePos="0" relativeHeight="251721728" behindDoc="0" locked="0" layoutInCell="1" allowOverlap="1" wp14:anchorId="500AF5B0" wp14:editId="4F804C9C">
                <wp:simplePos x="0" y="0"/>
                <wp:positionH relativeFrom="column">
                  <wp:posOffset>824865</wp:posOffset>
                </wp:positionH>
                <wp:positionV relativeFrom="paragraph">
                  <wp:posOffset>92710</wp:posOffset>
                </wp:positionV>
                <wp:extent cx="4133850" cy="3219450"/>
                <wp:effectExtent l="0" t="0" r="0" b="0"/>
                <wp:wrapNone/>
                <wp:docPr id="1055" name="2 Grupo"/>
                <wp:cNvGraphicFramePr/>
                <a:graphic xmlns:a="http://schemas.openxmlformats.org/drawingml/2006/main">
                  <a:graphicData uri="http://schemas.microsoft.com/office/word/2010/wordprocessingGroup">
                    <wpg:wgp>
                      <wpg:cNvGrpSpPr/>
                      <wpg:grpSpPr>
                        <a:xfrm>
                          <a:off x="0" y="0"/>
                          <a:ext cx="4133850" cy="3219450"/>
                          <a:chOff x="0" y="0"/>
                          <a:chExt cx="3767246" cy="3038475"/>
                        </a:xfrm>
                      </wpg:grpSpPr>
                      <pic:pic xmlns:pic="http://schemas.openxmlformats.org/drawingml/2006/picture">
                        <pic:nvPicPr>
                          <pic:cNvPr id="1056"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1233" cy="3038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057"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76808" y="1944216"/>
                            <a:ext cx="1490438" cy="7431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2 Grupo" o:spid="_x0000_s1026" style="position:absolute;margin-left:64.95pt;margin-top:7.3pt;width:325.5pt;height:253.5pt;z-index:251721728;mso-width-relative:margin;mso-height-relative:margin" coordsize="37672,3038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">
                <v:shape id="Picture 2" o:spid="_x0000_s1027" type="#_x0000_t75" style="position:absolute;width:33212;height:3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mrDDDAAAA3QAAAA8AAABkcnMvZG93bnJldi54bWxET0trwkAQvgv9D8sUetON0kpJXUV84cGL&#10;ieB1yE6zsdnZkF1N9Nd3CwVv8/E9Z7bobS1u1PrKsYLxKAFBXDhdcanglG+HnyB8QNZYOyYFd/Kw&#10;mL8MZphq1/GRblkoRQxhn6ICE0KTSukLQxb9yDXEkft2rcUQYVtK3WIXw20tJ0kylRYrjg0GG1oZ&#10;Kn6yq1XwfjxfLgd6rNbZYbc5n3LTbXKj1Ntrv/wCEagPT/G/e6/j/ORjCn/fxB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asMMMAAADdAAAADwAAAAAAAAAAAAAAAACf&#10;AgAAZHJzL2Rvd25yZXYueG1sUEsFBgAAAAAEAAQA9wAAAI8DAAAAAA==&#10;" fillcolor="#4f81bd [3204]" strokecolor="black [3213]">
                  <v:imagedata r:id="rId28" o:title=""/>
                  <v:shadow color="#eeece1 [3214]"/>
                </v:shape>
                <v:shape id="Picture 3" o:spid="_x0000_s1028" type="#_x0000_t75" style="position:absolute;left:22768;top:19442;width:14904;height:7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RCUXBAAAA3QAAAA8AAABkcnMvZG93bnJldi54bWxET01rAjEQvRf6H8IUvNVERS2rUUpB8ai2&#10;9jxsxs3iZrJs4u7aX98Igrd5vM9ZrntXiZaaUHrWMBoqEMS5NyUXGn6+N+8fIEJENlh5Jg03CrBe&#10;vb4sMTO+4wO1x1iIFMIhQw02xjqTMuSWHIahr4kTd/aNw5hgU0jTYJfCXSXHSs2kw5JTg8Wavizl&#10;l+PVaThN9uPJ76n7a5WdW0/FodvWVuvBW/+5ABGpj0/xw70zab6azuH+TTpB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RCUXBAAAA3QAAAA8AAAAAAAAAAAAAAAAAnwIA&#10;AGRycy9kb3ducmV2LnhtbFBLBQYAAAAABAAEAPcAAACNAwAAAAA=&#10;" fillcolor="#4f81bd [3204]" strokecolor="black [3213]">
                  <v:imagedata r:id="rId29" o:title=""/>
                </v:shape>
              </v:group>
            </w:pict>
          </mc:Fallback>
        </mc:AlternateContent>
      </w:r>
    </w:p>
    <w:p w:rsidR="00F91A7A" w:rsidRPr="00617833" w:rsidRDefault="00F91A7A" w:rsidP="005E3A00">
      <w:pPr>
        <w:pStyle w:val="Textoindependiente"/>
        <w:spacing w:before="120" w:after="120"/>
        <w:ind w:firstLine="357"/>
        <w:jc w:val="center"/>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5402B7" w:rsidRPr="00617833" w:rsidRDefault="005402B7"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D92FA8" w:rsidP="0096006E">
      <w:pPr>
        <w:pStyle w:val="Textoindependiente"/>
        <w:spacing w:before="120" w:after="120"/>
        <w:ind w:firstLine="357"/>
        <w:rPr>
          <w:rFonts w:ascii="Verdana" w:hAnsi="Verdana"/>
          <w:sz w:val="20"/>
        </w:rPr>
      </w:pPr>
    </w:p>
    <w:p w:rsidR="00D92FA8" w:rsidRPr="00617833" w:rsidRDefault="008A603D" w:rsidP="0096006E">
      <w:pPr>
        <w:pStyle w:val="Textoindependiente"/>
        <w:spacing w:before="120" w:after="120"/>
        <w:ind w:firstLine="357"/>
        <w:rPr>
          <w:rFonts w:ascii="Verdana" w:hAnsi="Verdana"/>
          <w:sz w:val="20"/>
        </w:rPr>
      </w:pPr>
      <w:r w:rsidRPr="00617833">
        <w:rPr>
          <w:rFonts w:ascii="Verdana" w:hAnsi="Verdana"/>
          <w:noProof/>
          <w:sz w:val="20"/>
        </w:rPr>
        <mc:AlternateContent>
          <mc:Choice Requires="wps">
            <w:drawing>
              <wp:anchor distT="0" distB="0" distL="114300" distR="114300" simplePos="0" relativeHeight="251665408" behindDoc="0" locked="0" layoutInCell="1" allowOverlap="1" wp14:anchorId="0807D730" wp14:editId="2FD71019">
                <wp:simplePos x="0" y="0"/>
                <wp:positionH relativeFrom="column">
                  <wp:posOffset>1611630</wp:posOffset>
                </wp:positionH>
                <wp:positionV relativeFrom="paragraph">
                  <wp:posOffset>8255</wp:posOffset>
                </wp:positionV>
                <wp:extent cx="3061335" cy="454660"/>
                <wp:effectExtent l="0" t="0" r="0" b="2540"/>
                <wp:wrapNone/>
                <wp:docPr id="9"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3C" w:rsidRPr="005E3A00" w:rsidRDefault="00F9053C" w:rsidP="005E3A00">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Tasa de congestión</w:t>
                            </w:r>
                          </w:p>
                        </w:txbxContent>
                      </wps:txbx>
                      <wps:bodyPr rot="0" vert="horz" wrap="square" lIns="91440" tIns="45720" rIns="91440" bIns="45720" anchor="t" anchorCtr="0" upright="1">
                        <a:noAutofit/>
                      </wps:bodyPr>
                    </wps:wsp>
                  </a:graphicData>
                </a:graphic>
              </wp:anchor>
            </w:drawing>
          </mc:Choice>
          <mc:Fallback>
            <w:pict>
              <v:rect id="3 Rectángulo" o:spid="_x0000_s1028" style="position:absolute;left:0;text-align:left;margin-left:126.9pt;margin-top:.65pt;width:241.05pt;height:3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" filled="f" stroked="f">
                <v:textbox>
                  <w:txbxContent>
                    <w:p w:rsidR="00F9053C" w:rsidRPr="005E3A00" w:rsidRDefault="00F9053C" w:rsidP="005E3A00">
                      <w:pPr>
                        <w:pStyle w:val="NormalWeb"/>
                        <w:spacing w:before="0" w:beforeAutospacing="0" w:after="0" w:afterAutospacing="0"/>
                        <w:rPr>
                          <w:sz w:val="28"/>
                          <w:szCs w:val="28"/>
                        </w:rPr>
                      </w:pPr>
                      <w:r w:rsidRPr="005E3A00">
                        <w:rPr>
                          <w:rFonts w:ascii="Verdana" w:eastAsia="Verdana" w:hAnsi="Verdana" w:cs="Verdana"/>
                          <w:b/>
                          <w:bCs/>
                          <w:color w:val="000000"/>
                          <w:kern w:val="24"/>
                          <w:sz w:val="28"/>
                          <w:szCs w:val="28"/>
                        </w:rPr>
                        <w:t>Tasa de congestión</w:t>
                      </w:r>
                    </w:p>
                  </w:txbxContent>
                </v:textbox>
              </v:rect>
            </w:pict>
          </mc:Fallback>
        </mc:AlternateContent>
      </w:r>
    </w:p>
    <w:p w:rsidR="006A7443" w:rsidRPr="00617833" w:rsidRDefault="006A7443" w:rsidP="0096006E">
      <w:pPr>
        <w:pStyle w:val="Textoindependiente"/>
        <w:spacing w:before="120" w:after="120"/>
        <w:ind w:firstLine="357"/>
        <w:rPr>
          <w:rFonts w:ascii="Verdana" w:hAnsi="Verdana"/>
          <w:sz w:val="20"/>
        </w:rPr>
      </w:pPr>
    </w:p>
    <w:p w:rsidR="006A7443" w:rsidRPr="00617833" w:rsidRDefault="006A7443" w:rsidP="0096006E">
      <w:pPr>
        <w:pStyle w:val="Textoindependiente"/>
        <w:spacing w:before="120" w:after="120"/>
        <w:ind w:firstLine="357"/>
        <w:rPr>
          <w:rFonts w:ascii="Verdana" w:hAnsi="Verdana"/>
          <w:sz w:val="20"/>
        </w:rPr>
      </w:pPr>
    </w:p>
    <w:p w:rsidR="00DF577C" w:rsidRPr="00617833" w:rsidRDefault="001B4EE3" w:rsidP="0096006E">
      <w:pPr>
        <w:pStyle w:val="Textoindependiente"/>
        <w:spacing w:before="120" w:after="120"/>
        <w:ind w:firstLine="357"/>
        <w:rPr>
          <w:rFonts w:ascii="Verdana" w:hAnsi="Verdana"/>
          <w:sz w:val="20"/>
        </w:rPr>
      </w:pPr>
      <w:r w:rsidRPr="00617833">
        <w:rPr>
          <w:rFonts w:ascii="Verdana" w:hAnsi="Verdana"/>
          <w:sz w:val="20"/>
        </w:rPr>
        <w:lastRenderedPageBreak/>
        <w:t xml:space="preserve">En </w:t>
      </w:r>
      <w:r w:rsidR="00247047" w:rsidRPr="00617833">
        <w:rPr>
          <w:rFonts w:ascii="Verdana" w:hAnsi="Verdana"/>
          <w:sz w:val="20"/>
        </w:rPr>
        <w:t>20</w:t>
      </w:r>
      <w:r w:rsidR="00DF577C" w:rsidRPr="00617833">
        <w:rPr>
          <w:rFonts w:ascii="Verdana" w:hAnsi="Verdana"/>
          <w:sz w:val="20"/>
        </w:rPr>
        <w:t>1</w:t>
      </w:r>
      <w:r w:rsidR="00956373" w:rsidRPr="00617833">
        <w:rPr>
          <w:rFonts w:ascii="Verdana" w:hAnsi="Verdana"/>
          <w:sz w:val="20"/>
        </w:rPr>
        <w:t>7</w:t>
      </w:r>
      <w:r w:rsidRPr="00617833">
        <w:rPr>
          <w:rFonts w:ascii="Verdana" w:hAnsi="Verdana"/>
          <w:sz w:val="20"/>
        </w:rPr>
        <w:t xml:space="preserve"> los jueces españoles </w:t>
      </w:r>
      <w:r w:rsidR="00E77B97" w:rsidRPr="00617833">
        <w:rPr>
          <w:rFonts w:ascii="Verdana" w:hAnsi="Verdana"/>
          <w:sz w:val="20"/>
        </w:rPr>
        <w:t xml:space="preserve">dictaron </w:t>
      </w:r>
      <w:r w:rsidRPr="00617833">
        <w:rPr>
          <w:rFonts w:ascii="Verdana" w:hAnsi="Verdana"/>
          <w:sz w:val="20"/>
        </w:rPr>
        <w:t xml:space="preserve">un total de </w:t>
      </w:r>
      <w:r w:rsidR="005A5956" w:rsidRPr="00617833">
        <w:rPr>
          <w:rFonts w:ascii="Verdana" w:hAnsi="Verdana"/>
          <w:sz w:val="20"/>
        </w:rPr>
        <w:t>1.</w:t>
      </w:r>
      <w:r w:rsidR="00C43A86" w:rsidRPr="00617833">
        <w:rPr>
          <w:rFonts w:ascii="Verdana" w:hAnsi="Verdana"/>
          <w:sz w:val="20"/>
        </w:rPr>
        <w:t>44</w:t>
      </w:r>
      <w:r w:rsidR="00956373" w:rsidRPr="00617833">
        <w:rPr>
          <w:rFonts w:ascii="Verdana" w:hAnsi="Verdana"/>
          <w:sz w:val="20"/>
        </w:rPr>
        <w:t>0</w:t>
      </w:r>
      <w:r w:rsidR="00E27706" w:rsidRPr="00617833">
        <w:rPr>
          <w:rFonts w:ascii="Verdana" w:hAnsi="Verdana"/>
          <w:sz w:val="20"/>
        </w:rPr>
        <w:t>.</w:t>
      </w:r>
      <w:r w:rsidR="00956373" w:rsidRPr="00617833">
        <w:rPr>
          <w:rFonts w:ascii="Verdana" w:hAnsi="Verdana"/>
          <w:sz w:val="20"/>
        </w:rPr>
        <w:t>503</w:t>
      </w:r>
      <w:r w:rsidR="005A5956" w:rsidRPr="00617833">
        <w:rPr>
          <w:rFonts w:ascii="Verdana" w:hAnsi="Verdana"/>
          <w:sz w:val="20"/>
        </w:rPr>
        <w:t xml:space="preserve"> </w:t>
      </w:r>
      <w:r w:rsidR="007004D9" w:rsidRPr="00617833">
        <w:rPr>
          <w:rFonts w:ascii="Verdana" w:hAnsi="Verdana"/>
          <w:sz w:val="20"/>
        </w:rPr>
        <w:t xml:space="preserve">sentencias, un </w:t>
      </w:r>
      <w:r w:rsidR="00956373" w:rsidRPr="00617833">
        <w:rPr>
          <w:rFonts w:ascii="Verdana" w:hAnsi="Verdana"/>
          <w:sz w:val="20"/>
        </w:rPr>
        <w:t>0</w:t>
      </w:r>
      <w:r w:rsidR="00E77B97" w:rsidRPr="00617833">
        <w:rPr>
          <w:rFonts w:ascii="Verdana" w:hAnsi="Verdana"/>
          <w:sz w:val="20"/>
        </w:rPr>
        <w:t>,</w:t>
      </w:r>
      <w:r w:rsidR="007A31B0" w:rsidRPr="00617833">
        <w:rPr>
          <w:rFonts w:ascii="Verdana" w:hAnsi="Verdana"/>
          <w:sz w:val="20"/>
        </w:rPr>
        <w:t>2</w:t>
      </w:r>
      <w:r w:rsidR="0099161C" w:rsidRPr="00617833">
        <w:rPr>
          <w:rFonts w:ascii="Verdana" w:hAnsi="Verdana"/>
          <w:sz w:val="20"/>
        </w:rPr>
        <w:t>%</w:t>
      </w:r>
      <w:r w:rsidR="007004D9" w:rsidRPr="00617833">
        <w:rPr>
          <w:rFonts w:ascii="Verdana" w:hAnsi="Verdana"/>
          <w:sz w:val="20"/>
        </w:rPr>
        <w:t xml:space="preserve"> m</w:t>
      </w:r>
      <w:r w:rsidR="001B29EA" w:rsidRPr="00617833">
        <w:rPr>
          <w:rFonts w:ascii="Verdana" w:hAnsi="Verdana"/>
          <w:sz w:val="20"/>
        </w:rPr>
        <w:t>eno</w:t>
      </w:r>
      <w:r w:rsidR="007004D9" w:rsidRPr="00617833">
        <w:rPr>
          <w:rFonts w:ascii="Verdana" w:hAnsi="Verdana"/>
          <w:sz w:val="20"/>
        </w:rPr>
        <w:t xml:space="preserve">s que las dictadas en </w:t>
      </w:r>
      <w:r w:rsidR="00A8065F" w:rsidRPr="00617833">
        <w:rPr>
          <w:rFonts w:ascii="Verdana" w:hAnsi="Verdana"/>
          <w:sz w:val="20"/>
        </w:rPr>
        <w:t>2</w:t>
      </w:r>
      <w:r w:rsidR="00247047" w:rsidRPr="00617833">
        <w:rPr>
          <w:rFonts w:ascii="Verdana" w:hAnsi="Verdana"/>
          <w:sz w:val="20"/>
        </w:rPr>
        <w:t>0</w:t>
      </w:r>
      <w:r w:rsidR="00352274" w:rsidRPr="00617833">
        <w:rPr>
          <w:rFonts w:ascii="Verdana" w:hAnsi="Verdana"/>
          <w:sz w:val="20"/>
        </w:rPr>
        <w:t>1</w:t>
      </w:r>
      <w:r w:rsidR="00956373" w:rsidRPr="00617833">
        <w:rPr>
          <w:rFonts w:ascii="Verdana" w:hAnsi="Verdana"/>
          <w:sz w:val="20"/>
        </w:rPr>
        <w:t>6</w:t>
      </w:r>
      <w:r w:rsidR="00DF577C" w:rsidRPr="00617833">
        <w:rPr>
          <w:rFonts w:ascii="Verdana" w:hAnsi="Verdana"/>
          <w:sz w:val="20"/>
        </w:rPr>
        <w:t>.</w:t>
      </w:r>
    </w:p>
    <w:p w:rsidR="002C7652" w:rsidRPr="00617833" w:rsidRDefault="007A31B0" w:rsidP="001239B2">
      <w:pPr>
        <w:pStyle w:val="Textoindependiente"/>
        <w:spacing w:before="120" w:after="120"/>
        <w:ind w:firstLine="357"/>
        <w:jc w:val="center"/>
        <w:rPr>
          <w:rFonts w:ascii="Verdana" w:hAnsi="Verdana"/>
        </w:rPr>
      </w:pPr>
      <w:r w:rsidRPr="00617833">
        <w:rPr>
          <w:noProof/>
        </w:rPr>
        <w:drawing>
          <wp:inline distT="0" distB="0" distL="0" distR="0" wp14:anchorId="689169BE" wp14:editId="2D9295FC">
            <wp:extent cx="5257800" cy="3676650"/>
            <wp:effectExtent l="0" t="0" r="19050" b="190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D101E" w:rsidRPr="00617833" w:rsidRDefault="003D101E" w:rsidP="003D101E">
      <w:pPr>
        <w:pStyle w:val="Textoindependiente"/>
        <w:spacing w:before="120" w:after="120"/>
        <w:ind w:firstLine="357"/>
        <w:jc w:val="center"/>
        <w:rPr>
          <w:rFonts w:ascii="Verdana" w:hAnsi="Verdana"/>
          <w:sz w:val="20"/>
        </w:rPr>
      </w:pPr>
    </w:p>
    <w:p w:rsidR="006C05BB" w:rsidRPr="00617833" w:rsidRDefault="006C05BB" w:rsidP="006C05BB">
      <w:pPr>
        <w:pStyle w:val="Textoindependiente"/>
        <w:spacing w:before="120" w:after="120"/>
        <w:ind w:firstLine="357"/>
        <w:rPr>
          <w:rFonts w:ascii="Verdana" w:hAnsi="Verdana"/>
          <w:sz w:val="20"/>
        </w:rPr>
      </w:pPr>
      <w:r w:rsidRPr="00617833">
        <w:rPr>
          <w:rFonts w:ascii="Verdana" w:hAnsi="Verdana"/>
          <w:sz w:val="20"/>
        </w:rPr>
        <w:t>Al final del año 201</w:t>
      </w:r>
      <w:r w:rsidR="00190E57" w:rsidRPr="00617833">
        <w:rPr>
          <w:rFonts w:ascii="Verdana" w:hAnsi="Verdana"/>
          <w:sz w:val="20"/>
        </w:rPr>
        <w:t>7</w:t>
      </w:r>
      <w:r w:rsidRPr="00617833">
        <w:rPr>
          <w:rFonts w:ascii="Verdana" w:hAnsi="Verdana"/>
          <w:sz w:val="20"/>
        </w:rPr>
        <w:t xml:space="preserve"> estaban tramitándose 2.</w:t>
      </w:r>
      <w:r w:rsidR="00190E57" w:rsidRPr="00617833">
        <w:rPr>
          <w:rFonts w:ascii="Verdana" w:hAnsi="Verdana"/>
          <w:sz w:val="20"/>
        </w:rPr>
        <w:t>394</w:t>
      </w:r>
      <w:r w:rsidR="00D56458" w:rsidRPr="00617833">
        <w:rPr>
          <w:rFonts w:ascii="Verdana" w:hAnsi="Verdana"/>
          <w:sz w:val="20"/>
        </w:rPr>
        <w:t>.</w:t>
      </w:r>
      <w:r w:rsidR="00190E57" w:rsidRPr="00617833">
        <w:rPr>
          <w:rFonts w:ascii="Verdana" w:hAnsi="Verdana"/>
          <w:sz w:val="20"/>
        </w:rPr>
        <w:t>062</w:t>
      </w:r>
      <w:r w:rsidRPr="00617833">
        <w:rPr>
          <w:rFonts w:ascii="Verdana" w:hAnsi="Verdana"/>
          <w:sz w:val="20"/>
        </w:rPr>
        <w:t xml:space="preserve"> </w:t>
      </w:r>
      <w:r w:rsidR="00D24B23" w:rsidRPr="00617833">
        <w:rPr>
          <w:rFonts w:ascii="Verdana" w:hAnsi="Verdana"/>
          <w:sz w:val="20"/>
        </w:rPr>
        <w:t>procedimientos de ejecución</w:t>
      </w:r>
      <w:r w:rsidR="00D56458" w:rsidRPr="00617833">
        <w:rPr>
          <w:rFonts w:ascii="Verdana" w:hAnsi="Verdana"/>
          <w:sz w:val="20"/>
        </w:rPr>
        <w:t xml:space="preserve">, un </w:t>
      </w:r>
      <w:r w:rsidR="00041953" w:rsidRPr="00617833">
        <w:rPr>
          <w:rFonts w:ascii="Verdana" w:hAnsi="Verdana"/>
          <w:sz w:val="20"/>
        </w:rPr>
        <w:t>2</w:t>
      </w:r>
      <w:r w:rsidRPr="00617833">
        <w:rPr>
          <w:rFonts w:ascii="Verdana" w:hAnsi="Verdana"/>
          <w:sz w:val="20"/>
        </w:rPr>
        <w:t>,</w:t>
      </w:r>
      <w:r w:rsidR="00190E57" w:rsidRPr="00617833">
        <w:rPr>
          <w:rFonts w:ascii="Verdana" w:hAnsi="Verdana"/>
          <w:sz w:val="20"/>
        </w:rPr>
        <w:t>5</w:t>
      </w:r>
      <w:r w:rsidRPr="00617833">
        <w:rPr>
          <w:rFonts w:ascii="Verdana" w:hAnsi="Verdana"/>
          <w:sz w:val="20"/>
        </w:rPr>
        <w:t xml:space="preserve">% menos que al </w:t>
      </w:r>
      <w:r w:rsidR="0063568D" w:rsidRPr="00617833">
        <w:rPr>
          <w:rFonts w:ascii="Verdana" w:hAnsi="Verdana"/>
          <w:sz w:val="20"/>
        </w:rPr>
        <w:t>terminar</w:t>
      </w:r>
      <w:r w:rsidR="00D24B23" w:rsidRPr="00617833">
        <w:rPr>
          <w:rFonts w:ascii="Verdana" w:hAnsi="Verdana"/>
          <w:sz w:val="20"/>
        </w:rPr>
        <w:t xml:space="preserve"> 201</w:t>
      </w:r>
      <w:r w:rsidR="00190E57" w:rsidRPr="00617833">
        <w:rPr>
          <w:rFonts w:ascii="Verdana" w:hAnsi="Verdana"/>
          <w:sz w:val="20"/>
        </w:rPr>
        <w:t>6</w:t>
      </w:r>
      <w:r w:rsidR="00D24B23" w:rsidRPr="00617833">
        <w:rPr>
          <w:rFonts w:ascii="Verdana" w:hAnsi="Verdana"/>
          <w:sz w:val="20"/>
        </w:rPr>
        <w:t>. De ello</w:t>
      </w:r>
      <w:r w:rsidRPr="00617833">
        <w:rPr>
          <w:rFonts w:ascii="Verdana" w:hAnsi="Verdana"/>
          <w:sz w:val="20"/>
        </w:rPr>
        <w:t xml:space="preserve">s el </w:t>
      </w:r>
      <w:r w:rsidR="00D56458" w:rsidRPr="00617833">
        <w:rPr>
          <w:rFonts w:ascii="Verdana" w:hAnsi="Verdana"/>
          <w:sz w:val="20"/>
        </w:rPr>
        <w:t>8</w:t>
      </w:r>
      <w:r w:rsidR="00190E57" w:rsidRPr="00617833">
        <w:rPr>
          <w:rFonts w:ascii="Verdana" w:hAnsi="Verdana"/>
          <w:sz w:val="20"/>
        </w:rPr>
        <w:t>0,9</w:t>
      </w:r>
      <w:r w:rsidRPr="00617833">
        <w:rPr>
          <w:rFonts w:ascii="Verdana" w:hAnsi="Verdana"/>
          <w:sz w:val="20"/>
        </w:rPr>
        <w:t>% eran civiles, el 1</w:t>
      </w:r>
      <w:r w:rsidR="00D56458" w:rsidRPr="00617833">
        <w:rPr>
          <w:rFonts w:ascii="Verdana" w:hAnsi="Verdana"/>
          <w:sz w:val="20"/>
        </w:rPr>
        <w:t>6</w:t>
      </w:r>
      <w:r w:rsidRPr="00617833">
        <w:rPr>
          <w:rFonts w:ascii="Verdana" w:hAnsi="Verdana"/>
          <w:sz w:val="20"/>
        </w:rPr>
        <w:t>,</w:t>
      </w:r>
      <w:r w:rsidR="00190E57" w:rsidRPr="00617833">
        <w:rPr>
          <w:rFonts w:ascii="Verdana" w:hAnsi="Verdana"/>
          <w:sz w:val="20"/>
        </w:rPr>
        <w:t>6</w:t>
      </w:r>
      <w:r w:rsidRPr="00617833">
        <w:rPr>
          <w:rFonts w:ascii="Verdana" w:hAnsi="Verdana"/>
          <w:sz w:val="20"/>
        </w:rPr>
        <w:t>% penales, el 0,</w:t>
      </w:r>
      <w:r w:rsidR="00190E57" w:rsidRPr="00617833">
        <w:rPr>
          <w:rFonts w:ascii="Verdana" w:hAnsi="Verdana"/>
          <w:sz w:val="20"/>
        </w:rPr>
        <w:t>6</w:t>
      </w:r>
      <w:r w:rsidRPr="00617833">
        <w:rPr>
          <w:rFonts w:ascii="Verdana" w:hAnsi="Verdana"/>
          <w:sz w:val="20"/>
        </w:rPr>
        <w:t xml:space="preserve">% </w:t>
      </w:r>
      <w:r w:rsidR="0063568D" w:rsidRPr="00617833">
        <w:rPr>
          <w:rFonts w:ascii="Verdana" w:hAnsi="Verdana"/>
          <w:sz w:val="20"/>
        </w:rPr>
        <w:t>contencioso</w:t>
      </w:r>
      <w:r w:rsidR="00E91590" w:rsidRPr="00617833">
        <w:rPr>
          <w:rFonts w:ascii="Verdana" w:hAnsi="Verdana"/>
          <w:sz w:val="20"/>
        </w:rPr>
        <w:t>-</w:t>
      </w:r>
      <w:r w:rsidR="00D24B23" w:rsidRPr="00617833">
        <w:rPr>
          <w:rFonts w:ascii="Verdana" w:hAnsi="Verdana"/>
          <w:sz w:val="20"/>
        </w:rPr>
        <w:t>administrativo</w:t>
      </w:r>
      <w:r w:rsidR="0063568D" w:rsidRPr="00617833">
        <w:rPr>
          <w:rFonts w:ascii="Verdana" w:hAnsi="Verdana"/>
          <w:sz w:val="20"/>
        </w:rPr>
        <w:t>s</w:t>
      </w:r>
      <w:r w:rsidRPr="00617833">
        <w:rPr>
          <w:rFonts w:ascii="Verdana" w:hAnsi="Verdana"/>
          <w:sz w:val="20"/>
        </w:rPr>
        <w:t xml:space="preserve"> y el </w:t>
      </w:r>
      <w:r w:rsidR="00190E57" w:rsidRPr="00617833">
        <w:rPr>
          <w:rFonts w:ascii="Verdana" w:hAnsi="Verdana"/>
          <w:sz w:val="20"/>
        </w:rPr>
        <w:t>1</w:t>
      </w:r>
      <w:r w:rsidRPr="00617833">
        <w:rPr>
          <w:rFonts w:ascii="Verdana" w:hAnsi="Verdana"/>
          <w:sz w:val="20"/>
        </w:rPr>
        <w:t>,</w:t>
      </w:r>
      <w:r w:rsidR="00190E57" w:rsidRPr="00617833">
        <w:rPr>
          <w:rFonts w:ascii="Verdana" w:hAnsi="Verdana"/>
          <w:sz w:val="20"/>
        </w:rPr>
        <w:t>9</w:t>
      </w:r>
      <w:r w:rsidRPr="00617833">
        <w:rPr>
          <w:rFonts w:ascii="Verdana" w:hAnsi="Verdana"/>
          <w:sz w:val="20"/>
        </w:rPr>
        <w:t>% sociales.</w:t>
      </w:r>
    </w:p>
    <w:p w:rsidR="00750353" w:rsidRPr="00617833" w:rsidRDefault="00750353" w:rsidP="006C05BB">
      <w:pPr>
        <w:pStyle w:val="Textoindependiente"/>
        <w:spacing w:before="120" w:after="120"/>
        <w:ind w:firstLine="357"/>
        <w:rPr>
          <w:rFonts w:ascii="Verdana" w:hAnsi="Verdana"/>
          <w:sz w:val="20"/>
        </w:rPr>
      </w:pPr>
    </w:p>
    <w:p w:rsidR="00750353" w:rsidRPr="00617833" w:rsidRDefault="00190E57" w:rsidP="00190E57">
      <w:pPr>
        <w:pStyle w:val="Textoindependiente"/>
        <w:spacing w:before="120" w:after="120"/>
        <w:ind w:firstLine="357"/>
        <w:jc w:val="center"/>
        <w:rPr>
          <w:rFonts w:ascii="Verdana" w:hAnsi="Verdana"/>
          <w:sz w:val="20"/>
        </w:rPr>
      </w:pPr>
      <w:r w:rsidRPr="00617833">
        <w:rPr>
          <w:noProof/>
        </w:rPr>
        <w:drawing>
          <wp:inline distT="0" distB="0" distL="0" distR="0" wp14:anchorId="6B90B6F7" wp14:editId="29C81A71">
            <wp:extent cx="4400550" cy="2743200"/>
            <wp:effectExtent l="0" t="0" r="19050" b="19050"/>
            <wp:docPr id="1059" name="Gráfico 10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50353" w:rsidRPr="00617833" w:rsidRDefault="00750353" w:rsidP="006C05BB">
      <w:pPr>
        <w:pStyle w:val="Textoindependiente"/>
        <w:spacing w:before="120" w:after="120"/>
        <w:ind w:firstLine="357"/>
        <w:rPr>
          <w:rFonts w:ascii="Verdana" w:hAnsi="Verdana"/>
          <w:sz w:val="20"/>
        </w:rPr>
      </w:pPr>
    </w:p>
    <w:p w:rsidR="0015575A" w:rsidRPr="00617833" w:rsidRDefault="001B4EE3" w:rsidP="0015575A">
      <w:pPr>
        <w:pStyle w:val="Textoindependiente"/>
        <w:spacing w:before="120" w:after="120"/>
        <w:ind w:firstLine="357"/>
        <w:rPr>
          <w:rFonts w:ascii="Verdana" w:hAnsi="Verdana"/>
          <w:sz w:val="20"/>
        </w:rPr>
      </w:pPr>
      <w:r w:rsidRPr="00617833">
        <w:rPr>
          <w:rFonts w:ascii="Verdana" w:hAnsi="Verdana"/>
          <w:sz w:val="20"/>
        </w:rPr>
        <w:t xml:space="preserve">En </w:t>
      </w:r>
      <w:r w:rsidR="0015575A" w:rsidRPr="00617833">
        <w:rPr>
          <w:rFonts w:ascii="Verdana" w:hAnsi="Verdana"/>
          <w:sz w:val="20"/>
        </w:rPr>
        <w:t xml:space="preserve">el año 2017, tuvieron entrada en </w:t>
      </w:r>
      <w:r w:rsidRPr="00617833">
        <w:rPr>
          <w:rFonts w:ascii="Verdana" w:hAnsi="Verdana"/>
          <w:sz w:val="20"/>
        </w:rPr>
        <w:t xml:space="preserve">los órganos judiciales un total de </w:t>
      </w:r>
      <w:r w:rsidR="0015575A" w:rsidRPr="00617833">
        <w:rPr>
          <w:rFonts w:ascii="Verdana" w:hAnsi="Verdana"/>
          <w:sz w:val="20"/>
        </w:rPr>
        <w:t xml:space="preserve">1.260.513 </w:t>
      </w:r>
      <w:r w:rsidRPr="00617833">
        <w:rPr>
          <w:rFonts w:ascii="Verdana" w:hAnsi="Verdana"/>
          <w:sz w:val="20"/>
        </w:rPr>
        <w:t>demandas</w:t>
      </w:r>
      <w:r w:rsidR="00903C9B" w:rsidRPr="00617833">
        <w:rPr>
          <w:rFonts w:ascii="Verdana" w:hAnsi="Verdana"/>
          <w:sz w:val="20"/>
        </w:rPr>
        <w:t xml:space="preserve"> de auxilio </w:t>
      </w:r>
      <w:r w:rsidR="00F4310E" w:rsidRPr="00617833">
        <w:rPr>
          <w:rFonts w:ascii="Verdana" w:hAnsi="Verdana"/>
          <w:sz w:val="20"/>
        </w:rPr>
        <w:t xml:space="preserve">judicial, un </w:t>
      </w:r>
      <w:r w:rsidR="0015575A" w:rsidRPr="00617833">
        <w:rPr>
          <w:rFonts w:ascii="Verdana" w:hAnsi="Verdana"/>
          <w:sz w:val="20"/>
        </w:rPr>
        <w:t>4</w:t>
      </w:r>
      <w:r w:rsidR="00482DED" w:rsidRPr="00617833">
        <w:rPr>
          <w:rFonts w:ascii="Verdana" w:hAnsi="Verdana"/>
          <w:sz w:val="20"/>
        </w:rPr>
        <w:t>,2%</w:t>
      </w:r>
      <w:r w:rsidR="00F4310E" w:rsidRPr="00617833">
        <w:rPr>
          <w:rFonts w:ascii="Verdana" w:hAnsi="Verdana"/>
          <w:sz w:val="20"/>
        </w:rPr>
        <w:t xml:space="preserve"> menos que en 201</w:t>
      </w:r>
      <w:r w:rsidR="0015575A" w:rsidRPr="00617833">
        <w:rPr>
          <w:rFonts w:ascii="Verdana" w:hAnsi="Verdana"/>
          <w:sz w:val="20"/>
        </w:rPr>
        <w:t>6</w:t>
      </w:r>
      <w:r w:rsidR="00F4310E" w:rsidRPr="00617833">
        <w:rPr>
          <w:rFonts w:ascii="Verdana" w:hAnsi="Verdana"/>
          <w:sz w:val="20"/>
        </w:rPr>
        <w:t>.</w:t>
      </w:r>
      <w:r w:rsidR="00903C9B" w:rsidRPr="00617833">
        <w:rPr>
          <w:rFonts w:ascii="Verdana" w:hAnsi="Verdana"/>
          <w:sz w:val="20"/>
        </w:rPr>
        <w:t xml:space="preserve"> </w:t>
      </w:r>
      <w:r w:rsidR="00397EB2" w:rsidRPr="00617833">
        <w:rPr>
          <w:rFonts w:ascii="Verdana" w:hAnsi="Verdana"/>
          <w:sz w:val="20"/>
        </w:rPr>
        <w:t>D</w:t>
      </w:r>
      <w:r w:rsidR="00903C9B" w:rsidRPr="00617833">
        <w:rPr>
          <w:rFonts w:ascii="Verdana" w:hAnsi="Verdana"/>
          <w:sz w:val="20"/>
        </w:rPr>
        <w:t xml:space="preserve">e ellas </w:t>
      </w:r>
      <w:r w:rsidR="0015575A" w:rsidRPr="00617833">
        <w:rPr>
          <w:rFonts w:ascii="Verdana" w:hAnsi="Verdana"/>
          <w:sz w:val="20"/>
        </w:rPr>
        <w:t>633</w:t>
      </w:r>
      <w:r w:rsidR="00B1190E" w:rsidRPr="00617833">
        <w:rPr>
          <w:rFonts w:ascii="Verdana" w:hAnsi="Verdana"/>
          <w:sz w:val="20"/>
        </w:rPr>
        <w:t>.</w:t>
      </w:r>
      <w:r w:rsidR="0015575A" w:rsidRPr="00617833">
        <w:rPr>
          <w:rFonts w:ascii="Verdana" w:hAnsi="Verdana"/>
          <w:sz w:val="20"/>
        </w:rPr>
        <w:t>646</w:t>
      </w:r>
      <w:r w:rsidR="00C909BA" w:rsidRPr="00617833">
        <w:rPr>
          <w:rFonts w:ascii="Verdana" w:hAnsi="Verdana"/>
          <w:sz w:val="20"/>
        </w:rPr>
        <w:t xml:space="preserve"> </w:t>
      </w:r>
      <w:r w:rsidR="0076290A" w:rsidRPr="00617833">
        <w:rPr>
          <w:rFonts w:ascii="Verdana" w:hAnsi="Verdana"/>
          <w:sz w:val="20"/>
        </w:rPr>
        <w:t xml:space="preserve">fueron recibidas por los servicios comunes, </w:t>
      </w:r>
      <w:r w:rsidR="00F4310E" w:rsidRPr="00617833">
        <w:rPr>
          <w:rFonts w:ascii="Verdana" w:hAnsi="Verdana"/>
          <w:sz w:val="20"/>
        </w:rPr>
        <w:t>con un</w:t>
      </w:r>
      <w:r w:rsidR="00C6557C" w:rsidRPr="00617833">
        <w:rPr>
          <w:rFonts w:ascii="Verdana" w:hAnsi="Verdana"/>
          <w:sz w:val="20"/>
        </w:rPr>
        <w:t xml:space="preserve">a reducción del </w:t>
      </w:r>
      <w:r w:rsidR="0015575A" w:rsidRPr="00617833">
        <w:rPr>
          <w:rFonts w:ascii="Verdana" w:hAnsi="Verdana"/>
          <w:sz w:val="20"/>
        </w:rPr>
        <w:t>3</w:t>
      </w:r>
      <w:r w:rsidR="00C6557C" w:rsidRPr="00617833">
        <w:rPr>
          <w:rFonts w:ascii="Verdana" w:hAnsi="Verdana"/>
          <w:sz w:val="20"/>
        </w:rPr>
        <w:t>,</w:t>
      </w:r>
      <w:r w:rsidR="0015575A" w:rsidRPr="00617833">
        <w:rPr>
          <w:rFonts w:ascii="Verdana" w:hAnsi="Verdana"/>
          <w:sz w:val="20"/>
        </w:rPr>
        <w:t>1</w:t>
      </w:r>
      <w:r w:rsidR="00F4310E" w:rsidRPr="00617833">
        <w:rPr>
          <w:rFonts w:ascii="Verdana" w:hAnsi="Verdana"/>
          <w:sz w:val="20"/>
        </w:rPr>
        <w:t>% respecto a</w:t>
      </w:r>
      <w:r w:rsidR="0015575A" w:rsidRPr="00617833">
        <w:rPr>
          <w:rFonts w:ascii="Verdana" w:hAnsi="Verdana"/>
          <w:sz w:val="20"/>
        </w:rPr>
        <w:t>l año anterior</w:t>
      </w:r>
      <w:r w:rsidR="001D246F" w:rsidRPr="00617833">
        <w:rPr>
          <w:rFonts w:ascii="Verdana" w:hAnsi="Verdana"/>
          <w:sz w:val="20"/>
        </w:rPr>
        <w:t>,</w:t>
      </w:r>
      <w:r w:rsidR="00F4310E" w:rsidRPr="00617833">
        <w:rPr>
          <w:rFonts w:ascii="Verdana" w:hAnsi="Verdana"/>
          <w:sz w:val="20"/>
        </w:rPr>
        <w:t xml:space="preserve"> </w:t>
      </w:r>
      <w:r w:rsidR="00482DED" w:rsidRPr="00617833">
        <w:rPr>
          <w:rFonts w:ascii="Verdana" w:hAnsi="Verdana"/>
          <w:sz w:val="20"/>
        </w:rPr>
        <w:t>15</w:t>
      </w:r>
      <w:r w:rsidR="0015575A" w:rsidRPr="00617833">
        <w:rPr>
          <w:rFonts w:ascii="Verdana" w:hAnsi="Verdana"/>
          <w:sz w:val="20"/>
        </w:rPr>
        <w:t>2</w:t>
      </w:r>
      <w:r w:rsidR="00961D17" w:rsidRPr="00617833">
        <w:rPr>
          <w:rFonts w:ascii="Verdana" w:hAnsi="Verdana"/>
          <w:sz w:val="20"/>
        </w:rPr>
        <w:t>.</w:t>
      </w:r>
      <w:r w:rsidR="0015575A" w:rsidRPr="00617833">
        <w:rPr>
          <w:rFonts w:ascii="Verdana" w:hAnsi="Verdana"/>
          <w:sz w:val="20"/>
        </w:rPr>
        <w:t>005</w:t>
      </w:r>
      <w:r w:rsidR="0076290A" w:rsidRPr="00617833">
        <w:rPr>
          <w:rFonts w:ascii="Verdana" w:hAnsi="Verdana"/>
          <w:sz w:val="20"/>
        </w:rPr>
        <w:t xml:space="preserve"> por órganos con competencia civil, </w:t>
      </w:r>
      <w:r w:rsidR="00482DED" w:rsidRPr="00617833">
        <w:rPr>
          <w:rFonts w:ascii="Verdana" w:hAnsi="Verdana"/>
          <w:sz w:val="20"/>
        </w:rPr>
        <w:t>4</w:t>
      </w:r>
      <w:r w:rsidR="0015575A" w:rsidRPr="00617833">
        <w:rPr>
          <w:rFonts w:ascii="Verdana" w:hAnsi="Verdana"/>
          <w:sz w:val="20"/>
        </w:rPr>
        <w:t>6</w:t>
      </w:r>
      <w:r w:rsidR="00482DED" w:rsidRPr="00617833">
        <w:rPr>
          <w:rFonts w:ascii="Verdana" w:hAnsi="Verdana"/>
          <w:sz w:val="20"/>
        </w:rPr>
        <w:t>4</w:t>
      </w:r>
      <w:r w:rsidR="00961D17" w:rsidRPr="00617833">
        <w:rPr>
          <w:rFonts w:ascii="Verdana" w:hAnsi="Verdana"/>
          <w:sz w:val="20"/>
        </w:rPr>
        <w:t>.</w:t>
      </w:r>
      <w:r w:rsidR="0015575A" w:rsidRPr="00617833">
        <w:rPr>
          <w:rFonts w:ascii="Verdana" w:hAnsi="Verdana"/>
          <w:sz w:val="20"/>
        </w:rPr>
        <w:t>226</w:t>
      </w:r>
      <w:r w:rsidR="00DE3AF0" w:rsidRPr="00617833">
        <w:rPr>
          <w:rFonts w:ascii="Verdana" w:hAnsi="Verdana"/>
          <w:sz w:val="20"/>
        </w:rPr>
        <w:t xml:space="preserve"> </w:t>
      </w:r>
      <w:r w:rsidR="0076290A" w:rsidRPr="00617833">
        <w:rPr>
          <w:rFonts w:ascii="Verdana" w:hAnsi="Verdana"/>
          <w:sz w:val="20"/>
        </w:rPr>
        <w:t xml:space="preserve">por órganos con competencia penal, </w:t>
      </w:r>
      <w:r w:rsidR="005D4907" w:rsidRPr="00617833">
        <w:rPr>
          <w:rFonts w:ascii="Verdana" w:hAnsi="Verdana"/>
          <w:sz w:val="20"/>
        </w:rPr>
        <w:t>3</w:t>
      </w:r>
      <w:r w:rsidR="00DE3AF0" w:rsidRPr="00617833">
        <w:rPr>
          <w:rFonts w:ascii="Verdana" w:hAnsi="Verdana"/>
          <w:sz w:val="20"/>
        </w:rPr>
        <w:t>.</w:t>
      </w:r>
      <w:r w:rsidR="0015575A" w:rsidRPr="00617833">
        <w:rPr>
          <w:rFonts w:ascii="Verdana" w:hAnsi="Verdana"/>
          <w:sz w:val="20"/>
        </w:rPr>
        <w:t>385</w:t>
      </w:r>
      <w:r w:rsidR="00796717" w:rsidRPr="00617833">
        <w:rPr>
          <w:rFonts w:ascii="Verdana" w:hAnsi="Verdana"/>
          <w:sz w:val="20"/>
        </w:rPr>
        <w:t xml:space="preserve"> </w:t>
      </w:r>
      <w:r w:rsidR="0076290A" w:rsidRPr="00617833">
        <w:rPr>
          <w:rFonts w:ascii="Verdana" w:hAnsi="Verdana"/>
          <w:sz w:val="20"/>
        </w:rPr>
        <w:t xml:space="preserve"> por los </w:t>
      </w:r>
      <w:r w:rsidR="00E91590" w:rsidRPr="00617833">
        <w:rPr>
          <w:rFonts w:ascii="Verdana" w:hAnsi="Verdana"/>
          <w:sz w:val="20"/>
        </w:rPr>
        <w:t>contencioso-</w:t>
      </w:r>
      <w:r w:rsidR="000E5A3D" w:rsidRPr="00617833">
        <w:rPr>
          <w:rFonts w:ascii="Verdana" w:hAnsi="Verdana"/>
          <w:sz w:val="20"/>
        </w:rPr>
        <w:t>administrativos</w:t>
      </w:r>
      <w:r w:rsidR="0076290A" w:rsidRPr="00617833">
        <w:rPr>
          <w:rFonts w:ascii="Verdana" w:hAnsi="Verdana"/>
          <w:sz w:val="20"/>
        </w:rPr>
        <w:t xml:space="preserve"> y </w:t>
      </w:r>
      <w:r w:rsidR="00234E22" w:rsidRPr="00617833">
        <w:rPr>
          <w:rFonts w:ascii="Verdana" w:hAnsi="Verdana"/>
          <w:sz w:val="20"/>
        </w:rPr>
        <w:t>7</w:t>
      </w:r>
      <w:r w:rsidR="00DE3AF0" w:rsidRPr="00617833">
        <w:rPr>
          <w:rFonts w:ascii="Verdana" w:hAnsi="Verdana"/>
          <w:sz w:val="20"/>
        </w:rPr>
        <w:t>.</w:t>
      </w:r>
      <w:r w:rsidR="0015575A" w:rsidRPr="00617833">
        <w:rPr>
          <w:rFonts w:ascii="Verdana" w:hAnsi="Verdana"/>
          <w:sz w:val="20"/>
        </w:rPr>
        <w:t>251</w:t>
      </w:r>
      <w:r w:rsidR="0076290A" w:rsidRPr="00617833">
        <w:rPr>
          <w:rFonts w:ascii="Verdana" w:hAnsi="Verdana"/>
          <w:sz w:val="20"/>
        </w:rPr>
        <w:t xml:space="preserve"> por </w:t>
      </w:r>
      <w:r w:rsidR="00CC169A" w:rsidRPr="00617833">
        <w:rPr>
          <w:rFonts w:ascii="Verdana" w:hAnsi="Verdana"/>
          <w:sz w:val="20"/>
        </w:rPr>
        <w:t xml:space="preserve">los </w:t>
      </w:r>
      <w:r w:rsidR="000E5A3D" w:rsidRPr="00617833">
        <w:rPr>
          <w:rFonts w:ascii="Verdana" w:hAnsi="Verdana"/>
          <w:sz w:val="20"/>
        </w:rPr>
        <w:lastRenderedPageBreak/>
        <w:t>sociales</w:t>
      </w:r>
      <w:r w:rsidR="0076290A" w:rsidRPr="00617833">
        <w:rPr>
          <w:rFonts w:ascii="Verdana" w:hAnsi="Verdana"/>
          <w:sz w:val="20"/>
        </w:rPr>
        <w:t>.</w:t>
      </w:r>
      <w:r w:rsidR="00B1190E" w:rsidRPr="00617833">
        <w:rPr>
          <w:rFonts w:ascii="Verdana" w:hAnsi="Verdana"/>
          <w:sz w:val="20"/>
        </w:rPr>
        <w:t xml:space="preserve">  </w:t>
      </w:r>
      <w:r w:rsidR="00234E22" w:rsidRPr="00617833">
        <w:rPr>
          <w:rFonts w:ascii="Verdana" w:hAnsi="Verdana"/>
          <w:sz w:val="20"/>
        </w:rPr>
        <w:t>E</w:t>
      </w:r>
      <w:r w:rsidR="00961D17" w:rsidRPr="00617833">
        <w:rPr>
          <w:rFonts w:ascii="Verdana" w:hAnsi="Verdana"/>
          <w:sz w:val="20"/>
        </w:rPr>
        <w:t>n todos los órdenes jurisdiccionales</w:t>
      </w:r>
      <w:r w:rsidR="00234E22" w:rsidRPr="00617833">
        <w:rPr>
          <w:rFonts w:ascii="Verdana" w:hAnsi="Verdana"/>
          <w:sz w:val="20"/>
        </w:rPr>
        <w:t xml:space="preserve"> se han observado disminuciones</w:t>
      </w:r>
      <w:r w:rsidR="0015575A" w:rsidRPr="00617833">
        <w:rPr>
          <w:rFonts w:ascii="Verdana" w:hAnsi="Verdana"/>
          <w:sz w:val="20"/>
        </w:rPr>
        <w:t xml:space="preserve">, que oscilan entre el 6,9% de la contenciosa y el 3,1% de la civil. En la social la reducción ha sido del 6,2%, mientras que en la penal las demandas de </w:t>
      </w:r>
      <w:r w:rsidR="002B73D8" w:rsidRPr="00617833">
        <w:rPr>
          <w:rFonts w:ascii="Verdana" w:hAnsi="Verdana"/>
          <w:sz w:val="20"/>
        </w:rPr>
        <w:t>auxilio</w:t>
      </w:r>
      <w:r w:rsidR="0015575A" w:rsidRPr="00617833">
        <w:rPr>
          <w:rFonts w:ascii="Verdana" w:hAnsi="Verdana"/>
          <w:sz w:val="20"/>
        </w:rPr>
        <w:t xml:space="preserve"> han disminuido un 6%.</w:t>
      </w:r>
    </w:p>
    <w:p w:rsidR="00504945" w:rsidRPr="00617833" w:rsidRDefault="007D002E" w:rsidP="00173E3F">
      <w:pPr>
        <w:jc w:val="both"/>
        <w:rPr>
          <w:rFonts w:ascii="Verdana" w:hAnsi="Verdana"/>
          <w:sz w:val="20"/>
        </w:rPr>
      </w:pPr>
      <w:r w:rsidRPr="00617833">
        <w:rPr>
          <w:rFonts w:ascii="Verdana" w:hAnsi="Verdana"/>
          <w:sz w:val="20"/>
        </w:rPr>
        <w:tab/>
      </w:r>
      <w:r w:rsidR="00D52D74" w:rsidRPr="00617833">
        <w:rPr>
          <w:rFonts w:ascii="Verdana" w:hAnsi="Verdana"/>
          <w:sz w:val="20"/>
        </w:rPr>
        <w:t xml:space="preserve">Los </w:t>
      </w:r>
      <w:r w:rsidR="00E477AE" w:rsidRPr="00617833">
        <w:rPr>
          <w:rFonts w:ascii="Verdana" w:hAnsi="Verdana"/>
          <w:sz w:val="20"/>
        </w:rPr>
        <w:t>s</w:t>
      </w:r>
      <w:r w:rsidR="00D52D74" w:rsidRPr="00617833">
        <w:rPr>
          <w:rFonts w:ascii="Verdana" w:hAnsi="Verdana"/>
          <w:sz w:val="20"/>
        </w:rPr>
        <w:t xml:space="preserve">ervicios comunes </w:t>
      </w:r>
      <w:r w:rsidR="00A776C2" w:rsidRPr="00617833">
        <w:rPr>
          <w:rFonts w:ascii="Verdana" w:hAnsi="Verdana"/>
          <w:sz w:val="20"/>
        </w:rPr>
        <w:t xml:space="preserve">de notificaciones y embargos </w:t>
      </w:r>
      <w:r w:rsidR="00D52D74" w:rsidRPr="00617833">
        <w:rPr>
          <w:rFonts w:ascii="Verdana" w:hAnsi="Verdana"/>
          <w:sz w:val="20"/>
        </w:rPr>
        <w:t xml:space="preserve">han recibido </w:t>
      </w:r>
      <w:r w:rsidR="00173E3F" w:rsidRPr="00617833">
        <w:rPr>
          <w:rFonts w:ascii="Verdana" w:hAnsi="Verdana"/>
          <w:sz w:val="20"/>
        </w:rPr>
        <w:t xml:space="preserve">3.435.331 </w:t>
      </w:r>
      <w:r w:rsidR="001B547C" w:rsidRPr="00617833">
        <w:rPr>
          <w:rFonts w:ascii="Verdana" w:hAnsi="Verdana"/>
          <w:sz w:val="20"/>
        </w:rPr>
        <w:t xml:space="preserve">solicitudes de </w:t>
      </w:r>
      <w:r w:rsidR="00580A7F" w:rsidRPr="00617833">
        <w:rPr>
          <w:rFonts w:ascii="Verdana" w:hAnsi="Verdana"/>
          <w:sz w:val="20"/>
        </w:rPr>
        <w:t>diligencias unipersonales</w:t>
      </w:r>
      <w:r w:rsidR="00D52D74" w:rsidRPr="00617833">
        <w:rPr>
          <w:rFonts w:ascii="Verdana" w:hAnsi="Verdana"/>
          <w:sz w:val="20"/>
        </w:rPr>
        <w:t xml:space="preserve">, un </w:t>
      </w:r>
      <w:r w:rsidR="00173E3F" w:rsidRPr="00617833">
        <w:rPr>
          <w:rFonts w:ascii="Verdana" w:hAnsi="Verdana"/>
          <w:sz w:val="20"/>
        </w:rPr>
        <w:t>8,3</w:t>
      </w:r>
      <w:r w:rsidR="00D52D74" w:rsidRPr="00617833">
        <w:rPr>
          <w:rFonts w:ascii="Verdana" w:hAnsi="Verdana"/>
          <w:sz w:val="20"/>
        </w:rPr>
        <w:t>%</w:t>
      </w:r>
      <w:r w:rsidR="006B34E9" w:rsidRPr="00617833">
        <w:rPr>
          <w:rFonts w:ascii="Verdana" w:hAnsi="Verdana"/>
          <w:sz w:val="20"/>
        </w:rPr>
        <w:t xml:space="preserve"> </w:t>
      </w:r>
      <w:r w:rsidR="00D05674" w:rsidRPr="00617833">
        <w:rPr>
          <w:rFonts w:ascii="Verdana" w:hAnsi="Verdana"/>
          <w:sz w:val="20"/>
        </w:rPr>
        <w:t>m</w:t>
      </w:r>
      <w:r w:rsidR="00403108" w:rsidRPr="00617833">
        <w:rPr>
          <w:rFonts w:ascii="Verdana" w:hAnsi="Verdana"/>
          <w:sz w:val="20"/>
        </w:rPr>
        <w:t>enos</w:t>
      </w:r>
      <w:r w:rsidR="003854AC" w:rsidRPr="00617833">
        <w:rPr>
          <w:rFonts w:ascii="Verdana" w:hAnsi="Verdana"/>
          <w:sz w:val="20"/>
        </w:rPr>
        <w:t xml:space="preserve"> que</w:t>
      </w:r>
      <w:r w:rsidR="00173E3F" w:rsidRPr="00617833">
        <w:rPr>
          <w:rFonts w:ascii="Verdana" w:hAnsi="Verdana"/>
          <w:sz w:val="20"/>
        </w:rPr>
        <w:t xml:space="preserve"> las recibidas en</w:t>
      </w:r>
      <w:r w:rsidR="003854AC" w:rsidRPr="00617833">
        <w:rPr>
          <w:rFonts w:ascii="Verdana" w:hAnsi="Verdana"/>
          <w:sz w:val="20"/>
        </w:rPr>
        <w:t xml:space="preserve"> 201</w:t>
      </w:r>
      <w:r w:rsidR="00173E3F" w:rsidRPr="00617833">
        <w:rPr>
          <w:rFonts w:ascii="Verdana" w:hAnsi="Verdana"/>
          <w:sz w:val="20"/>
        </w:rPr>
        <w:t>6</w:t>
      </w:r>
      <w:r w:rsidR="00D52D74" w:rsidRPr="00617833">
        <w:rPr>
          <w:rFonts w:ascii="Verdana" w:hAnsi="Verdana"/>
          <w:sz w:val="20"/>
        </w:rPr>
        <w:t xml:space="preserve">. De ellas han sido devueltas con cumplimiento positivo </w:t>
      </w:r>
      <w:r w:rsidR="00580A7F" w:rsidRPr="00617833">
        <w:rPr>
          <w:rFonts w:ascii="Verdana" w:hAnsi="Verdana"/>
          <w:sz w:val="20"/>
        </w:rPr>
        <w:t xml:space="preserve"> </w:t>
      </w:r>
      <w:r w:rsidR="00173E3F" w:rsidRPr="00617833">
        <w:rPr>
          <w:rFonts w:ascii="Verdana" w:hAnsi="Verdana" w:cs="Calibri"/>
          <w:color w:val="000000"/>
          <w:sz w:val="18"/>
          <w:szCs w:val="18"/>
        </w:rPr>
        <w:t>2.331.659</w:t>
      </w:r>
      <w:r w:rsidR="00D52D74" w:rsidRPr="00617833">
        <w:rPr>
          <w:rFonts w:ascii="Verdana" w:hAnsi="Verdana"/>
          <w:sz w:val="20"/>
        </w:rPr>
        <w:t xml:space="preserve">, el </w:t>
      </w:r>
      <w:r w:rsidR="00715515" w:rsidRPr="00617833">
        <w:rPr>
          <w:rFonts w:ascii="Verdana" w:hAnsi="Verdana"/>
          <w:sz w:val="20"/>
        </w:rPr>
        <w:t>6</w:t>
      </w:r>
      <w:r w:rsidR="00173E3F" w:rsidRPr="00617833">
        <w:rPr>
          <w:rFonts w:ascii="Verdana" w:hAnsi="Verdana"/>
          <w:sz w:val="20"/>
        </w:rPr>
        <w:t>8</w:t>
      </w:r>
      <w:r w:rsidR="00E3546A" w:rsidRPr="00617833">
        <w:rPr>
          <w:rFonts w:ascii="Verdana" w:hAnsi="Verdana"/>
          <w:sz w:val="20"/>
        </w:rPr>
        <w:t>,</w:t>
      </w:r>
      <w:r w:rsidR="00173E3F" w:rsidRPr="00617833">
        <w:rPr>
          <w:rFonts w:ascii="Verdana" w:hAnsi="Verdana"/>
          <w:sz w:val="20"/>
        </w:rPr>
        <w:t>3</w:t>
      </w:r>
      <w:r w:rsidR="000128BB" w:rsidRPr="00617833">
        <w:rPr>
          <w:rFonts w:ascii="Verdana" w:hAnsi="Verdana"/>
          <w:sz w:val="20"/>
        </w:rPr>
        <w:t>%</w:t>
      </w:r>
      <w:r w:rsidR="00D52D74" w:rsidRPr="00617833">
        <w:rPr>
          <w:rFonts w:ascii="Verdana" w:hAnsi="Verdana"/>
          <w:sz w:val="20"/>
        </w:rPr>
        <w:t xml:space="preserve">.   </w:t>
      </w:r>
      <w:r w:rsidR="00580A7F" w:rsidRPr="00617833">
        <w:rPr>
          <w:rFonts w:ascii="Verdana" w:hAnsi="Verdana"/>
          <w:sz w:val="20"/>
        </w:rPr>
        <w:t xml:space="preserve">Han tenido entrada </w:t>
      </w:r>
      <w:r w:rsidR="00D05674" w:rsidRPr="00617833">
        <w:rPr>
          <w:rFonts w:ascii="Verdana" w:hAnsi="Verdana"/>
          <w:sz w:val="20"/>
        </w:rPr>
        <w:t>1</w:t>
      </w:r>
      <w:r w:rsidR="00715515" w:rsidRPr="00617833">
        <w:rPr>
          <w:rFonts w:ascii="Verdana" w:hAnsi="Verdana"/>
          <w:sz w:val="20"/>
        </w:rPr>
        <w:t>0</w:t>
      </w:r>
      <w:r w:rsidR="00173E3F" w:rsidRPr="00617833">
        <w:rPr>
          <w:rFonts w:ascii="Verdana" w:hAnsi="Verdana"/>
          <w:sz w:val="20"/>
        </w:rPr>
        <w:t>3</w:t>
      </w:r>
      <w:r w:rsidR="00283761" w:rsidRPr="00617833">
        <w:rPr>
          <w:rFonts w:ascii="Verdana" w:hAnsi="Verdana"/>
          <w:sz w:val="20"/>
        </w:rPr>
        <w:t>.</w:t>
      </w:r>
      <w:r w:rsidR="00173E3F" w:rsidRPr="00617833">
        <w:rPr>
          <w:rFonts w:ascii="Verdana" w:hAnsi="Verdana"/>
          <w:sz w:val="20"/>
        </w:rPr>
        <w:t>752</w:t>
      </w:r>
      <w:r w:rsidR="00283761" w:rsidRPr="00617833">
        <w:rPr>
          <w:rFonts w:ascii="Verdana" w:hAnsi="Verdana"/>
          <w:sz w:val="20"/>
        </w:rPr>
        <w:t xml:space="preserve"> </w:t>
      </w:r>
      <w:r w:rsidR="00D0731A" w:rsidRPr="00617833">
        <w:rPr>
          <w:rFonts w:ascii="Verdana" w:hAnsi="Verdana"/>
          <w:sz w:val="20"/>
        </w:rPr>
        <w:t xml:space="preserve">diligencias de comisión, de las que devolvieron con cumplimiento positivo </w:t>
      </w:r>
      <w:r w:rsidR="00715515" w:rsidRPr="00617833">
        <w:rPr>
          <w:rFonts w:ascii="Verdana" w:hAnsi="Verdana"/>
          <w:sz w:val="20"/>
        </w:rPr>
        <w:t>6</w:t>
      </w:r>
      <w:r w:rsidR="00173E3F" w:rsidRPr="00617833">
        <w:rPr>
          <w:rFonts w:ascii="Verdana" w:hAnsi="Verdana"/>
          <w:sz w:val="20"/>
        </w:rPr>
        <w:t>2</w:t>
      </w:r>
      <w:r w:rsidR="00283761" w:rsidRPr="00617833">
        <w:rPr>
          <w:rFonts w:ascii="Verdana" w:hAnsi="Verdana"/>
          <w:sz w:val="20"/>
        </w:rPr>
        <w:t>.</w:t>
      </w:r>
      <w:r w:rsidR="00173E3F" w:rsidRPr="00617833">
        <w:rPr>
          <w:rFonts w:ascii="Verdana" w:hAnsi="Verdana"/>
          <w:sz w:val="20"/>
        </w:rPr>
        <w:t>560</w:t>
      </w:r>
      <w:r w:rsidR="00283761" w:rsidRPr="00617833">
        <w:rPr>
          <w:rFonts w:ascii="Verdana" w:hAnsi="Verdana"/>
          <w:sz w:val="20"/>
        </w:rPr>
        <w:t xml:space="preserve"> </w:t>
      </w:r>
      <w:r w:rsidR="00580A7F" w:rsidRPr="00617833">
        <w:rPr>
          <w:rFonts w:ascii="Verdana" w:hAnsi="Verdana"/>
          <w:sz w:val="20"/>
        </w:rPr>
        <w:t xml:space="preserve">(el </w:t>
      </w:r>
      <w:r w:rsidR="00D05674" w:rsidRPr="00617833">
        <w:rPr>
          <w:rFonts w:ascii="Verdana" w:hAnsi="Verdana"/>
          <w:sz w:val="20"/>
        </w:rPr>
        <w:t>60</w:t>
      </w:r>
      <w:r w:rsidR="00580A7F" w:rsidRPr="00617833">
        <w:rPr>
          <w:rFonts w:ascii="Verdana" w:hAnsi="Verdana"/>
          <w:sz w:val="20"/>
        </w:rPr>
        <w:t>%)</w:t>
      </w:r>
      <w:r w:rsidR="00D0731A" w:rsidRPr="00617833">
        <w:rPr>
          <w:rFonts w:ascii="Verdana" w:hAnsi="Verdana"/>
          <w:sz w:val="20"/>
        </w:rPr>
        <w:t>.</w:t>
      </w:r>
      <w:r w:rsidR="00580A7F" w:rsidRPr="00617833">
        <w:rPr>
          <w:rFonts w:ascii="Verdana" w:hAnsi="Verdana"/>
          <w:sz w:val="20"/>
        </w:rPr>
        <w:t xml:space="preserve"> </w:t>
      </w:r>
      <w:r w:rsidR="000128BB" w:rsidRPr="00617833">
        <w:rPr>
          <w:rFonts w:ascii="Verdana" w:hAnsi="Verdana"/>
          <w:sz w:val="20"/>
        </w:rPr>
        <w:t>E</w:t>
      </w:r>
      <w:r w:rsidR="009E0942" w:rsidRPr="00617833">
        <w:rPr>
          <w:rFonts w:ascii="Verdana" w:hAnsi="Verdana"/>
          <w:sz w:val="20"/>
        </w:rPr>
        <w:t xml:space="preserve">l </w:t>
      </w:r>
      <w:r w:rsidR="00173E3F" w:rsidRPr="00617833">
        <w:rPr>
          <w:rFonts w:ascii="Verdana" w:hAnsi="Verdana"/>
          <w:sz w:val="20"/>
        </w:rPr>
        <w:t>ritmo de disminución de las diligencias en comisión se ha reducido respecto al de años anteriores, habiendo sido del 4,1%. Las demandas de lanzamientos han aumentado un 4%, pero las de embargo se han reducido un 14,4%.</w:t>
      </w:r>
      <w:r w:rsidR="00786244" w:rsidRPr="00617833">
        <w:rPr>
          <w:rFonts w:ascii="Verdana" w:hAnsi="Verdana"/>
          <w:sz w:val="20"/>
        </w:rPr>
        <w:t xml:space="preserve"> </w:t>
      </w:r>
      <w:r w:rsidR="007361CB" w:rsidRPr="00617833">
        <w:rPr>
          <w:rFonts w:ascii="Verdana" w:hAnsi="Verdana"/>
          <w:sz w:val="20"/>
        </w:rPr>
        <w:t>Los órganos judiciales vienen realizando embargos por sus propios medios entre los que destaca el servicio, operativo desde abril de 2012,  de embargos telemáticos, realizados a través del Punto Neutro Judicial o de la red del Ministerio de Justicia</w:t>
      </w:r>
      <w:r w:rsidR="00504945" w:rsidRPr="00617833">
        <w:rPr>
          <w:rFonts w:ascii="Verdana" w:hAnsi="Verdana"/>
          <w:sz w:val="20"/>
        </w:rPr>
        <w:t>. En 201</w:t>
      </w:r>
      <w:r w:rsidR="00786244" w:rsidRPr="00617833">
        <w:rPr>
          <w:rFonts w:ascii="Verdana" w:hAnsi="Verdana"/>
          <w:sz w:val="20"/>
        </w:rPr>
        <w:t>7</w:t>
      </w:r>
      <w:r w:rsidR="00504945" w:rsidRPr="00617833">
        <w:rPr>
          <w:rFonts w:ascii="Verdana" w:hAnsi="Verdana"/>
          <w:sz w:val="20"/>
        </w:rPr>
        <w:t xml:space="preserve"> se </w:t>
      </w:r>
      <w:r w:rsidR="00263B7C" w:rsidRPr="00617833">
        <w:rPr>
          <w:rFonts w:ascii="Verdana" w:hAnsi="Verdana"/>
          <w:sz w:val="20"/>
        </w:rPr>
        <w:t>tramitaron</w:t>
      </w:r>
      <w:r w:rsidR="00504945" w:rsidRPr="00617833">
        <w:rPr>
          <w:rFonts w:ascii="Verdana" w:hAnsi="Verdana"/>
          <w:sz w:val="20"/>
        </w:rPr>
        <w:t xml:space="preserve"> a través de ellas 1.</w:t>
      </w:r>
      <w:r w:rsidR="00786244" w:rsidRPr="00617833">
        <w:rPr>
          <w:rFonts w:ascii="Verdana" w:hAnsi="Verdana"/>
          <w:sz w:val="20"/>
        </w:rPr>
        <w:t>195</w:t>
      </w:r>
      <w:r w:rsidR="00504945" w:rsidRPr="00617833">
        <w:rPr>
          <w:rFonts w:ascii="Verdana" w:hAnsi="Verdana"/>
          <w:sz w:val="20"/>
        </w:rPr>
        <w:t>.</w:t>
      </w:r>
      <w:r w:rsidR="00786244" w:rsidRPr="00617833">
        <w:rPr>
          <w:rFonts w:ascii="Verdana" w:hAnsi="Verdana"/>
          <w:sz w:val="20"/>
        </w:rPr>
        <w:t>832</w:t>
      </w:r>
      <w:r w:rsidR="00504945" w:rsidRPr="00617833">
        <w:rPr>
          <w:rFonts w:ascii="Verdana" w:hAnsi="Verdana"/>
          <w:sz w:val="20"/>
        </w:rPr>
        <w:t xml:space="preserve"> </w:t>
      </w:r>
      <w:r w:rsidR="006718BA" w:rsidRPr="00617833">
        <w:rPr>
          <w:rFonts w:ascii="Verdana" w:hAnsi="Verdana"/>
          <w:sz w:val="20"/>
        </w:rPr>
        <w:t>órdenes</w:t>
      </w:r>
      <w:r w:rsidR="00504945" w:rsidRPr="00617833">
        <w:rPr>
          <w:rFonts w:ascii="Verdana" w:hAnsi="Verdana"/>
          <w:sz w:val="20"/>
        </w:rPr>
        <w:t xml:space="preserve"> de embargo</w:t>
      </w:r>
      <w:r w:rsidR="00786244" w:rsidRPr="00617833">
        <w:rPr>
          <w:rFonts w:ascii="Verdana" w:hAnsi="Verdana"/>
          <w:sz w:val="20"/>
        </w:rPr>
        <w:t xml:space="preserve"> (un 17,5% más que en 2016) y 254.188</w:t>
      </w:r>
      <w:r w:rsidR="00504945" w:rsidRPr="00617833">
        <w:rPr>
          <w:rFonts w:ascii="Verdana" w:hAnsi="Verdana"/>
          <w:sz w:val="20"/>
        </w:rPr>
        <w:t xml:space="preserve"> cancelaciones</w:t>
      </w:r>
      <w:r w:rsidR="00786244" w:rsidRPr="00617833">
        <w:rPr>
          <w:rFonts w:ascii="Verdana" w:hAnsi="Verdana"/>
          <w:sz w:val="20"/>
        </w:rPr>
        <w:t xml:space="preserve"> (un 169,1% más que el año anterior)</w:t>
      </w:r>
      <w:r w:rsidR="00504945" w:rsidRPr="00617833">
        <w:rPr>
          <w:rFonts w:ascii="Verdana" w:hAnsi="Verdana"/>
          <w:sz w:val="20"/>
        </w:rPr>
        <w:t>.</w:t>
      </w:r>
    </w:p>
    <w:p w:rsidR="00504945" w:rsidRPr="00617833" w:rsidRDefault="00504945" w:rsidP="00504945">
      <w:pPr>
        <w:jc w:val="both"/>
        <w:rPr>
          <w:rFonts w:ascii="Verdana" w:hAnsi="Verdana" w:cs="Arial"/>
          <w:b/>
          <w:bCs/>
          <w:color w:val="000080"/>
          <w:sz w:val="20"/>
          <w:szCs w:val="20"/>
        </w:rPr>
      </w:pPr>
    </w:p>
    <w:p w:rsidR="00BD4BFA" w:rsidRPr="00617833" w:rsidRDefault="007361CB" w:rsidP="007361CB">
      <w:pPr>
        <w:pStyle w:val="Textoindependiente"/>
        <w:spacing w:before="120" w:after="120"/>
        <w:ind w:firstLine="357"/>
        <w:rPr>
          <w:rFonts w:ascii="Verdana" w:hAnsi="Verdana"/>
          <w:sz w:val="20"/>
        </w:rPr>
      </w:pPr>
      <w:r w:rsidRPr="00617833">
        <w:rPr>
          <w:rFonts w:ascii="Verdana" w:hAnsi="Verdana"/>
          <w:sz w:val="20"/>
        </w:rPr>
        <w:t xml:space="preserve"> </w:t>
      </w:r>
      <w:r w:rsidR="00D0731A" w:rsidRPr="00617833">
        <w:rPr>
          <w:rFonts w:ascii="Verdana" w:hAnsi="Verdana"/>
          <w:sz w:val="20"/>
        </w:rPr>
        <w:t xml:space="preserve">Las duraciones medias, en días,  de las diligencias </w:t>
      </w:r>
      <w:r w:rsidR="00FA6A4B" w:rsidRPr="00617833">
        <w:rPr>
          <w:rFonts w:ascii="Verdana" w:hAnsi="Verdana"/>
          <w:sz w:val="20"/>
        </w:rPr>
        <w:t xml:space="preserve">realizadas por los servicios comunes de notificaciones y embargos </w:t>
      </w:r>
      <w:r w:rsidR="00D0731A" w:rsidRPr="00617833">
        <w:rPr>
          <w:rFonts w:ascii="Verdana" w:hAnsi="Verdana"/>
          <w:sz w:val="20"/>
        </w:rPr>
        <w:t>han sido de</w:t>
      </w:r>
      <w:r w:rsidR="00873770" w:rsidRPr="00617833">
        <w:rPr>
          <w:rFonts w:ascii="Verdana" w:hAnsi="Verdana"/>
          <w:sz w:val="20"/>
        </w:rPr>
        <w:t>:</w:t>
      </w:r>
      <w:r w:rsidR="00D121C1" w:rsidRPr="00617833">
        <w:rPr>
          <w:rFonts w:ascii="Verdana" w:hAnsi="Verdana"/>
          <w:sz w:val="20"/>
        </w:rPr>
        <w:t xml:space="preserve">  </w:t>
      </w:r>
    </w:p>
    <w:p w:rsidR="00DF1734" w:rsidRPr="00617833" w:rsidRDefault="00DF1734" w:rsidP="007361CB">
      <w:pPr>
        <w:pStyle w:val="Textoindependiente"/>
        <w:spacing w:before="120" w:after="120"/>
        <w:ind w:firstLine="357"/>
        <w:rPr>
          <w:rFonts w:ascii="Verdana" w:hAnsi="Verdana"/>
          <w:sz w:val="20"/>
        </w:rPr>
      </w:pPr>
    </w:p>
    <w:tbl>
      <w:tblPr>
        <w:tblW w:w="4240" w:type="dxa"/>
        <w:jc w:val="center"/>
        <w:tblInd w:w="55" w:type="dxa"/>
        <w:tblCellMar>
          <w:left w:w="70" w:type="dxa"/>
          <w:right w:w="70" w:type="dxa"/>
        </w:tblCellMar>
        <w:tblLook w:val="0000" w:firstRow="0" w:lastRow="0" w:firstColumn="0" w:lastColumn="0" w:noHBand="0" w:noVBand="0"/>
      </w:tblPr>
      <w:tblGrid>
        <w:gridCol w:w="1738"/>
        <w:gridCol w:w="1257"/>
        <w:gridCol w:w="1699"/>
      </w:tblGrid>
      <w:tr w:rsidR="004B1718" w:rsidRPr="00617833">
        <w:trPr>
          <w:trHeight w:val="525"/>
          <w:jc w:val="center"/>
        </w:trPr>
        <w:tc>
          <w:tcPr>
            <w:tcW w:w="1540" w:type="dxa"/>
            <w:tcBorders>
              <w:top w:val="single" w:sz="8" w:space="0" w:color="auto"/>
              <w:left w:val="nil"/>
              <w:bottom w:val="single" w:sz="8" w:space="0" w:color="auto"/>
              <w:right w:val="nil"/>
            </w:tcBorders>
            <w:shd w:val="clear" w:color="auto" w:fill="auto"/>
            <w:vAlign w:val="center"/>
          </w:tcPr>
          <w:p w:rsidR="004B1718" w:rsidRPr="00617833" w:rsidRDefault="004B1718">
            <w:pPr>
              <w:jc w:val="center"/>
              <w:rPr>
                <w:rFonts w:ascii="Verdana" w:hAnsi="Verdana" w:cs="Arial"/>
                <w:b/>
                <w:bCs/>
                <w:color w:val="000080"/>
                <w:sz w:val="20"/>
                <w:szCs w:val="20"/>
              </w:rPr>
            </w:pPr>
            <w:r w:rsidRPr="00617833">
              <w:rPr>
                <w:rFonts w:ascii="Verdana" w:hAnsi="Verdana" w:cs="Arial"/>
                <w:b/>
                <w:bCs/>
                <w:color w:val="000080"/>
                <w:sz w:val="20"/>
                <w:szCs w:val="20"/>
              </w:rPr>
              <w:t>Diligencias Unipersonales</w:t>
            </w:r>
          </w:p>
        </w:tc>
        <w:tc>
          <w:tcPr>
            <w:tcW w:w="1200" w:type="dxa"/>
            <w:tcBorders>
              <w:top w:val="single" w:sz="8" w:space="0" w:color="auto"/>
              <w:left w:val="nil"/>
              <w:bottom w:val="single" w:sz="8" w:space="0" w:color="auto"/>
              <w:right w:val="nil"/>
            </w:tcBorders>
            <w:shd w:val="clear" w:color="auto" w:fill="auto"/>
            <w:vAlign w:val="center"/>
          </w:tcPr>
          <w:p w:rsidR="004B1718" w:rsidRPr="00617833" w:rsidRDefault="004B1718">
            <w:pPr>
              <w:jc w:val="center"/>
              <w:rPr>
                <w:rFonts w:ascii="Verdana" w:hAnsi="Verdana" w:cs="Arial"/>
                <w:b/>
                <w:bCs/>
                <w:color w:val="000080"/>
                <w:sz w:val="20"/>
                <w:szCs w:val="20"/>
              </w:rPr>
            </w:pPr>
            <w:r w:rsidRPr="00617833">
              <w:rPr>
                <w:rFonts w:ascii="Verdana" w:hAnsi="Verdana" w:cs="Arial"/>
                <w:b/>
                <w:bCs/>
                <w:color w:val="000080"/>
                <w:sz w:val="20"/>
                <w:szCs w:val="20"/>
              </w:rPr>
              <w:t>Embargos</w:t>
            </w:r>
          </w:p>
        </w:tc>
        <w:tc>
          <w:tcPr>
            <w:tcW w:w="1500" w:type="dxa"/>
            <w:tcBorders>
              <w:top w:val="single" w:sz="8" w:space="0" w:color="auto"/>
              <w:left w:val="nil"/>
              <w:bottom w:val="single" w:sz="8" w:space="0" w:color="auto"/>
              <w:right w:val="nil"/>
            </w:tcBorders>
            <w:shd w:val="clear" w:color="auto" w:fill="auto"/>
            <w:vAlign w:val="center"/>
          </w:tcPr>
          <w:p w:rsidR="004B1718" w:rsidRPr="00617833" w:rsidRDefault="004B1718">
            <w:pPr>
              <w:jc w:val="center"/>
              <w:rPr>
                <w:rFonts w:ascii="Verdana" w:hAnsi="Verdana" w:cs="Arial"/>
                <w:b/>
                <w:bCs/>
                <w:color w:val="000080"/>
                <w:sz w:val="20"/>
                <w:szCs w:val="20"/>
              </w:rPr>
            </w:pPr>
            <w:r w:rsidRPr="00617833">
              <w:rPr>
                <w:rFonts w:ascii="Verdana" w:hAnsi="Verdana" w:cs="Arial"/>
                <w:b/>
                <w:bCs/>
                <w:color w:val="000080"/>
                <w:sz w:val="20"/>
                <w:szCs w:val="20"/>
              </w:rPr>
              <w:t>Lanzamientos</w:t>
            </w:r>
          </w:p>
        </w:tc>
      </w:tr>
      <w:tr w:rsidR="004B1718" w:rsidRPr="00617833">
        <w:trPr>
          <w:trHeight w:val="270"/>
          <w:jc w:val="center"/>
        </w:trPr>
        <w:tc>
          <w:tcPr>
            <w:tcW w:w="1540" w:type="dxa"/>
            <w:tcBorders>
              <w:top w:val="nil"/>
              <w:left w:val="nil"/>
              <w:bottom w:val="single" w:sz="8" w:space="0" w:color="auto"/>
              <w:right w:val="nil"/>
            </w:tcBorders>
            <w:shd w:val="clear" w:color="auto" w:fill="auto"/>
            <w:noWrap/>
            <w:vAlign w:val="bottom"/>
          </w:tcPr>
          <w:p w:rsidR="004B1718" w:rsidRPr="00617833" w:rsidRDefault="004B1718" w:rsidP="007E7BE2">
            <w:pPr>
              <w:jc w:val="center"/>
              <w:rPr>
                <w:rFonts w:ascii="Verdana" w:hAnsi="Verdana" w:cs="Arial"/>
                <w:sz w:val="20"/>
                <w:szCs w:val="20"/>
              </w:rPr>
            </w:pPr>
            <w:r w:rsidRPr="00617833">
              <w:rPr>
                <w:rFonts w:ascii="Verdana" w:hAnsi="Verdana" w:cs="Arial"/>
                <w:sz w:val="20"/>
                <w:szCs w:val="20"/>
              </w:rPr>
              <w:t>1</w:t>
            </w:r>
            <w:r w:rsidR="007E7BE2" w:rsidRPr="00617833">
              <w:rPr>
                <w:rFonts w:ascii="Verdana" w:hAnsi="Verdana" w:cs="Arial"/>
                <w:sz w:val="20"/>
                <w:szCs w:val="20"/>
              </w:rPr>
              <w:t>3</w:t>
            </w:r>
            <w:r w:rsidRPr="00617833">
              <w:rPr>
                <w:rFonts w:ascii="Verdana" w:hAnsi="Verdana" w:cs="Arial"/>
                <w:sz w:val="20"/>
                <w:szCs w:val="20"/>
              </w:rPr>
              <w:t>,</w:t>
            </w:r>
            <w:r w:rsidR="007E7BE2" w:rsidRPr="00617833">
              <w:rPr>
                <w:rFonts w:ascii="Verdana" w:hAnsi="Verdana" w:cs="Arial"/>
                <w:sz w:val="20"/>
                <w:szCs w:val="20"/>
              </w:rPr>
              <w:t>3</w:t>
            </w:r>
          </w:p>
        </w:tc>
        <w:tc>
          <w:tcPr>
            <w:tcW w:w="1200" w:type="dxa"/>
            <w:tcBorders>
              <w:top w:val="nil"/>
              <w:left w:val="nil"/>
              <w:bottom w:val="single" w:sz="8" w:space="0" w:color="auto"/>
              <w:right w:val="nil"/>
            </w:tcBorders>
            <w:shd w:val="clear" w:color="auto" w:fill="auto"/>
            <w:noWrap/>
            <w:vAlign w:val="bottom"/>
          </w:tcPr>
          <w:p w:rsidR="004B1718" w:rsidRPr="00617833" w:rsidRDefault="007E7BE2" w:rsidP="007E7BE2">
            <w:pPr>
              <w:jc w:val="center"/>
              <w:rPr>
                <w:rFonts w:ascii="Verdana" w:hAnsi="Verdana" w:cs="Arial"/>
                <w:sz w:val="20"/>
                <w:szCs w:val="20"/>
              </w:rPr>
            </w:pPr>
            <w:r w:rsidRPr="00617833">
              <w:rPr>
                <w:rFonts w:ascii="Verdana" w:hAnsi="Verdana" w:cs="Arial"/>
                <w:sz w:val="20"/>
                <w:szCs w:val="20"/>
              </w:rPr>
              <w:t>19</w:t>
            </w:r>
            <w:r w:rsidR="00715515" w:rsidRPr="00617833">
              <w:rPr>
                <w:rFonts w:ascii="Verdana" w:hAnsi="Verdana" w:cs="Arial"/>
                <w:sz w:val="20"/>
                <w:szCs w:val="20"/>
              </w:rPr>
              <w:t>,</w:t>
            </w:r>
            <w:r w:rsidRPr="00617833">
              <w:rPr>
                <w:rFonts w:ascii="Verdana" w:hAnsi="Verdana" w:cs="Arial"/>
                <w:sz w:val="20"/>
                <w:szCs w:val="20"/>
              </w:rPr>
              <w:t>9</w:t>
            </w:r>
          </w:p>
        </w:tc>
        <w:tc>
          <w:tcPr>
            <w:tcW w:w="1500" w:type="dxa"/>
            <w:tcBorders>
              <w:top w:val="nil"/>
              <w:left w:val="nil"/>
              <w:bottom w:val="single" w:sz="8" w:space="0" w:color="auto"/>
              <w:right w:val="nil"/>
            </w:tcBorders>
            <w:shd w:val="clear" w:color="auto" w:fill="auto"/>
            <w:noWrap/>
            <w:vAlign w:val="bottom"/>
          </w:tcPr>
          <w:p w:rsidR="004B1718" w:rsidRPr="00617833" w:rsidRDefault="004B1718" w:rsidP="007E7BE2">
            <w:pPr>
              <w:jc w:val="center"/>
              <w:rPr>
                <w:rFonts w:ascii="Verdana" w:hAnsi="Verdana" w:cs="Arial"/>
                <w:sz w:val="20"/>
                <w:szCs w:val="20"/>
              </w:rPr>
            </w:pPr>
            <w:r w:rsidRPr="00617833">
              <w:rPr>
                <w:rFonts w:ascii="Verdana" w:hAnsi="Verdana" w:cs="Arial"/>
                <w:sz w:val="20"/>
                <w:szCs w:val="20"/>
              </w:rPr>
              <w:t>3</w:t>
            </w:r>
            <w:r w:rsidR="007E7BE2" w:rsidRPr="00617833">
              <w:rPr>
                <w:rFonts w:ascii="Verdana" w:hAnsi="Verdana" w:cs="Arial"/>
                <w:sz w:val="20"/>
                <w:szCs w:val="20"/>
              </w:rPr>
              <w:t>3</w:t>
            </w:r>
          </w:p>
        </w:tc>
      </w:tr>
    </w:tbl>
    <w:p w:rsidR="00BD4BFA" w:rsidRPr="00617833" w:rsidRDefault="00BD4BFA" w:rsidP="00BD4BFA">
      <w:pPr>
        <w:pStyle w:val="Textoindependiente"/>
        <w:spacing w:before="120" w:after="120"/>
        <w:ind w:firstLine="357"/>
        <w:rPr>
          <w:rFonts w:ascii="Verdana" w:hAnsi="Verdana"/>
          <w:sz w:val="20"/>
        </w:rPr>
      </w:pPr>
    </w:p>
    <w:p w:rsidR="00E3546A" w:rsidRPr="00617833" w:rsidRDefault="00666775" w:rsidP="00BD4BFA">
      <w:pPr>
        <w:pStyle w:val="Textoindependiente"/>
        <w:spacing w:before="120" w:after="120"/>
        <w:ind w:firstLine="357"/>
        <w:rPr>
          <w:rFonts w:ascii="Verdana" w:hAnsi="Verdana"/>
          <w:sz w:val="20"/>
        </w:rPr>
      </w:pPr>
      <w:r w:rsidRPr="00617833">
        <w:rPr>
          <w:rFonts w:ascii="Verdana" w:hAnsi="Verdana"/>
          <w:sz w:val="20"/>
        </w:rPr>
        <w:t xml:space="preserve">Las duraciones medias </w:t>
      </w:r>
      <w:r w:rsidR="0077302B" w:rsidRPr="00617833">
        <w:rPr>
          <w:rFonts w:ascii="Verdana" w:hAnsi="Verdana"/>
          <w:sz w:val="20"/>
        </w:rPr>
        <w:t xml:space="preserve">de las diligencias unipersonales </w:t>
      </w:r>
      <w:r w:rsidRPr="00617833">
        <w:rPr>
          <w:rFonts w:ascii="Verdana" w:hAnsi="Verdana"/>
          <w:sz w:val="20"/>
        </w:rPr>
        <w:t xml:space="preserve">han </w:t>
      </w:r>
      <w:r w:rsidR="009E0942" w:rsidRPr="00617833">
        <w:rPr>
          <w:rFonts w:ascii="Verdana" w:hAnsi="Verdana"/>
          <w:sz w:val="20"/>
        </w:rPr>
        <w:t>tenido un</w:t>
      </w:r>
      <w:r w:rsidR="007E7BE2" w:rsidRPr="00617833">
        <w:rPr>
          <w:rFonts w:ascii="Verdana" w:hAnsi="Verdana"/>
          <w:sz w:val="20"/>
        </w:rPr>
        <w:t xml:space="preserve"> incremento</w:t>
      </w:r>
      <w:r w:rsidR="00A67D13" w:rsidRPr="00617833">
        <w:rPr>
          <w:rFonts w:ascii="Verdana" w:hAnsi="Verdana"/>
          <w:sz w:val="20"/>
        </w:rPr>
        <w:t xml:space="preserve"> del </w:t>
      </w:r>
      <w:r w:rsidR="00786244" w:rsidRPr="00617833">
        <w:rPr>
          <w:rFonts w:ascii="Verdana" w:hAnsi="Verdana"/>
          <w:sz w:val="20"/>
        </w:rPr>
        <w:t>3</w:t>
      </w:r>
      <w:r w:rsidR="00A67D13" w:rsidRPr="00617833">
        <w:rPr>
          <w:rFonts w:ascii="Verdana" w:hAnsi="Verdana"/>
          <w:sz w:val="20"/>
        </w:rPr>
        <w:t>,</w:t>
      </w:r>
      <w:r w:rsidR="00786244" w:rsidRPr="00617833">
        <w:rPr>
          <w:rFonts w:ascii="Verdana" w:hAnsi="Verdana"/>
          <w:sz w:val="20"/>
        </w:rPr>
        <w:t>1</w:t>
      </w:r>
      <w:r w:rsidR="00A67D13" w:rsidRPr="00617833">
        <w:rPr>
          <w:rFonts w:ascii="Verdana" w:hAnsi="Verdana"/>
          <w:sz w:val="20"/>
        </w:rPr>
        <w:t xml:space="preserve">% </w:t>
      </w:r>
      <w:r w:rsidR="0077302B" w:rsidRPr="00617833">
        <w:rPr>
          <w:rFonts w:ascii="Verdana" w:hAnsi="Verdana"/>
          <w:sz w:val="20"/>
        </w:rPr>
        <w:t>respecto a</w:t>
      </w:r>
      <w:r w:rsidR="009D6106" w:rsidRPr="00617833">
        <w:rPr>
          <w:rFonts w:ascii="Verdana" w:hAnsi="Verdana"/>
          <w:sz w:val="20"/>
        </w:rPr>
        <w:t xml:space="preserve"> </w:t>
      </w:r>
      <w:r w:rsidR="0077302B" w:rsidRPr="00617833">
        <w:rPr>
          <w:rFonts w:ascii="Verdana" w:hAnsi="Verdana"/>
          <w:sz w:val="20"/>
        </w:rPr>
        <w:t xml:space="preserve"> 201</w:t>
      </w:r>
      <w:r w:rsidR="00786244" w:rsidRPr="00617833">
        <w:rPr>
          <w:rFonts w:ascii="Verdana" w:hAnsi="Verdana"/>
          <w:sz w:val="20"/>
        </w:rPr>
        <w:t>6</w:t>
      </w:r>
      <w:r w:rsidR="00A67D13" w:rsidRPr="00617833">
        <w:rPr>
          <w:rFonts w:ascii="Verdana" w:hAnsi="Verdana"/>
          <w:sz w:val="20"/>
        </w:rPr>
        <w:t>,</w:t>
      </w:r>
      <w:r w:rsidR="002024FA" w:rsidRPr="00617833">
        <w:rPr>
          <w:rFonts w:ascii="Verdana" w:hAnsi="Verdana"/>
          <w:sz w:val="20"/>
        </w:rPr>
        <w:t xml:space="preserve"> </w:t>
      </w:r>
      <w:r w:rsidR="00E3546A" w:rsidRPr="00617833">
        <w:rPr>
          <w:rFonts w:ascii="Verdana" w:hAnsi="Verdana"/>
          <w:sz w:val="20"/>
        </w:rPr>
        <w:t xml:space="preserve">las de los embargos </w:t>
      </w:r>
      <w:r w:rsidR="007E7BE2" w:rsidRPr="00617833">
        <w:rPr>
          <w:rFonts w:ascii="Verdana" w:hAnsi="Verdana"/>
          <w:sz w:val="20"/>
        </w:rPr>
        <w:t xml:space="preserve">se han reducido un 8,3% </w:t>
      </w:r>
      <w:r w:rsidR="00E3546A" w:rsidRPr="00617833">
        <w:rPr>
          <w:rFonts w:ascii="Verdana" w:hAnsi="Verdana"/>
          <w:sz w:val="20"/>
        </w:rPr>
        <w:t xml:space="preserve">y las de los lanzamientos y similares </w:t>
      </w:r>
      <w:r w:rsidR="007E7BE2" w:rsidRPr="00617833">
        <w:rPr>
          <w:rFonts w:ascii="Verdana" w:hAnsi="Verdana"/>
          <w:sz w:val="20"/>
        </w:rPr>
        <w:t>han aumentado un 4,8</w:t>
      </w:r>
      <w:r w:rsidR="00E3546A" w:rsidRPr="00617833">
        <w:rPr>
          <w:rFonts w:ascii="Verdana" w:hAnsi="Verdana"/>
          <w:sz w:val="20"/>
        </w:rPr>
        <w:t>%.</w:t>
      </w:r>
    </w:p>
    <w:p w:rsidR="008B274B" w:rsidRPr="00617833" w:rsidRDefault="00F00A81">
      <w:pPr>
        <w:pStyle w:val="Textoindependiente"/>
        <w:spacing w:before="120" w:after="120"/>
        <w:ind w:firstLine="357"/>
        <w:rPr>
          <w:rFonts w:ascii="Verdana" w:hAnsi="Verdana"/>
          <w:sz w:val="20"/>
        </w:rPr>
      </w:pPr>
      <w:r w:rsidRPr="00617833">
        <w:rPr>
          <w:rFonts w:ascii="Verdana" w:hAnsi="Verdana"/>
          <w:sz w:val="20"/>
        </w:rPr>
        <w:t xml:space="preserve">Respecto </w:t>
      </w:r>
      <w:r w:rsidR="00873770" w:rsidRPr="00617833">
        <w:rPr>
          <w:rFonts w:ascii="Verdana" w:hAnsi="Verdana"/>
          <w:sz w:val="20"/>
        </w:rPr>
        <w:t xml:space="preserve">al </w:t>
      </w:r>
      <w:r w:rsidR="00132820" w:rsidRPr="00617833">
        <w:rPr>
          <w:rFonts w:ascii="Verdana" w:hAnsi="Verdana"/>
          <w:sz w:val="20"/>
        </w:rPr>
        <w:t>i</w:t>
      </w:r>
      <w:r w:rsidR="00873770" w:rsidRPr="00617833">
        <w:rPr>
          <w:rFonts w:ascii="Verdana" w:hAnsi="Verdana"/>
          <w:sz w:val="20"/>
        </w:rPr>
        <w:t>ncidente de n</w:t>
      </w:r>
      <w:r w:rsidR="00D0731A" w:rsidRPr="00617833">
        <w:rPr>
          <w:rFonts w:ascii="Verdana" w:hAnsi="Verdana"/>
          <w:sz w:val="20"/>
        </w:rPr>
        <w:t>ulidad de</w:t>
      </w:r>
      <w:r w:rsidR="00873770" w:rsidRPr="00617833">
        <w:rPr>
          <w:rFonts w:ascii="Verdana" w:hAnsi="Verdana"/>
          <w:sz w:val="20"/>
        </w:rPr>
        <w:t xml:space="preserve"> actuaciones</w:t>
      </w:r>
      <w:r w:rsidRPr="00617833">
        <w:rPr>
          <w:rFonts w:ascii="Verdana" w:hAnsi="Verdana"/>
          <w:sz w:val="20"/>
        </w:rPr>
        <w:t xml:space="preserve"> del A</w:t>
      </w:r>
      <w:r w:rsidR="00D0731A" w:rsidRPr="00617833">
        <w:rPr>
          <w:rFonts w:ascii="Verdana" w:hAnsi="Verdana"/>
          <w:sz w:val="20"/>
        </w:rPr>
        <w:t>rt. 241. 1 de la LOPJ se han presentado</w:t>
      </w:r>
      <w:r w:rsidR="00D56458" w:rsidRPr="00617833">
        <w:rPr>
          <w:rFonts w:ascii="Verdana" w:hAnsi="Verdana"/>
          <w:sz w:val="20"/>
        </w:rPr>
        <w:t xml:space="preserve"> </w:t>
      </w:r>
      <w:r w:rsidR="00BD281A" w:rsidRPr="00617833">
        <w:rPr>
          <w:rFonts w:ascii="Verdana" w:hAnsi="Verdana"/>
          <w:sz w:val="20"/>
        </w:rPr>
        <w:t>7</w:t>
      </w:r>
      <w:r w:rsidR="00D56458" w:rsidRPr="00617833">
        <w:rPr>
          <w:rFonts w:ascii="Verdana" w:hAnsi="Verdana"/>
          <w:sz w:val="20"/>
        </w:rPr>
        <w:t>.</w:t>
      </w:r>
      <w:r w:rsidR="007E7BE2" w:rsidRPr="00617833">
        <w:rPr>
          <w:rFonts w:ascii="Verdana" w:hAnsi="Verdana"/>
          <w:sz w:val="20"/>
        </w:rPr>
        <w:t>552</w:t>
      </w:r>
      <w:r w:rsidR="00D56458" w:rsidRPr="00617833">
        <w:rPr>
          <w:rFonts w:ascii="Verdana" w:hAnsi="Verdana"/>
          <w:sz w:val="20"/>
        </w:rPr>
        <w:t xml:space="preserve">, un </w:t>
      </w:r>
      <w:r w:rsidR="007E7BE2" w:rsidRPr="00617833">
        <w:rPr>
          <w:rFonts w:ascii="Verdana" w:hAnsi="Verdana"/>
          <w:sz w:val="20"/>
        </w:rPr>
        <w:t>4,2</w:t>
      </w:r>
      <w:r w:rsidR="00D56458" w:rsidRPr="00617833">
        <w:rPr>
          <w:rFonts w:ascii="Verdana" w:hAnsi="Verdana"/>
          <w:sz w:val="20"/>
        </w:rPr>
        <w:t>% m</w:t>
      </w:r>
      <w:r w:rsidR="007E7BE2" w:rsidRPr="00617833">
        <w:rPr>
          <w:rFonts w:ascii="Verdana" w:hAnsi="Verdana"/>
          <w:sz w:val="20"/>
        </w:rPr>
        <w:t>enos</w:t>
      </w:r>
      <w:r w:rsidR="00BD281A" w:rsidRPr="00617833">
        <w:rPr>
          <w:rFonts w:ascii="Verdana" w:hAnsi="Verdana"/>
          <w:sz w:val="20"/>
        </w:rPr>
        <w:t xml:space="preserve"> que en 201</w:t>
      </w:r>
      <w:r w:rsidR="007E7BE2" w:rsidRPr="00617833">
        <w:rPr>
          <w:rFonts w:ascii="Verdana" w:hAnsi="Verdana"/>
          <w:sz w:val="20"/>
        </w:rPr>
        <w:t>6</w:t>
      </w:r>
      <w:r w:rsidR="00662853" w:rsidRPr="00617833">
        <w:rPr>
          <w:rFonts w:ascii="Verdana" w:hAnsi="Verdana"/>
          <w:sz w:val="20"/>
        </w:rPr>
        <w:t xml:space="preserve">, </w:t>
      </w:r>
      <w:r w:rsidR="00D0731A" w:rsidRPr="00617833">
        <w:rPr>
          <w:rFonts w:ascii="Verdana" w:hAnsi="Verdana"/>
          <w:sz w:val="20"/>
        </w:rPr>
        <w:t>con la siguiente distribución por jurisdicciones</w:t>
      </w:r>
      <w:r w:rsidR="008B274B" w:rsidRPr="00617833">
        <w:rPr>
          <w:rFonts w:ascii="Verdana" w:hAnsi="Verdana"/>
          <w:sz w:val="20"/>
        </w:rPr>
        <w:t>:</w:t>
      </w:r>
    </w:p>
    <w:p w:rsidR="006A64FB" w:rsidRPr="00617833" w:rsidRDefault="006A64FB">
      <w:pPr>
        <w:pStyle w:val="Textoindependiente"/>
        <w:spacing w:before="120" w:after="120"/>
        <w:ind w:firstLine="357"/>
        <w:rPr>
          <w:rFonts w:ascii="Verdana" w:hAnsi="Verdana"/>
          <w:sz w:val="20"/>
        </w:rPr>
      </w:pPr>
    </w:p>
    <w:tbl>
      <w:tblPr>
        <w:tblW w:w="7620" w:type="dxa"/>
        <w:jc w:val="center"/>
        <w:tblInd w:w="55" w:type="dxa"/>
        <w:tblCellMar>
          <w:left w:w="70" w:type="dxa"/>
          <w:right w:w="70" w:type="dxa"/>
        </w:tblCellMar>
        <w:tblLook w:val="04A0" w:firstRow="1" w:lastRow="0" w:firstColumn="1" w:lastColumn="0" w:noHBand="0" w:noVBand="1"/>
      </w:tblPr>
      <w:tblGrid>
        <w:gridCol w:w="1080"/>
        <w:gridCol w:w="1200"/>
        <w:gridCol w:w="1511"/>
        <w:gridCol w:w="1194"/>
        <w:gridCol w:w="1195"/>
        <w:gridCol w:w="1440"/>
      </w:tblGrid>
      <w:tr w:rsidR="007E7BE2" w:rsidRPr="00617833" w:rsidTr="007E7BE2">
        <w:trPr>
          <w:trHeight w:val="450"/>
          <w:jc w:val="center"/>
        </w:trPr>
        <w:tc>
          <w:tcPr>
            <w:tcW w:w="108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Arial"/>
                <w:b/>
                <w:bCs/>
                <w:color w:val="000080"/>
                <w:sz w:val="20"/>
                <w:szCs w:val="20"/>
              </w:rPr>
              <w:t>Civil</w:t>
            </w:r>
          </w:p>
        </w:tc>
        <w:tc>
          <w:tcPr>
            <w:tcW w:w="120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Arial"/>
                <w:b/>
                <w:bCs/>
                <w:color w:val="000080"/>
                <w:sz w:val="20"/>
                <w:szCs w:val="20"/>
              </w:rPr>
              <w:t xml:space="preserve">Penal </w:t>
            </w:r>
          </w:p>
        </w:tc>
        <w:tc>
          <w:tcPr>
            <w:tcW w:w="150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Arial"/>
                <w:b/>
                <w:bCs/>
                <w:color w:val="000080"/>
                <w:sz w:val="20"/>
                <w:szCs w:val="20"/>
              </w:rPr>
              <w:t>Contencioso</w:t>
            </w:r>
          </w:p>
        </w:tc>
        <w:tc>
          <w:tcPr>
            <w:tcW w:w="120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Arial"/>
                <w:b/>
                <w:bCs/>
                <w:color w:val="000080"/>
                <w:sz w:val="20"/>
                <w:szCs w:val="20"/>
              </w:rPr>
              <w:t>Social</w:t>
            </w:r>
          </w:p>
        </w:tc>
        <w:tc>
          <w:tcPr>
            <w:tcW w:w="120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TS Militar</w:t>
            </w:r>
          </w:p>
        </w:tc>
        <w:tc>
          <w:tcPr>
            <w:tcW w:w="1440" w:type="dxa"/>
            <w:tcBorders>
              <w:top w:val="single" w:sz="8" w:space="0" w:color="0000FF"/>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Arial"/>
                <w:b/>
                <w:bCs/>
                <w:color w:val="000080"/>
                <w:sz w:val="20"/>
                <w:szCs w:val="20"/>
              </w:rPr>
              <w:t>TS Salas especiales</w:t>
            </w:r>
          </w:p>
        </w:tc>
      </w:tr>
      <w:tr w:rsidR="007E7BE2" w:rsidRPr="00617833" w:rsidTr="007E7BE2">
        <w:trPr>
          <w:trHeight w:val="315"/>
          <w:jc w:val="center"/>
        </w:trPr>
        <w:tc>
          <w:tcPr>
            <w:tcW w:w="1080" w:type="dxa"/>
            <w:tcBorders>
              <w:top w:val="nil"/>
              <w:left w:val="nil"/>
              <w:bottom w:val="single" w:sz="8" w:space="0" w:color="0000FF"/>
              <w:right w:val="nil"/>
            </w:tcBorders>
            <w:shd w:val="clear" w:color="auto" w:fill="auto"/>
            <w:noWrap/>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5.113</w:t>
            </w:r>
          </w:p>
        </w:tc>
        <w:tc>
          <w:tcPr>
            <w:tcW w:w="1200" w:type="dxa"/>
            <w:tcBorders>
              <w:top w:val="nil"/>
              <w:left w:val="nil"/>
              <w:bottom w:val="single" w:sz="8" w:space="0" w:color="0000FF"/>
              <w:right w:val="nil"/>
            </w:tcBorders>
            <w:shd w:val="clear" w:color="auto" w:fill="auto"/>
            <w:noWrap/>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1.136</w:t>
            </w:r>
          </w:p>
        </w:tc>
        <w:tc>
          <w:tcPr>
            <w:tcW w:w="1500" w:type="dxa"/>
            <w:tcBorders>
              <w:top w:val="nil"/>
              <w:left w:val="nil"/>
              <w:bottom w:val="single" w:sz="8" w:space="0" w:color="0000FF"/>
              <w:right w:val="nil"/>
            </w:tcBorders>
            <w:shd w:val="clear" w:color="auto" w:fill="auto"/>
            <w:noWrap/>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766</w:t>
            </w:r>
          </w:p>
        </w:tc>
        <w:tc>
          <w:tcPr>
            <w:tcW w:w="1200" w:type="dxa"/>
            <w:tcBorders>
              <w:top w:val="nil"/>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529</w:t>
            </w:r>
          </w:p>
        </w:tc>
        <w:tc>
          <w:tcPr>
            <w:tcW w:w="1200" w:type="dxa"/>
            <w:tcBorders>
              <w:top w:val="nil"/>
              <w:left w:val="nil"/>
              <w:bottom w:val="single" w:sz="8" w:space="0" w:color="0000FF"/>
              <w:right w:val="nil"/>
            </w:tcBorders>
            <w:shd w:val="clear" w:color="auto" w:fill="auto"/>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7</w:t>
            </w:r>
          </w:p>
        </w:tc>
        <w:tc>
          <w:tcPr>
            <w:tcW w:w="1440" w:type="dxa"/>
            <w:tcBorders>
              <w:top w:val="nil"/>
              <w:left w:val="nil"/>
              <w:bottom w:val="single" w:sz="8" w:space="0" w:color="0000FF"/>
              <w:right w:val="nil"/>
            </w:tcBorders>
            <w:shd w:val="clear" w:color="auto" w:fill="auto"/>
            <w:noWrap/>
            <w:vAlign w:val="center"/>
            <w:hideMark/>
          </w:tcPr>
          <w:p w:rsidR="007E7BE2" w:rsidRPr="00617833" w:rsidRDefault="007E7BE2">
            <w:pPr>
              <w:jc w:val="center"/>
              <w:rPr>
                <w:rFonts w:ascii="Verdana" w:hAnsi="Verdana" w:cs="Calibri"/>
                <w:b/>
                <w:bCs/>
                <w:color w:val="000080"/>
                <w:sz w:val="20"/>
                <w:szCs w:val="20"/>
              </w:rPr>
            </w:pPr>
            <w:r w:rsidRPr="00617833">
              <w:rPr>
                <w:rFonts w:ascii="Verdana" w:hAnsi="Verdana" w:cs="Calibri"/>
                <w:b/>
                <w:bCs/>
                <w:color w:val="000080"/>
                <w:sz w:val="20"/>
                <w:szCs w:val="20"/>
              </w:rPr>
              <w:t>1</w:t>
            </w:r>
          </w:p>
        </w:tc>
      </w:tr>
    </w:tbl>
    <w:p w:rsidR="00871A03" w:rsidRPr="00617833" w:rsidRDefault="00871A03">
      <w:pPr>
        <w:pStyle w:val="Textoindependiente"/>
        <w:spacing w:before="120" w:after="120"/>
        <w:ind w:firstLine="357"/>
        <w:rPr>
          <w:rFonts w:ascii="Verdana" w:hAnsi="Verdana"/>
          <w:sz w:val="20"/>
        </w:rPr>
      </w:pPr>
    </w:p>
    <w:p w:rsidR="00E26AA8" w:rsidRPr="00617833" w:rsidRDefault="008E2D64" w:rsidP="00001682">
      <w:pPr>
        <w:pStyle w:val="Textoindependiente"/>
        <w:spacing w:before="120" w:after="120"/>
        <w:ind w:firstLine="357"/>
        <w:rPr>
          <w:rFonts w:ascii="Verdana" w:hAnsi="Verdana"/>
          <w:sz w:val="20"/>
        </w:rPr>
      </w:pPr>
      <w:r w:rsidRPr="00617833">
        <w:rPr>
          <w:rFonts w:ascii="Verdana" w:hAnsi="Verdana"/>
          <w:sz w:val="20"/>
        </w:rPr>
        <w:t>En el año 201</w:t>
      </w:r>
      <w:r w:rsidR="00463A93" w:rsidRPr="00617833">
        <w:rPr>
          <w:rFonts w:ascii="Verdana" w:hAnsi="Verdana"/>
          <w:sz w:val="20"/>
        </w:rPr>
        <w:t>7</w:t>
      </w:r>
      <w:r w:rsidRPr="00617833">
        <w:rPr>
          <w:rFonts w:ascii="Verdana" w:hAnsi="Verdana"/>
          <w:sz w:val="20"/>
        </w:rPr>
        <w:t xml:space="preserve"> e</w:t>
      </w:r>
      <w:r w:rsidR="009D6106" w:rsidRPr="00617833">
        <w:rPr>
          <w:rFonts w:ascii="Verdana" w:hAnsi="Verdana"/>
          <w:sz w:val="20"/>
        </w:rPr>
        <w:t>l Tribunal de Justicia de las C</w:t>
      </w:r>
      <w:r w:rsidR="00E26AA8" w:rsidRPr="00617833">
        <w:rPr>
          <w:rFonts w:ascii="Verdana" w:hAnsi="Verdana"/>
          <w:sz w:val="20"/>
        </w:rPr>
        <w:t xml:space="preserve">omunidades Europeas ha iniciado </w:t>
      </w:r>
      <w:r w:rsidR="00463A93" w:rsidRPr="00617833">
        <w:rPr>
          <w:rFonts w:ascii="Verdana" w:hAnsi="Verdana"/>
          <w:sz w:val="20"/>
        </w:rPr>
        <w:t>23</w:t>
      </w:r>
      <w:r w:rsidR="00E26AA8" w:rsidRPr="00617833">
        <w:rPr>
          <w:rFonts w:ascii="Verdana" w:hAnsi="Verdana"/>
          <w:sz w:val="20"/>
        </w:rPr>
        <w:t xml:space="preserve"> cuestiones prejudiciales planteadas por órganos</w:t>
      </w:r>
      <w:r w:rsidR="00001682" w:rsidRPr="00617833">
        <w:rPr>
          <w:rFonts w:ascii="Verdana" w:hAnsi="Verdana"/>
          <w:sz w:val="20"/>
        </w:rPr>
        <w:t xml:space="preserve"> judiciales españoles</w:t>
      </w:r>
      <w:r w:rsidR="00261839" w:rsidRPr="00617833">
        <w:rPr>
          <w:rFonts w:ascii="Verdana" w:hAnsi="Verdana"/>
          <w:sz w:val="20"/>
        </w:rPr>
        <w:t xml:space="preserve">, </w:t>
      </w:r>
      <w:r w:rsidR="00463A93" w:rsidRPr="00617833">
        <w:rPr>
          <w:rFonts w:ascii="Verdana" w:hAnsi="Verdana"/>
          <w:sz w:val="20"/>
        </w:rPr>
        <w:t xml:space="preserve">cifra muy inferior a las 47 </w:t>
      </w:r>
      <w:r w:rsidR="002B73D8" w:rsidRPr="00617833">
        <w:rPr>
          <w:rFonts w:ascii="Verdana" w:hAnsi="Verdana"/>
          <w:sz w:val="20"/>
        </w:rPr>
        <w:t>iniciadas</w:t>
      </w:r>
      <w:r w:rsidR="00463A93" w:rsidRPr="00617833">
        <w:rPr>
          <w:rFonts w:ascii="Verdana" w:hAnsi="Verdana"/>
          <w:sz w:val="20"/>
        </w:rPr>
        <w:t xml:space="preserve"> en 2016</w:t>
      </w:r>
      <w:r w:rsidR="000B312F" w:rsidRPr="00617833">
        <w:rPr>
          <w:rFonts w:ascii="Verdana" w:hAnsi="Verdana"/>
          <w:sz w:val="20"/>
        </w:rPr>
        <w:t>. Esta cifra ha</w:t>
      </w:r>
      <w:r w:rsidR="00001682" w:rsidRPr="00617833">
        <w:rPr>
          <w:rFonts w:ascii="Verdana" w:hAnsi="Verdana"/>
          <w:sz w:val="20"/>
        </w:rPr>
        <w:t xml:space="preserve"> representado un </w:t>
      </w:r>
      <w:r w:rsidR="00463A93" w:rsidRPr="00617833">
        <w:rPr>
          <w:rFonts w:ascii="Verdana" w:hAnsi="Verdana"/>
          <w:sz w:val="20"/>
        </w:rPr>
        <w:t>4,3%</w:t>
      </w:r>
      <w:r w:rsidR="00001682" w:rsidRPr="00617833">
        <w:rPr>
          <w:rFonts w:ascii="Verdana" w:hAnsi="Verdana"/>
          <w:sz w:val="20"/>
        </w:rPr>
        <w:t xml:space="preserve">% sobre las </w:t>
      </w:r>
      <w:r w:rsidR="00463A93" w:rsidRPr="00617833">
        <w:rPr>
          <w:rFonts w:ascii="Verdana" w:hAnsi="Verdana"/>
          <w:sz w:val="20"/>
        </w:rPr>
        <w:t>533</w:t>
      </w:r>
      <w:r w:rsidR="00001682" w:rsidRPr="00617833">
        <w:rPr>
          <w:rFonts w:ascii="Verdana" w:hAnsi="Verdana"/>
          <w:sz w:val="20"/>
        </w:rPr>
        <w:t xml:space="preserve"> del total de la Unión Europea.  Los órganos que las han planteado han sido los siguientes:</w:t>
      </w:r>
    </w:p>
    <w:p w:rsidR="00001682" w:rsidRPr="00617833" w:rsidRDefault="00001682" w:rsidP="00E26AA8">
      <w:pPr>
        <w:pStyle w:val="Textoindependiente"/>
        <w:spacing w:before="120" w:after="120"/>
        <w:ind w:firstLine="357"/>
        <w:jc w:val="center"/>
        <w:rPr>
          <w:rFonts w:ascii="Verdana" w:hAnsi="Verdana"/>
          <w:sz w:val="20"/>
        </w:rPr>
      </w:pPr>
    </w:p>
    <w:tbl>
      <w:tblPr>
        <w:tblW w:w="4500" w:type="dxa"/>
        <w:jc w:val="center"/>
        <w:tblInd w:w="55" w:type="dxa"/>
        <w:tblCellMar>
          <w:left w:w="70" w:type="dxa"/>
          <w:right w:w="70" w:type="dxa"/>
        </w:tblCellMar>
        <w:tblLook w:val="04A0" w:firstRow="1" w:lastRow="0" w:firstColumn="1" w:lastColumn="0" w:noHBand="0" w:noVBand="1"/>
      </w:tblPr>
      <w:tblGrid>
        <w:gridCol w:w="3300"/>
        <w:gridCol w:w="1200"/>
      </w:tblGrid>
      <w:tr w:rsidR="00463A93" w:rsidRPr="00617833" w:rsidTr="00463A93">
        <w:trPr>
          <w:trHeight w:val="300"/>
          <w:jc w:val="center"/>
        </w:trPr>
        <w:tc>
          <w:tcPr>
            <w:tcW w:w="3300" w:type="dxa"/>
            <w:tcBorders>
              <w:top w:val="single" w:sz="8" w:space="0" w:color="003366"/>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Tribunal Supremo</w:t>
            </w:r>
          </w:p>
        </w:tc>
        <w:tc>
          <w:tcPr>
            <w:tcW w:w="1200" w:type="dxa"/>
            <w:tcBorders>
              <w:top w:val="single" w:sz="8" w:space="0" w:color="003366"/>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7</w:t>
            </w:r>
          </w:p>
        </w:tc>
      </w:tr>
      <w:tr w:rsidR="00463A93" w:rsidRPr="00617833" w:rsidTr="00463A93">
        <w:trPr>
          <w:trHeight w:val="300"/>
          <w:jc w:val="center"/>
        </w:trPr>
        <w:tc>
          <w:tcPr>
            <w:tcW w:w="33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Audiencia Nacional</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00"/>
          <w:jc w:val="center"/>
        </w:trPr>
        <w:tc>
          <w:tcPr>
            <w:tcW w:w="33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Tribunal Superior de Justicia</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9</w:t>
            </w:r>
          </w:p>
        </w:tc>
      </w:tr>
      <w:tr w:rsidR="00463A93" w:rsidRPr="00617833" w:rsidTr="00463A93">
        <w:trPr>
          <w:trHeight w:val="300"/>
          <w:jc w:val="center"/>
        </w:trPr>
        <w:tc>
          <w:tcPr>
            <w:tcW w:w="33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Juzgado de primera instancia</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2</w:t>
            </w:r>
          </w:p>
        </w:tc>
      </w:tr>
      <w:tr w:rsidR="00463A93" w:rsidRPr="00617833" w:rsidTr="00463A93">
        <w:trPr>
          <w:trHeight w:val="300"/>
          <w:jc w:val="center"/>
        </w:trPr>
        <w:tc>
          <w:tcPr>
            <w:tcW w:w="33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Juzgado de lo Contencioso</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15"/>
          <w:jc w:val="center"/>
        </w:trPr>
        <w:tc>
          <w:tcPr>
            <w:tcW w:w="33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Juzgado de lo Social</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3</w:t>
            </w:r>
          </w:p>
        </w:tc>
      </w:tr>
      <w:tr w:rsidR="00463A93" w:rsidRPr="00617833" w:rsidTr="00463A93">
        <w:trPr>
          <w:trHeight w:val="315"/>
          <w:jc w:val="center"/>
        </w:trPr>
        <w:tc>
          <w:tcPr>
            <w:tcW w:w="3300" w:type="dxa"/>
            <w:tcBorders>
              <w:top w:val="single" w:sz="8" w:space="0" w:color="003366"/>
              <w:left w:val="nil"/>
              <w:bottom w:val="single" w:sz="8" w:space="0" w:color="003366"/>
              <w:right w:val="nil"/>
            </w:tcBorders>
            <w:shd w:val="clear" w:color="auto" w:fill="auto"/>
            <w:vAlign w:val="bottom"/>
            <w:hideMark/>
          </w:tcPr>
          <w:p w:rsidR="00463A93" w:rsidRPr="00617833" w:rsidRDefault="00463A93">
            <w:pPr>
              <w:rPr>
                <w:rFonts w:ascii="Verdana" w:hAnsi="Verdana" w:cs="Calibri"/>
                <w:b/>
                <w:bCs/>
                <w:color w:val="003366"/>
                <w:sz w:val="20"/>
                <w:szCs w:val="20"/>
              </w:rPr>
            </w:pPr>
            <w:r w:rsidRPr="00617833">
              <w:rPr>
                <w:rFonts w:ascii="Verdana" w:hAnsi="Verdana" w:cs="Calibri"/>
                <w:b/>
                <w:bCs/>
                <w:color w:val="003366"/>
                <w:sz w:val="20"/>
                <w:szCs w:val="20"/>
              </w:rPr>
              <w:t>Total España</w:t>
            </w:r>
          </w:p>
        </w:tc>
        <w:tc>
          <w:tcPr>
            <w:tcW w:w="1200" w:type="dxa"/>
            <w:tcBorders>
              <w:top w:val="single" w:sz="8" w:space="0" w:color="003366"/>
              <w:left w:val="nil"/>
              <w:bottom w:val="single" w:sz="8" w:space="0" w:color="003366"/>
              <w:right w:val="nil"/>
            </w:tcBorders>
            <w:shd w:val="clear" w:color="auto" w:fill="auto"/>
            <w:vAlign w:val="bottom"/>
            <w:hideMark/>
          </w:tcPr>
          <w:p w:rsidR="00463A93" w:rsidRPr="00617833" w:rsidRDefault="00463A93">
            <w:pPr>
              <w:jc w:val="right"/>
              <w:rPr>
                <w:rFonts w:ascii="Verdana" w:hAnsi="Verdana" w:cs="Calibri"/>
                <w:b/>
                <w:bCs/>
                <w:color w:val="003366"/>
                <w:sz w:val="20"/>
                <w:szCs w:val="20"/>
              </w:rPr>
            </w:pPr>
            <w:r w:rsidRPr="00617833">
              <w:rPr>
                <w:rFonts w:ascii="Verdana" w:hAnsi="Verdana" w:cs="Calibri"/>
                <w:b/>
                <w:bCs/>
                <w:color w:val="003366"/>
                <w:sz w:val="20"/>
                <w:szCs w:val="20"/>
              </w:rPr>
              <w:t>23</w:t>
            </w:r>
          </w:p>
        </w:tc>
      </w:tr>
    </w:tbl>
    <w:p w:rsidR="00E26AA8" w:rsidRPr="00617833" w:rsidRDefault="00E26AA8">
      <w:pPr>
        <w:pStyle w:val="Textoindependiente"/>
        <w:spacing w:before="120" w:after="120"/>
        <w:ind w:firstLine="357"/>
        <w:rPr>
          <w:rFonts w:ascii="Verdana" w:hAnsi="Verdana"/>
          <w:sz w:val="20"/>
        </w:rPr>
      </w:pPr>
    </w:p>
    <w:p w:rsidR="00001682" w:rsidRPr="00617833" w:rsidRDefault="00001682">
      <w:pPr>
        <w:pStyle w:val="Textoindependiente"/>
        <w:spacing w:before="120" w:after="120"/>
        <w:ind w:firstLine="357"/>
        <w:rPr>
          <w:rFonts w:ascii="Verdana" w:hAnsi="Verdana"/>
          <w:sz w:val="20"/>
        </w:rPr>
      </w:pPr>
      <w:r w:rsidRPr="00617833">
        <w:rPr>
          <w:rFonts w:ascii="Verdana" w:hAnsi="Verdana"/>
          <w:sz w:val="20"/>
        </w:rPr>
        <w:t>Y las materias sobre las que se han planteado:</w:t>
      </w:r>
    </w:p>
    <w:p w:rsidR="00001682" w:rsidRPr="00617833" w:rsidRDefault="00001682">
      <w:pPr>
        <w:pStyle w:val="Textoindependiente"/>
        <w:spacing w:before="120" w:after="120"/>
        <w:ind w:firstLine="357"/>
        <w:rPr>
          <w:rFonts w:ascii="Verdana" w:hAnsi="Verdana"/>
          <w:sz w:val="20"/>
        </w:rPr>
      </w:pPr>
    </w:p>
    <w:tbl>
      <w:tblPr>
        <w:tblW w:w="6400" w:type="dxa"/>
        <w:jc w:val="center"/>
        <w:tblInd w:w="55" w:type="dxa"/>
        <w:tblCellMar>
          <w:left w:w="70" w:type="dxa"/>
          <w:right w:w="70" w:type="dxa"/>
        </w:tblCellMar>
        <w:tblLook w:val="04A0" w:firstRow="1" w:lastRow="0" w:firstColumn="1" w:lastColumn="0" w:noHBand="0" w:noVBand="1"/>
      </w:tblPr>
      <w:tblGrid>
        <w:gridCol w:w="5200"/>
        <w:gridCol w:w="1200"/>
      </w:tblGrid>
      <w:tr w:rsidR="00463A93" w:rsidRPr="00617833" w:rsidTr="00463A93">
        <w:trPr>
          <w:trHeight w:val="300"/>
          <w:jc w:val="center"/>
        </w:trPr>
        <w:tc>
          <w:tcPr>
            <w:tcW w:w="5200" w:type="dxa"/>
            <w:tcBorders>
              <w:top w:val="single" w:sz="8" w:space="0" w:color="003366"/>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Agricultura</w:t>
            </w:r>
          </w:p>
        </w:tc>
        <w:tc>
          <w:tcPr>
            <w:tcW w:w="1200" w:type="dxa"/>
            <w:tcBorders>
              <w:top w:val="single" w:sz="8" w:space="0" w:color="003366"/>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2B73D8">
            <w:pPr>
              <w:rPr>
                <w:rFonts w:ascii="Verdana" w:hAnsi="Verdana" w:cs="Calibri"/>
                <w:sz w:val="20"/>
                <w:szCs w:val="20"/>
              </w:rPr>
            </w:pPr>
            <w:r w:rsidRPr="00617833">
              <w:rPr>
                <w:rFonts w:ascii="Verdana" w:hAnsi="Verdana" w:cs="Calibri"/>
                <w:sz w:val="20"/>
                <w:szCs w:val="20"/>
              </w:rPr>
              <w:t>Energía</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2</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Fiscalidad</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Libre circulación de capitales</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Libre circulación de mercancías</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Política social</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9</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Protección de consumidores</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5</w:t>
            </w:r>
          </w:p>
        </w:tc>
      </w:tr>
      <w:tr w:rsidR="00463A93" w:rsidRPr="00617833" w:rsidTr="00463A93">
        <w:trPr>
          <w:trHeight w:val="300"/>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Seguridad social de los trabajadores migrantes</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2</w:t>
            </w:r>
          </w:p>
        </w:tc>
      </w:tr>
      <w:tr w:rsidR="00463A93" w:rsidRPr="00617833" w:rsidTr="00463A93">
        <w:trPr>
          <w:trHeight w:val="315"/>
          <w:jc w:val="center"/>
        </w:trPr>
        <w:tc>
          <w:tcPr>
            <w:tcW w:w="5200" w:type="dxa"/>
            <w:tcBorders>
              <w:top w:val="nil"/>
              <w:left w:val="nil"/>
              <w:bottom w:val="nil"/>
              <w:right w:val="nil"/>
            </w:tcBorders>
            <w:shd w:val="clear" w:color="auto" w:fill="auto"/>
            <w:vAlign w:val="center"/>
            <w:hideMark/>
          </w:tcPr>
          <w:p w:rsidR="00463A93" w:rsidRPr="00617833" w:rsidRDefault="00463A93">
            <w:pPr>
              <w:rPr>
                <w:rFonts w:ascii="Verdana" w:hAnsi="Verdana" w:cs="Calibri"/>
                <w:sz w:val="20"/>
                <w:szCs w:val="20"/>
              </w:rPr>
            </w:pPr>
            <w:r w:rsidRPr="00617833">
              <w:rPr>
                <w:rFonts w:ascii="Verdana" w:hAnsi="Verdana" w:cs="Calibri"/>
                <w:sz w:val="20"/>
                <w:szCs w:val="20"/>
              </w:rPr>
              <w:t>Unión aduanera y arancel aduanero común</w:t>
            </w:r>
          </w:p>
        </w:tc>
        <w:tc>
          <w:tcPr>
            <w:tcW w:w="1200" w:type="dxa"/>
            <w:tcBorders>
              <w:top w:val="nil"/>
              <w:left w:val="nil"/>
              <w:bottom w:val="nil"/>
              <w:right w:val="nil"/>
            </w:tcBorders>
            <w:shd w:val="clear" w:color="auto" w:fill="auto"/>
            <w:vAlign w:val="center"/>
            <w:hideMark/>
          </w:tcPr>
          <w:p w:rsidR="00463A93" w:rsidRPr="00617833" w:rsidRDefault="00463A93">
            <w:pPr>
              <w:jc w:val="right"/>
              <w:rPr>
                <w:rFonts w:ascii="Verdana" w:hAnsi="Verdana" w:cs="Calibri"/>
                <w:sz w:val="20"/>
                <w:szCs w:val="20"/>
              </w:rPr>
            </w:pPr>
            <w:r w:rsidRPr="00617833">
              <w:rPr>
                <w:rFonts w:ascii="Verdana" w:hAnsi="Verdana" w:cs="Calibri"/>
                <w:sz w:val="20"/>
                <w:szCs w:val="20"/>
              </w:rPr>
              <w:t>1</w:t>
            </w:r>
          </w:p>
        </w:tc>
      </w:tr>
      <w:tr w:rsidR="00463A93" w:rsidRPr="00617833" w:rsidTr="00463A93">
        <w:trPr>
          <w:trHeight w:val="315"/>
          <w:jc w:val="center"/>
        </w:trPr>
        <w:tc>
          <w:tcPr>
            <w:tcW w:w="5200" w:type="dxa"/>
            <w:tcBorders>
              <w:top w:val="single" w:sz="8" w:space="0" w:color="003366"/>
              <w:left w:val="nil"/>
              <w:bottom w:val="single" w:sz="8" w:space="0" w:color="003366"/>
              <w:right w:val="nil"/>
            </w:tcBorders>
            <w:shd w:val="clear" w:color="auto" w:fill="auto"/>
            <w:vAlign w:val="bottom"/>
            <w:hideMark/>
          </w:tcPr>
          <w:p w:rsidR="00463A93" w:rsidRPr="00617833" w:rsidRDefault="00463A93">
            <w:pPr>
              <w:rPr>
                <w:rFonts w:ascii="Verdana" w:hAnsi="Verdana" w:cs="Calibri"/>
                <w:b/>
                <w:bCs/>
                <w:color w:val="003366"/>
                <w:sz w:val="20"/>
                <w:szCs w:val="20"/>
              </w:rPr>
            </w:pPr>
            <w:r w:rsidRPr="00617833">
              <w:rPr>
                <w:rFonts w:ascii="Verdana" w:hAnsi="Verdana" w:cs="Calibri"/>
                <w:b/>
                <w:bCs/>
                <w:color w:val="003366"/>
                <w:sz w:val="20"/>
                <w:szCs w:val="20"/>
              </w:rPr>
              <w:t>Total</w:t>
            </w:r>
          </w:p>
        </w:tc>
        <w:tc>
          <w:tcPr>
            <w:tcW w:w="1200" w:type="dxa"/>
            <w:tcBorders>
              <w:top w:val="single" w:sz="8" w:space="0" w:color="003366"/>
              <w:left w:val="nil"/>
              <w:bottom w:val="single" w:sz="8" w:space="0" w:color="003366"/>
              <w:right w:val="nil"/>
            </w:tcBorders>
            <w:shd w:val="clear" w:color="auto" w:fill="auto"/>
            <w:vAlign w:val="bottom"/>
            <w:hideMark/>
          </w:tcPr>
          <w:p w:rsidR="00463A93" w:rsidRPr="00617833" w:rsidRDefault="00463A93">
            <w:pPr>
              <w:jc w:val="right"/>
              <w:rPr>
                <w:rFonts w:ascii="Verdana" w:hAnsi="Verdana" w:cs="Calibri"/>
                <w:b/>
                <w:bCs/>
                <w:color w:val="003366"/>
                <w:sz w:val="20"/>
                <w:szCs w:val="20"/>
              </w:rPr>
            </w:pPr>
            <w:r w:rsidRPr="00617833">
              <w:rPr>
                <w:rFonts w:ascii="Verdana" w:hAnsi="Verdana" w:cs="Calibri"/>
                <w:b/>
                <w:bCs/>
                <w:color w:val="003366"/>
                <w:sz w:val="20"/>
                <w:szCs w:val="20"/>
              </w:rPr>
              <w:t>23</w:t>
            </w:r>
          </w:p>
        </w:tc>
      </w:tr>
    </w:tbl>
    <w:p w:rsidR="00EE35CB" w:rsidRPr="00617833" w:rsidRDefault="00EE35CB">
      <w:pPr>
        <w:pStyle w:val="Textoindependiente"/>
        <w:spacing w:before="120" w:after="120"/>
        <w:ind w:firstLine="357"/>
        <w:rPr>
          <w:rFonts w:ascii="Verdana" w:hAnsi="Verdana"/>
          <w:sz w:val="20"/>
        </w:rPr>
      </w:pPr>
      <w:r w:rsidRPr="00617833">
        <w:rPr>
          <w:rFonts w:ascii="Verdana" w:hAnsi="Verdana"/>
          <w:sz w:val="20"/>
        </w:rPr>
        <w:t xml:space="preserve">El número total de plazas constituidas de magistrado o juez, a 1 de enero de </w:t>
      </w:r>
      <w:r w:rsidR="00A8065F" w:rsidRPr="00617833">
        <w:rPr>
          <w:rFonts w:ascii="Verdana" w:hAnsi="Verdana"/>
          <w:sz w:val="20"/>
        </w:rPr>
        <w:t>20</w:t>
      </w:r>
      <w:r w:rsidR="00871A03" w:rsidRPr="00617833">
        <w:rPr>
          <w:rFonts w:ascii="Verdana" w:hAnsi="Verdana"/>
          <w:sz w:val="20"/>
        </w:rPr>
        <w:t>1</w:t>
      </w:r>
      <w:r w:rsidR="00BB6A8C" w:rsidRPr="00617833">
        <w:rPr>
          <w:rFonts w:ascii="Verdana" w:hAnsi="Verdana"/>
          <w:sz w:val="20"/>
        </w:rPr>
        <w:t>7</w:t>
      </w:r>
      <w:r w:rsidR="00751FFC" w:rsidRPr="00617833">
        <w:rPr>
          <w:rFonts w:ascii="Verdana" w:hAnsi="Verdana"/>
          <w:sz w:val="20"/>
        </w:rPr>
        <w:t xml:space="preserve"> </w:t>
      </w:r>
      <w:r w:rsidRPr="00617833">
        <w:rPr>
          <w:rFonts w:ascii="Verdana" w:hAnsi="Verdana"/>
          <w:sz w:val="20"/>
        </w:rPr>
        <w:t xml:space="preserve">fue de </w:t>
      </w:r>
      <w:r w:rsidR="00871A03" w:rsidRPr="00617833">
        <w:rPr>
          <w:rFonts w:ascii="Verdana" w:hAnsi="Verdana"/>
          <w:sz w:val="20"/>
        </w:rPr>
        <w:t>5.</w:t>
      </w:r>
      <w:r w:rsidR="00BB6A8C" w:rsidRPr="00617833">
        <w:rPr>
          <w:rFonts w:ascii="Verdana" w:hAnsi="Verdana"/>
          <w:sz w:val="20"/>
        </w:rPr>
        <w:t>507</w:t>
      </w:r>
      <w:r w:rsidRPr="00617833">
        <w:rPr>
          <w:rFonts w:ascii="Verdana" w:hAnsi="Verdana"/>
          <w:sz w:val="20"/>
        </w:rPr>
        <w:t xml:space="preserve">, </w:t>
      </w:r>
      <w:r w:rsidR="00E27D01" w:rsidRPr="00617833">
        <w:rPr>
          <w:rFonts w:ascii="Verdana" w:hAnsi="Verdana"/>
          <w:sz w:val="20"/>
        </w:rPr>
        <w:t xml:space="preserve">cifra que incluye los </w:t>
      </w:r>
      <w:r w:rsidR="00BB6A8C" w:rsidRPr="00617833">
        <w:rPr>
          <w:rFonts w:ascii="Verdana" w:hAnsi="Verdana"/>
          <w:sz w:val="20"/>
        </w:rPr>
        <w:t>50</w:t>
      </w:r>
      <w:r w:rsidR="00E27D01" w:rsidRPr="00617833">
        <w:rPr>
          <w:rFonts w:ascii="Verdana" w:hAnsi="Verdana"/>
          <w:sz w:val="20"/>
        </w:rPr>
        <w:t xml:space="preserve"> jueces que estaban en expectativa de destino en esa fecha y que estaban </w:t>
      </w:r>
      <w:r w:rsidR="00C0134D" w:rsidRPr="00617833">
        <w:rPr>
          <w:rFonts w:ascii="Verdana" w:hAnsi="Verdana"/>
          <w:sz w:val="20"/>
        </w:rPr>
        <w:t>actuando como adscritos en funciones de</w:t>
      </w:r>
      <w:r w:rsidR="005C6D20" w:rsidRPr="00617833">
        <w:rPr>
          <w:rFonts w:ascii="Verdana" w:hAnsi="Verdana"/>
          <w:sz w:val="20"/>
        </w:rPr>
        <w:t xml:space="preserve"> refuerzo a órganos judiciales.</w:t>
      </w:r>
      <w:r w:rsidRPr="00617833">
        <w:rPr>
          <w:rFonts w:ascii="Verdana" w:hAnsi="Verdana"/>
          <w:sz w:val="20"/>
        </w:rPr>
        <w:t xml:space="preserve"> </w:t>
      </w:r>
      <w:r w:rsidR="006718BA" w:rsidRPr="00617833">
        <w:rPr>
          <w:rFonts w:ascii="Verdana" w:hAnsi="Verdana"/>
          <w:sz w:val="20"/>
        </w:rPr>
        <w:t xml:space="preserve">Al contabilizarse el número de plazas como las suma de las orgánicas, algunas de las cuales están ocupadas por jueces sustitutos, más la de los jueces en expectativa de destino, que generalmente están realizando tareas de refuerzo o sustitución, se ha observado una reducción en el número de plazas, pues el número de jueces en expectativa de destino se ha reducido de </w:t>
      </w:r>
      <w:r w:rsidR="00BB6A8C" w:rsidRPr="00617833">
        <w:rPr>
          <w:rFonts w:ascii="Verdana" w:hAnsi="Verdana"/>
          <w:sz w:val="20"/>
        </w:rPr>
        <w:t>239</w:t>
      </w:r>
      <w:r w:rsidR="006718BA" w:rsidRPr="00617833">
        <w:rPr>
          <w:rFonts w:ascii="Verdana" w:hAnsi="Verdana"/>
          <w:sz w:val="20"/>
        </w:rPr>
        <w:t xml:space="preserve"> a </w:t>
      </w:r>
      <w:r w:rsidR="00BB6A8C" w:rsidRPr="00617833">
        <w:rPr>
          <w:rFonts w:ascii="Verdana" w:hAnsi="Verdana"/>
          <w:sz w:val="20"/>
        </w:rPr>
        <w:t>50</w:t>
      </w:r>
      <w:r w:rsidR="006718BA" w:rsidRPr="00617833">
        <w:rPr>
          <w:rFonts w:ascii="Verdana" w:hAnsi="Verdana"/>
          <w:sz w:val="20"/>
        </w:rPr>
        <w:t>.</w:t>
      </w:r>
    </w:p>
    <w:p w:rsidR="00463A93" w:rsidRPr="00617833" w:rsidRDefault="00463A93">
      <w:pPr>
        <w:pStyle w:val="Textoindependiente"/>
        <w:spacing w:before="120" w:after="120"/>
        <w:ind w:firstLine="357"/>
        <w:rPr>
          <w:rFonts w:ascii="Verdana" w:hAnsi="Verdana"/>
          <w:sz w:val="20"/>
        </w:rPr>
      </w:pPr>
    </w:p>
    <w:p w:rsidR="00EE35CB" w:rsidRPr="00617833" w:rsidRDefault="00463A93" w:rsidP="00C909BA">
      <w:pPr>
        <w:pStyle w:val="Textoindependiente"/>
        <w:spacing w:before="120" w:after="120"/>
        <w:ind w:firstLine="357"/>
        <w:jc w:val="center"/>
        <w:rPr>
          <w:rFonts w:ascii="Verdana" w:hAnsi="Verdana"/>
        </w:rPr>
      </w:pPr>
      <w:r w:rsidRPr="00617833">
        <w:rPr>
          <w:noProof/>
        </w:rPr>
        <w:drawing>
          <wp:inline distT="0" distB="0" distL="0" distR="0" wp14:anchorId="7CAB2C80" wp14:editId="4DD72754">
            <wp:extent cx="4867275" cy="3400425"/>
            <wp:effectExtent l="0" t="0" r="9525" b="9525"/>
            <wp:docPr id="1061" name="Gráfico 10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0710B" w:rsidRDefault="00A776C2" w:rsidP="00C909BA">
      <w:pPr>
        <w:pStyle w:val="Textoindependiente"/>
        <w:spacing w:before="120" w:after="120"/>
        <w:ind w:firstLine="357"/>
        <w:rPr>
          <w:rFonts w:ascii="Verdana" w:hAnsi="Verdana"/>
          <w:sz w:val="20"/>
        </w:rPr>
      </w:pPr>
      <w:r w:rsidRPr="00617833">
        <w:rPr>
          <w:rFonts w:ascii="Verdana" w:hAnsi="Verdana"/>
          <w:sz w:val="20"/>
        </w:rPr>
        <w:t>E</w:t>
      </w:r>
      <w:r w:rsidR="00C909BA" w:rsidRPr="00617833">
        <w:rPr>
          <w:rFonts w:ascii="Verdana" w:hAnsi="Verdana"/>
          <w:sz w:val="20"/>
        </w:rPr>
        <w:t>l número de  jueces por 100.000 habitantes</w:t>
      </w:r>
      <w:r w:rsidR="004E4876" w:rsidRPr="00617833">
        <w:rPr>
          <w:rFonts w:ascii="Verdana" w:hAnsi="Verdana"/>
          <w:sz w:val="20"/>
        </w:rPr>
        <w:t xml:space="preserve"> </w:t>
      </w:r>
      <w:r w:rsidR="00263D13" w:rsidRPr="00617833">
        <w:rPr>
          <w:rFonts w:ascii="Verdana" w:hAnsi="Verdana"/>
          <w:sz w:val="20"/>
        </w:rPr>
        <w:t>ha tenido un</w:t>
      </w:r>
      <w:r w:rsidR="0090710B" w:rsidRPr="00617833">
        <w:rPr>
          <w:rFonts w:ascii="Verdana" w:hAnsi="Verdana"/>
          <w:sz w:val="20"/>
        </w:rPr>
        <w:t>a disminución desde 12,</w:t>
      </w:r>
      <w:r w:rsidR="00463A93" w:rsidRPr="00617833">
        <w:rPr>
          <w:rFonts w:ascii="Verdana" w:hAnsi="Verdana"/>
          <w:sz w:val="20"/>
        </w:rPr>
        <w:t>2</w:t>
      </w:r>
      <w:r w:rsidR="0090710B" w:rsidRPr="00617833">
        <w:rPr>
          <w:rFonts w:ascii="Verdana" w:hAnsi="Verdana"/>
          <w:sz w:val="20"/>
        </w:rPr>
        <w:t xml:space="preserve"> hasta 1</w:t>
      </w:r>
      <w:r w:rsidR="00463A93" w:rsidRPr="00617833">
        <w:rPr>
          <w:rFonts w:ascii="Verdana" w:hAnsi="Verdana"/>
          <w:sz w:val="20"/>
        </w:rPr>
        <w:t>1</w:t>
      </w:r>
      <w:r w:rsidR="0090710B" w:rsidRPr="00617833">
        <w:rPr>
          <w:rFonts w:ascii="Verdana" w:hAnsi="Verdana"/>
          <w:sz w:val="20"/>
        </w:rPr>
        <w:t>,</w:t>
      </w:r>
      <w:r w:rsidR="00463A93" w:rsidRPr="00617833">
        <w:rPr>
          <w:rFonts w:ascii="Verdana" w:hAnsi="Verdana"/>
          <w:sz w:val="20"/>
        </w:rPr>
        <w:t>8</w:t>
      </w:r>
      <w:r w:rsidRPr="00617833">
        <w:rPr>
          <w:rFonts w:ascii="Verdana" w:hAnsi="Verdana"/>
          <w:sz w:val="20"/>
        </w:rPr>
        <w:t>, aunque para su interpretación cabe la misma consideración que la hecha para el número de jueces.</w:t>
      </w:r>
    </w:p>
    <w:p w:rsidR="00C909BA" w:rsidRPr="00CE214A" w:rsidRDefault="00C909BA" w:rsidP="00C909BA">
      <w:pPr>
        <w:pStyle w:val="Textoindependiente"/>
        <w:spacing w:before="120" w:after="120"/>
        <w:ind w:firstLine="357"/>
        <w:jc w:val="center"/>
        <w:rPr>
          <w:rFonts w:ascii="Verdana" w:hAnsi="Verdana"/>
        </w:rPr>
      </w:pPr>
    </w:p>
    <w:p w:rsidR="00C909BA" w:rsidRPr="00CE214A" w:rsidRDefault="00463A93" w:rsidP="00C909BA">
      <w:pPr>
        <w:pStyle w:val="Textoindependiente"/>
        <w:spacing w:before="120" w:after="120"/>
        <w:ind w:firstLine="357"/>
        <w:jc w:val="center"/>
        <w:rPr>
          <w:rFonts w:ascii="Verdana" w:hAnsi="Verdana"/>
        </w:rPr>
      </w:pPr>
      <w:r>
        <w:rPr>
          <w:noProof/>
        </w:rPr>
        <w:lastRenderedPageBreak/>
        <w:drawing>
          <wp:inline distT="0" distB="0" distL="0" distR="0" wp14:anchorId="1F9254DD" wp14:editId="4BCE7814">
            <wp:extent cx="4924425" cy="3419475"/>
            <wp:effectExtent l="0" t="0" r="9525" b="9525"/>
            <wp:docPr id="1060" name="Gráfico 10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5B9C" w:rsidRDefault="00A25B9C" w:rsidP="00A25B9C">
      <w:pPr>
        <w:pStyle w:val="Textoindependiente"/>
        <w:spacing w:before="120" w:after="120"/>
        <w:ind w:firstLine="357"/>
        <w:rPr>
          <w:rFonts w:ascii="Verdana" w:hAnsi="Verdana"/>
        </w:rPr>
      </w:pPr>
    </w:p>
    <w:p w:rsidR="005147DF" w:rsidRDefault="005147DF" w:rsidP="00A25B9C">
      <w:pPr>
        <w:pStyle w:val="Textoindependiente"/>
        <w:spacing w:before="120" w:after="120"/>
        <w:ind w:firstLine="357"/>
        <w:rPr>
          <w:rFonts w:ascii="Verdana" w:hAnsi="Verdana"/>
        </w:rPr>
      </w:pPr>
    </w:p>
    <w:p w:rsidR="005147DF" w:rsidRDefault="005147DF" w:rsidP="00A25B9C">
      <w:pPr>
        <w:pStyle w:val="Textoindependiente"/>
        <w:spacing w:before="120" w:after="120"/>
        <w:ind w:firstLine="357"/>
        <w:rPr>
          <w:rFonts w:ascii="Verdana" w:hAnsi="Verdana"/>
        </w:rPr>
      </w:pPr>
    </w:p>
    <w:p w:rsidR="005147DF" w:rsidRPr="00CE214A" w:rsidRDefault="005147DF" w:rsidP="00A25B9C">
      <w:pPr>
        <w:pStyle w:val="Textoindependiente"/>
        <w:spacing w:before="120" w:after="120"/>
        <w:ind w:firstLine="357"/>
        <w:rPr>
          <w:rFonts w:ascii="Verdana" w:hAnsi="Verdana"/>
        </w:rPr>
      </w:pPr>
    </w:p>
    <w:p w:rsidR="00BB6A8C" w:rsidRPr="00970BD3" w:rsidRDefault="007967E0" w:rsidP="00BB6A8C">
      <w:pPr>
        <w:spacing w:after="240"/>
        <w:jc w:val="center"/>
        <w:rPr>
          <w:b/>
          <w:color w:val="1F497D" w:themeColor="text2"/>
          <w:szCs w:val="20"/>
        </w:rPr>
      </w:pPr>
      <w:r w:rsidRPr="00970BD3">
        <w:rPr>
          <w:rFonts w:ascii="Verdana" w:hAnsi="Verdana"/>
          <w:color w:val="1F497D" w:themeColor="text2"/>
        </w:rPr>
        <w:br w:type="page"/>
      </w:r>
      <w:r w:rsidR="00BB6A8C" w:rsidRPr="00970BD3">
        <w:rPr>
          <w:b/>
          <w:color w:val="1F497D" w:themeColor="text2"/>
          <w:szCs w:val="20"/>
        </w:rPr>
        <w:lastRenderedPageBreak/>
        <w:t>INDICADORES CLAVE DEL CONJUNTO DE LAS JURISDICCIONES</w:t>
      </w:r>
    </w:p>
    <w:p w:rsidR="00BB6A8C" w:rsidRPr="00CB5A9E" w:rsidRDefault="00BB6A8C" w:rsidP="00BB6A8C">
      <w:pPr>
        <w:spacing w:after="120"/>
        <w:jc w:val="center"/>
        <w:rPr>
          <w:b/>
          <w:color w:val="4F81BD" w:themeColor="accent1"/>
          <w:szCs w:val="20"/>
        </w:rPr>
      </w:pPr>
      <w:r>
        <w:rPr>
          <w:b/>
          <w:color w:val="4F81BD" w:themeColor="accent1"/>
          <w:szCs w:val="20"/>
        </w:rPr>
        <w:t>Tasas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BB6A8C" w:rsidRPr="00CB5A9E" w:rsidTr="007F5E11">
        <w:trPr>
          <w:trHeight w:val="397"/>
        </w:trPr>
        <w:tc>
          <w:tcPr>
            <w:tcW w:w="2802" w:type="dxa"/>
            <w:shd w:val="clear" w:color="auto" w:fill="4F81BD" w:themeFill="accent1"/>
            <w:vAlign w:val="center"/>
          </w:tcPr>
          <w:p w:rsidR="00BB6A8C" w:rsidRPr="00CB5A9E" w:rsidRDefault="00BB6A8C" w:rsidP="007F5E11">
            <w:pPr>
              <w:rPr>
                <w:b/>
                <w:color w:val="FFFFFF" w:themeColor="background1"/>
                <w:lang w:eastAsia="es-ES"/>
              </w:rPr>
            </w:pP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sidRPr="00CB5A9E">
              <w:rPr>
                <w:rFonts w:cs="Arial"/>
                <w:b/>
                <w:bCs/>
                <w:color w:val="FFFFFF" w:themeColor="background1"/>
              </w:rPr>
              <w:t>201</w:t>
            </w:r>
            <w:r>
              <w:rPr>
                <w:rFonts w:cs="Arial"/>
                <w:b/>
                <w:bCs/>
                <w:color w:val="FFFFFF" w:themeColor="background1"/>
              </w:rPr>
              <w:t>6</w:t>
            </w: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BB6A8C" w:rsidRPr="00CB5A9E" w:rsidRDefault="00BB6A8C" w:rsidP="007F5E11">
            <w:pPr>
              <w:jc w:val="right"/>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02" w:type="dxa"/>
            <w:vAlign w:val="center"/>
          </w:tcPr>
          <w:p w:rsidR="00BB6A8C" w:rsidRPr="00CB5A9E" w:rsidRDefault="00BB6A8C"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Resolución</w:t>
            </w:r>
          </w:p>
        </w:tc>
        <w:tc>
          <w:tcPr>
            <w:tcW w:w="1947" w:type="dxa"/>
            <w:vAlign w:val="center"/>
          </w:tcPr>
          <w:p w:rsidR="00BB6A8C" w:rsidRPr="009B0DCD" w:rsidRDefault="00BB6A8C" w:rsidP="007F5E11">
            <w:pPr>
              <w:jc w:val="right"/>
              <w:rPr>
                <w:rFonts w:cs="Arial"/>
                <w:color w:val="000000"/>
                <w:szCs w:val="20"/>
              </w:rPr>
            </w:pPr>
            <w:r w:rsidRPr="009B0DCD">
              <w:rPr>
                <w:rFonts w:cs="Arial"/>
                <w:color w:val="000000"/>
                <w:szCs w:val="20"/>
              </w:rPr>
              <w:t>1,03</w:t>
            </w:r>
          </w:p>
        </w:tc>
        <w:tc>
          <w:tcPr>
            <w:tcW w:w="1947" w:type="dxa"/>
            <w:vAlign w:val="center"/>
          </w:tcPr>
          <w:p w:rsidR="00BB6A8C" w:rsidRPr="009B0DCD" w:rsidRDefault="00BB6A8C" w:rsidP="007F5E11">
            <w:pPr>
              <w:jc w:val="right"/>
              <w:rPr>
                <w:rFonts w:cs="Arial"/>
                <w:color w:val="000000"/>
                <w:szCs w:val="20"/>
              </w:rPr>
            </w:pPr>
            <w:r w:rsidRPr="009B0DCD">
              <w:rPr>
                <w:rFonts w:cs="Arial"/>
                <w:color w:val="000000"/>
                <w:szCs w:val="20"/>
              </w:rPr>
              <w:t>0,98</w:t>
            </w:r>
          </w:p>
        </w:tc>
        <w:tc>
          <w:tcPr>
            <w:tcW w:w="1948" w:type="dxa"/>
            <w:vAlign w:val="center"/>
          </w:tcPr>
          <w:p w:rsidR="00BB6A8C" w:rsidRPr="009B0DCD" w:rsidRDefault="00BB6A8C" w:rsidP="007F5E11">
            <w:pPr>
              <w:jc w:val="right"/>
              <w:rPr>
                <w:rFonts w:cs="Arial"/>
                <w:color w:val="000000"/>
                <w:szCs w:val="20"/>
              </w:rPr>
            </w:pPr>
            <w:r w:rsidRPr="009B0DCD">
              <w:rPr>
                <w:rFonts w:cs="Arial"/>
                <w:color w:val="000000"/>
                <w:szCs w:val="20"/>
              </w:rPr>
              <w:t>-5,3%</w:t>
            </w:r>
          </w:p>
        </w:tc>
      </w:tr>
      <w:tr w:rsidR="00BB6A8C" w:rsidRPr="00CB5A9E" w:rsidTr="007F5E11">
        <w:trPr>
          <w:trHeight w:val="340"/>
        </w:trPr>
        <w:tc>
          <w:tcPr>
            <w:tcW w:w="2802" w:type="dxa"/>
            <w:shd w:val="clear" w:color="auto" w:fill="DBE5F1" w:themeFill="accent1" w:themeFillTint="33"/>
            <w:vAlign w:val="center"/>
          </w:tcPr>
          <w:p w:rsidR="00BB6A8C" w:rsidRPr="00CB5A9E" w:rsidRDefault="00BB6A8C"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Pendencia</w:t>
            </w:r>
          </w:p>
        </w:tc>
        <w:tc>
          <w:tcPr>
            <w:tcW w:w="1947" w:type="dxa"/>
            <w:shd w:val="clear" w:color="auto" w:fill="DBE5F1" w:themeFill="accent1" w:themeFillTint="33"/>
            <w:vAlign w:val="center"/>
          </w:tcPr>
          <w:p w:rsidR="00BB6A8C" w:rsidRPr="009B0DCD" w:rsidRDefault="00BB6A8C" w:rsidP="007F5E11">
            <w:pPr>
              <w:jc w:val="right"/>
              <w:rPr>
                <w:rFonts w:cs="Arial"/>
                <w:color w:val="000000"/>
                <w:szCs w:val="20"/>
              </w:rPr>
            </w:pPr>
            <w:r w:rsidRPr="009B0DCD">
              <w:rPr>
                <w:rFonts w:cs="Arial"/>
                <w:color w:val="000000"/>
                <w:szCs w:val="20"/>
              </w:rPr>
              <w:t>0,37</w:t>
            </w:r>
          </w:p>
        </w:tc>
        <w:tc>
          <w:tcPr>
            <w:tcW w:w="1947" w:type="dxa"/>
            <w:shd w:val="clear" w:color="auto" w:fill="DBE5F1" w:themeFill="accent1" w:themeFillTint="33"/>
            <w:vAlign w:val="center"/>
          </w:tcPr>
          <w:p w:rsidR="00BB6A8C" w:rsidRPr="009B0DCD" w:rsidRDefault="00BB6A8C" w:rsidP="007F5E11">
            <w:pPr>
              <w:jc w:val="right"/>
              <w:rPr>
                <w:rFonts w:cs="Arial"/>
                <w:color w:val="000000"/>
                <w:szCs w:val="20"/>
              </w:rPr>
            </w:pPr>
            <w:r w:rsidRPr="009B0DCD">
              <w:rPr>
                <w:rFonts w:cs="Arial"/>
                <w:color w:val="000000"/>
                <w:szCs w:val="20"/>
              </w:rPr>
              <w:t>0,41</w:t>
            </w:r>
          </w:p>
        </w:tc>
        <w:tc>
          <w:tcPr>
            <w:tcW w:w="1948" w:type="dxa"/>
            <w:shd w:val="clear" w:color="auto" w:fill="DBE5F1" w:themeFill="accent1" w:themeFillTint="33"/>
            <w:vAlign w:val="center"/>
          </w:tcPr>
          <w:p w:rsidR="00BB6A8C" w:rsidRPr="009B0DCD" w:rsidRDefault="00BB6A8C" w:rsidP="007F5E11">
            <w:pPr>
              <w:jc w:val="right"/>
              <w:rPr>
                <w:rFonts w:cs="Arial"/>
                <w:color w:val="000000"/>
                <w:szCs w:val="20"/>
              </w:rPr>
            </w:pPr>
            <w:r w:rsidRPr="009B0DCD">
              <w:rPr>
                <w:rFonts w:cs="Arial"/>
                <w:color w:val="000000"/>
                <w:szCs w:val="20"/>
              </w:rPr>
              <w:t>11,3%</w:t>
            </w:r>
          </w:p>
        </w:tc>
      </w:tr>
      <w:tr w:rsidR="00BB6A8C" w:rsidRPr="00CB5A9E" w:rsidTr="007F5E11">
        <w:trPr>
          <w:trHeight w:val="340"/>
        </w:trPr>
        <w:tc>
          <w:tcPr>
            <w:tcW w:w="2802" w:type="dxa"/>
            <w:tcBorders>
              <w:bottom w:val="single" w:sz="12" w:space="0" w:color="4F81BD" w:themeColor="accent1"/>
            </w:tcBorders>
            <w:vAlign w:val="center"/>
          </w:tcPr>
          <w:p w:rsidR="00BB6A8C" w:rsidRPr="00CB5A9E" w:rsidRDefault="00BB6A8C"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Congestión</w:t>
            </w:r>
          </w:p>
        </w:tc>
        <w:tc>
          <w:tcPr>
            <w:tcW w:w="1947" w:type="dxa"/>
            <w:tcBorders>
              <w:bottom w:val="single" w:sz="12" w:space="0" w:color="4F81BD" w:themeColor="accent1"/>
            </w:tcBorders>
            <w:vAlign w:val="center"/>
          </w:tcPr>
          <w:p w:rsidR="00BB6A8C" w:rsidRPr="009B0DCD" w:rsidRDefault="00BB6A8C" w:rsidP="007F5E11">
            <w:pPr>
              <w:jc w:val="right"/>
              <w:rPr>
                <w:rFonts w:cs="Arial"/>
                <w:color w:val="000000"/>
                <w:szCs w:val="20"/>
              </w:rPr>
            </w:pPr>
            <w:r w:rsidRPr="009B0DCD">
              <w:rPr>
                <w:rFonts w:cs="Arial"/>
                <w:color w:val="000000"/>
                <w:szCs w:val="20"/>
              </w:rPr>
              <w:t>1,37</w:t>
            </w:r>
          </w:p>
        </w:tc>
        <w:tc>
          <w:tcPr>
            <w:tcW w:w="1947" w:type="dxa"/>
            <w:tcBorders>
              <w:bottom w:val="single" w:sz="12" w:space="0" w:color="4F81BD" w:themeColor="accent1"/>
            </w:tcBorders>
            <w:vAlign w:val="center"/>
          </w:tcPr>
          <w:p w:rsidR="00BB6A8C" w:rsidRPr="009B0DCD" w:rsidRDefault="00BB6A8C" w:rsidP="007F5E11">
            <w:pPr>
              <w:jc w:val="right"/>
              <w:rPr>
                <w:rFonts w:cs="Arial"/>
                <w:color w:val="000000"/>
                <w:szCs w:val="20"/>
              </w:rPr>
            </w:pPr>
            <w:r w:rsidRPr="009B0DCD">
              <w:rPr>
                <w:rFonts w:cs="Arial"/>
                <w:color w:val="000000"/>
                <w:szCs w:val="20"/>
              </w:rPr>
              <w:t>1,41</w:t>
            </w:r>
          </w:p>
        </w:tc>
        <w:tc>
          <w:tcPr>
            <w:tcW w:w="1948" w:type="dxa"/>
            <w:tcBorders>
              <w:bottom w:val="single" w:sz="12" w:space="0" w:color="4F81BD" w:themeColor="accent1"/>
            </w:tcBorders>
            <w:vAlign w:val="center"/>
          </w:tcPr>
          <w:p w:rsidR="00BB6A8C" w:rsidRPr="009B0DCD" w:rsidRDefault="00BB6A8C" w:rsidP="007F5E11">
            <w:pPr>
              <w:jc w:val="right"/>
              <w:rPr>
                <w:rFonts w:cs="Arial"/>
                <w:color w:val="000000"/>
                <w:szCs w:val="20"/>
              </w:rPr>
            </w:pPr>
            <w:r w:rsidRPr="009B0DCD">
              <w:rPr>
                <w:rFonts w:cs="Arial"/>
                <w:color w:val="000000"/>
                <w:szCs w:val="20"/>
              </w:rPr>
              <w:t>2,8%</w:t>
            </w:r>
          </w:p>
        </w:tc>
      </w:tr>
    </w:tbl>
    <w:p w:rsidR="00BB6A8C" w:rsidRPr="00CB5A9E" w:rsidRDefault="00BB6A8C" w:rsidP="00BB6A8C">
      <w:pPr>
        <w:spacing w:before="240" w:after="120"/>
        <w:jc w:val="center"/>
        <w:rPr>
          <w:b/>
          <w:color w:val="4F81BD" w:themeColor="accent1"/>
          <w:szCs w:val="20"/>
        </w:rPr>
      </w:pPr>
      <w:r>
        <w:rPr>
          <w:b/>
          <w:color w:val="4F81BD" w:themeColor="accent1"/>
          <w:szCs w:val="20"/>
        </w:rPr>
        <w:t>Tasa de Litigiosidad</w:t>
      </w:r>
      <w:r w:rsidRPr="00CB5A9E">
        <w:rPr>
          <w:b/>
          <w:color w:val="4F81BD" w:themeColor="accent1"/>
          <w:szCs w:val="20"/>
        </w:rPr>
        <w:t xml:space="preserve"> (</w:t>
      </w:r>
      <w:r>
        <w:rPr>
          <w:b/>
          <w:color w:val="4F81BD" w:themeColor="accent1"/>
          <w:szCs w:val="20"/>
        </w:rPr>
        <w:t>asuntos i</w:t>
      </w:r>
      <w:r w:rsidRPr="00CB5A9E">
        <w:rPr>
          <w:b/>
          <w:color w:val="4F81BD" w:themeColor="accent1"/>
          <w:szCs w:val="20"/>
        </w:rPr>
        <w:t>ngresados</w:t>
      </w:r>
      <w:r>
        <w:rPr>
          <w:b/>
          <w:color w:val="4F81BD" w:themeColor="accent1"/>
          <w:szCs w:val="20"/>
        </w:rPr>
        <w:t xml:space="preserve"> po</w:t>
      </w:r>
      <w:r w:rsidRPr="00CB5A9E">
        <w:rPr>
          <w:b/>
          <w:color w:val="4F81BD" w:themeColor="accent1"/>
          <w:szCs w:val="20"/>
        </w:rPr>
        <w:t xml:space="preserve">r </w:t>
      </w:r>
      <w:r>
        <w:rPr>
          <w:b/>
          <w:color w:val="4F81BD" w:themeColor="accent1"/>
          <w:szCs w:val="20"/>
        </w:rPr>
        <w:t xml:space="preserve">cada </w:t>
      </w:r>
      <w:r w:rsidRPr="00CB5A9E">
        <w:rPr>
          <w:b/>
          <w:color w:val="4F81BD" w:themeColor="accent1"/>
          <w:szCs w:val="20"/>
        </w:rPr>
        <w:t xml:space="preserve">1000 </w:t>
      </w:r>
      <w:r>
        <w:rPr>
          <w:b/>
          <w:color w:val="4F81BD" w:themeColor="accent1"/>
          <w:szCs w:val="20"/>
        </w:rPr>
        <w:t>habitantes</w:t>
      </w:r>
      <w:r w:rsidRPr="00CB5A9E">
        <w:rPr>
          <w:b/>
          <w:color w:val="4F81BD" w:themeColor="accent1"/>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B6A8C" w:rsidRPr="00CB5A9E" w:rsidTr="007F5E11">
        <w:trPr>
          <w:trHeight w:val="340"/>
        </w:trPr>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BB6A8C" w:rsidRPr="00CB5A9E" w:rsidRDefault="00BB6A8C" w:rsidP="007F5E11">
            <w:pPr>
              <w:jc w:val="center"/>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124,9</w:t>
            </w:r>
          </w:p>
        </w:tc>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126,1</w:t>
            </w:r>
          </w:p>
        </w:tc>
        <w:tc>
          <w:tcPr>
            <w:tcW w:w="2882"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1,0%</w:t>
            </w:r>
          </w:p>
        </w:tc>
      </w:tr>
    </w:tbl>
    <w:p w:rsidR="00BB6A8C" w:rsidRPr="00CB5A9E" w:rsidRDefault="00BB6A8C" w:rsidP="00BB6A8C">
      <w:pPr>
        <w:spacing w:before="240" w:after="120"/>
        <w:jc w:val="center"/>
        <w:rPr>
          <w:b/>
          <w:color w:val="4F81BD" w:themeColor="accent1"/>
          <w:szCs w:val="20"/>
        </w:rPr>
      </w:pPr>
      <w:r w:rsidRPr="00EB1F7C">
        <w:rPr>
          <w:b/>
          <w:color w:val="4F81BD" w:themeColor="accent1"/>
          <w:szCs w:val="20"/>
        </w:rPr>
        <w:t>Número de asuntos ingresados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B6A8C" w:rsidRPr="00CB5A9E" w:rsidTr="007F5E11">
        <w:trPr>
          <w:trHeight w:val="340"/>
        </w:trPr>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BB6A8C" w:rsidRPr="00CB5A9E" w:rsidRDefault="00BB6A8C" w:rsidP="007F5E11">
            <w:pPr>
              <w:jc w:val="center"/>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1.118,6</w:t>
            </w:r>
          </w:p>
        </w:tc>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1.129,6</w:t>
            </w:r>
          </w:p>
        </w:tc>
        <w:tc>
          <w:tcPr>
            <w:tcW w:w="2882"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1,0%</w:t>
            </w:r>
          </w:p>
        </w:tc>
      </w:tr>
    </w:tbl>
    <w:p w:rsidR="00BB6A8C" w:rsidRPr="00CB5A9E" w:rsidRDefault="00BB6A8C" w:rsidP="00BB6A8C">
      <w:pPr>
        <w:spacing w:before="240" w:after="120"/>
        <w:jc w:val="center"/>
        <w:rPr>
          <w:b/>
          <w:color w:val="4F81BD" w:themeColor="accent1"/>
          <w:szCs w:val="20"/>
        </w:rPr>
      </w:pPr>
      <w:r w:rsidRPr="00EB1F7C">
        <w:rPr>
          <w:b/>
          <w:color w:val="4F81BD" w:themeColor="accent1"/>
          <w:szCs w:val="20"/>
        </w:rPr>
        <w:t>Número de sentencias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B6A8C" w:rsidRPr="00CB5A9E" w:rsidTr="007F5E11">
        <w:trPr>
          <w:trHeight w:val="340"/>
        </w:trPr>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BB6A8C" w:rsidRPr="00CB5A9E" w:rsidRDefault="00BB6A8C" w:rsidP="007F5E11">
            <w:pPr>
              <w:jc w:val="center"/>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81" w:type="dxa"/>
            <w:tcBorders>
              <w:bottom w:val="single" w:sz="12" w:space="0" w:color="4F81BD" w:themeColor="accent1"/>
            </w:tcBorders>
            <w:vAlign w:val="center"/>
          </w:tcPr>
          <w:p w:rsidR="00BB6A8C" w:rsidRPr="00110197" w:rsidRDefault="00BB6A8C" w:rsidP="007F5E11">
            <w:pPr>
              <w:jc w:val="center"/>
            </w:pPr>
            <w:r w:rsidRPr="00110197">
              <w:t>277,6</w:t>
            </w:r>
          </w:p>
        </w:tc>
        <w:tc>
          <w:tcPr>
            <w:tcW w:w="2881" w:type="dxa"/>
            <w:tcBorders>
              <w:bottom w:val="single" w:sz="12" w:space="0" w:color="4F81BD" w:themeColor="accent1"/>
            </w:tcBorders>
            <w:vAlign w:val="center"/>
          </w:tcPr>
          <w:p w:rsidR="00BB6A8C" w:rsidRPr="00110197" w:rsidRDefault="00BB6A8C" w:rsidP="007F5E11">
            <w:pPr>
              <w:jc w:val="center"/>
            </w:pPr>
            <w:r w:rsidRPr="00110197">
              <w:t>277,0</w:t>
            </w:r>
          </w:p>
        </w:tc>
        <w:tc>
          <w:tcPr>
            <w:tcW w:w="2882" w:type="dxa"/>
            <w:tcBorders>
              <w:bottom w:val="single" w:sz="12" w:space="0" w:color="4F81BD" w:themeColor="accent1"/>
            </w:tcBorders>
            <w:vAlign w:val="center"/>
          </w:tcPr>
          <w:p w:rsidR="00BB6A8C" w:rsidRDefault="00BB6A8C" w:rsidP="007F5E11">
            <w:pPr>
              <w:jc w:val="center"/>
            </w:pPr>
            <w:r w:rsidRPr="00110197">
              <w:t>-0,2%</w:t>
            </w:r>
          </w:p>
        </w:tc>
      </w:tr>
    </w:tbl>
    <w:p w:rsidR="00BB6A8C" w:rsidRPr="00CB5A9E" w:rsidRDefault="00BB6A8C" w:rsidP="00BB6A8C">
      <w:pPr>
        <w:spacing w:before="240" w:after="120"/>
        <w:jc w:val="center"/>
        <w:rPr>
          <w:b/>
          <w:color w:val="4F81BD" w:themeColor="accent1"/>
          <w:szCs w:val="20"/>
        </w:rPr>
      </w:pPr>
      <w:r>
        <w:rPr>
          <w:b/>
          <w:color w:val="4F81BD" w:themeColor="accent1"/>
          <w:szCs w:val="20"/>
        </w:rPr>
        <w:t>E</w:t>
      </w:r>
      <w:r w:rsidRPr="00EB1F7C">
        <w:rPr>
          <w:b/>
          <w:color w:val="4F81BD" w:themeColor="accent1"/>
          <w:szCs w:val="20"/>
        </w:rPr>
        <w:t>stimación del porcentaje de sentencias recurridas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B6A8C" w:rsidRPr="00CB5A9E" w:rsidTr="007F5E11">
        <w:trPr>
          <w:trHeight w:val="340"/>
        </w:trPr>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BB6A8C" w:rsidRPr="00CB5A9E" w:rsidRDefault="00BB6A8C" w:rsidP="007F5E11">
            <w:pPr>
              <w:jc w:val="center"/>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14,7%</w:t>
            </w:r>
          </w:p>
        </w:tc>
        <w:tc>
          <w:tcPr>
            <w:tcW w:w="2881"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15,5%</w:t>
            </w:r>
          </w:p>
        </w:tc>
        <w:tc>
          <w:tcPr>
            <w:tcW w:w="2882" w:type="dxa"/>
            <w:tcBorders>
              <w:bottom w:val="single" w:sz="12" w:space="0" w:color="4F81BD" w:themeColor="accent1"/>
            </w:tcBorders>
            <w:vAlign w:val="center"/>
          </w:tcPr>
          <w:p w:rsidR="00BB6A8C" w:rsidRDefault="00BB6A8C" w:rsidP="007F5E11">
            <w:pPr>
              <w:jc w:val="center"/>
              <w:rPr>
                <w:rFonts w:cs="Arial"/>
                <w:color w:val="000000"/>
                <w:szCs w:val="20"/>
              </w:rPr>
            </w:pPr>
            <w:r>
              <w:rPr>
                <w:rFonts w:cs="Arial"/>
                <w:color w:val="000000"/>
                <w:szCs w:val="20"/>
              </w:rPr>
              <w:t>5,4%</w:t>
            </w:r>
          </w:p>
        </w:tc>
      </w:tr>
    </w:tbl>
    <w:p w:rsidR="00BB6A8C" w:rsidRPr="00CB5A9E" w:rsidRDefault="00BB6A8C" w:rsidP="00BB6A8C">
      <w:pPr>
        <w:spacing w:before="240" w:after="120"/>
        <w:jc w:val="center"/>
        <w:rPr>
          <w:b/>
          <w:color w:val="4F81BD" w:themeColor="accent1"/>
          <w:szCs w:val="20"/>
        </w:rPr>
      </w:pPr>
      <w:r w:rsidRPr="00EB1F7C">
        <w:rPr>
          <w:b/>
          <w:color w:val="4F81BD" w:themeColor="accent1"/>
          <w:szCs w:val="20"/>
        </w:rPr>
        <w:t>Porcentaje de recursos devueltos confirmando totalmente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BB6A8C" w:rsidRPr="00CB5A9E" w:rsidTr="007F5E11">
        <w:trPr>
          <w:trHeight w:val="397"/>
        </w:trPr>
        <w:tc>
          <w:tcPr>
            <w:tcW w:w="2802" w:type="dxa"/>
            <w:shd w:val="clear" w:color="auto" w:fill="4F81BD" w:themeFill="accent1"/>
            <w:vAlign w:val="center"/>
          </w:tcPr>
          <w:p w:rsidR="00BB6A8C" w:rsidRPr="00CB5A9E" w:rsidRDefault="00BB6A8C" w:rsidP="007F5E11">
            <w:pPr>
              <w:rPr>
                <w:b/>
                <w:color w:val="FFFFFF" w:themeColor="background1"/>
                <w:lang w:eastAsia="es-ES"/>
              </w:rPr>
            </w:pP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BB6A8C" w:rsidRPr="00CB5A9E" w:rsidRDefault="00BB6A8C" w:rsidP="007F5E11">
            <w:pPr>
              <w:jc w:val="right"/>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02" w:type="dxa"/>
            <w:vAlign w:val="center"/>
          </w:tcPr>
          <w:p w:rsidR="00BB6A8C" w:rsidRPr="00CB5A9E" w:rsidRDefault="00BB6A8C"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apelación</w:t>
            </w:r>
          </w:p>
        </w:tc>
        <w:tc>
          <w:tcPr>
            <w:tcW w:w="1947" w:type="dxa"/>
            <w:vAlign w:val="center"/>
          </w:tcPr>
          <w:p w:rsidR="00BB6A8C" w:rsidRDefault="00BB6A8C" w:rsidP="007F5E11">
            <w:pPr>
              <w:jc w:val="right"/>
              <w:rPr>
                <w:rFonts w:cs="Arial"/>
                <w:color w:val="000000"/>
                <w:szCs w:val="20"/>
              </w:rPr>
            </w:pPr>
            <w:r>
              <w:rPr>
                <w:rFonts w:cs="Arial"/>
                <w:color w:val="000000"/>
                <w:szCs w:val="20"/>
              </w:rPr>
              <w:t>73,8%</w:t>
            </w:r>
          </w:p>
        </w:tc>
        <w:tc>
          <w:tcPr>
            <w:tcW w:w="1947" w:type="dxa"/>
            <w:vAlign w:val="center"/>
          </w:tcPr>
          <w:p w:rsidR="00BB6A8C" w:rsidRDefault="00BB6A8C" w:rsidP="007F5E11">
            <w:pPr>
              <w:jc w:val="right"/>
              <w:rPr>
                <w:rFonts w:cs="Arial"/>
                <w:color w:val="000000"/>
                <w:szCs w:val="20"/>
              </w:rPr>
            </w:pPr>
            <w:r>
              <w:rPr>
                <w:rFonts w:cs="Arial"/>
                <w:color w:val="000000"/>
                <w:szCs w:val="20"/>
              </w:rPr>
              <w:t>72,2%</w:t>
            </w:r>
          </w:p>
        </w:tc>
        <w:tc>
          <w:tcPr>
            <w:tcW w:w="1948" w:type="dxa"/>
            <w:vAlign w:val="center"/>
          </w:tcPr>
          <w:p w:rsidR="00BB6A8C" w:rsidRDefault="00BB6A8C" w:rsidP="007F5E11">
            <w:pPr>
              <w:jc w:val="right"/>
              <w:rPr>
                <w:rFonts w:cs="Arial"/>
                <w:color w:val="000000"/>
                <w:szCs w:val="20"/>
              </w:rPr>
            </w:pPr>
            <w:r>
              <w:rPr>
                <w:rFonts w:cs="Arial"/>
                <w:color w:val="000000"/>
                <w:szCs w:val="20"/>
              </w:rPr>
              <w:t>-2,2%</w:t>
            </w:r>
          </w:p>
        </w:tc>
      </w:tr>
      <w:tr w:rsidR="00BB6A8C" w:rsidRPr="00CB5A9E" w:rsidTr="007F5E11">
        <w:trPr>
          <w:trHeight w:val="340"/>
        </w:trPr>
        <w:tc>
          <w:tcPr>
            <w:tcW w:w="2802" w:type="dxa"/>
            <w:tcBorders>
              <w:bottom w:val="single" w:sz="12" w:space="0" w:color="4F81BD" w:themeColor="accent1"/>
            </w:tcBorders>
            <w:shd w:val="clear" w:color="auto" w:fill="DBE5F1" w:themeFill="accent1" w:themeFillTint="33"/>
            <w:vAlign w:val="center"/>
          </w:tcPr>
          <w:p w:rsidR="00BB6A8C" w:rsidRPr="00CB5A9E" w:rsidRDefault="00BB6A8C"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Casación</w:t>
            </w:r>
          </w:p>
        </w:tc>
        <w:tc>
          <w:tcPr>
            <w:tcW w:w="1947" w:type="dxa"/>
            <w:tcBorders>
              <w:bottom w:val="single" w:sz="12" w:space="0" w:color="4F81BD" w:themeColor="accent1"/>
            </w:tcBorders>
            <w:shd w:val="clear" w:color="auto" w:fill="DBE5F1" w:themeFill="accent1" w:themeFillTint="33"/>
            <w:vAlign w:val="center"/>
          </w:tcPr>
          <w:p w:rsidR="00BB6A8C" w:rsidRDefault="00BB6A8C" w:rsidP="00970BD3">
            <w:pPr>
              <w:jc w:val="right"/>
              <w:rPr>
                <w:rFonts w:cs="Arial"/>
                <w:color w:val="000000"/>
                <w:szCs w:val="20"/>
              </w:rPr>
            </w:pPr>
            <w:r>
              <w:rPr>
                <w:rFonts w:cs="Arial"/>
                <w:color w:val="000000"/>
                <w:szCs w:val="20"/>
              </w:rPr>
              <w:t>8</w:t>
            </w:r>
            <w:r w:rsidR="00970BD3">
              <w:rPr>
                <w:rFonts w:cs="Arial"/>
                <w:color w:val="000000"/>
                <w:szCs w:val="20"/>
              </w:rPr>
              <w:t>2</w:t>
            </w:r>
            <w:r>
              <w:rPr>
                <w:rFonts w:cs="Arial"/>
                <w:color w:val="000000"/>
                <w:szCs w:val="20"/>
              </w:rPr>
              <w:t>,</w:t>
            </w:r>
            <w:r w:rsidR="00970BD3">
              <w:rPr>
                <w:rFonts w:cs="Arial"/>
                <w:color w:val="000000"/>
                <w:szCs w:val="20"/>
              </w:rPr>
              <w:t>9</w:t>
            </w:r>
            <w:r>
              <w:rPr>
                <w:rFonts w:cs="Arial"/>
                <w:color w:val="000000"/>
                <w:szCs w:val="20"/>
              </w:rPr>
              <w:t>%</w:t>
            </w:r>
          </w:p>
        </w:tc>
        <w:tc>
          <w:tcPr>
            <w:tcW w:w="1947" w:type="dxa"/>
            <w:tcBorders>
              <w:bottom w:val="single" w:sz="12" w:space="0" w:color="4F81BD" w:themeColor="accent1"/>
            </w:tcBorders>
            <w:shd w:val="clear" w:color="auto" w:fill="DBE5F1" w:themeFill="accent1" w:themeFillTint="33"/>
            <w:vAlign w:val="center"/>
          </w:tcPr>
          <w:p w:rsidR="00BB6A8C" w:rsidRDefault="00970BD3" w:rsidP="007F5E11">
            <w:pPr>
              <w:jc w:val="right"/>
              <w:rPr>
                <w:rFonts w:cs="Arial"/>
                <w:color w:val="000000"/>
                <w:szCs w:val="20"/>
              </w:rPr>
            </w:pPr>
            <w:r>
              <w:rPr>
                <w:rFonts w:cs="Arial"/>
                <w:color w:val="000000"/>
                <w:szCs w:val="20"/>
              </w:rPr>
              <w:t>85,1</w:t>
            </w:r>
            <w:r w:rsidR="00BB6A8C">
              <w:rPr>
                <w:rFonts w:cs="Arial"/>
                <w:color w:val="000000"/>
                <w:szCs w:val="20"/>
              </w:rPr>
              <w:t>%</w:t>
            </w:r>
          </w:p>
        </w:tc>
        <w:tc>
          <w:tcPr>
            <w:tcW w:w="1948" w:type="dxa"/>
            <w:tcBorders>
              <w:bottom w:val="single" w:sz="12" w:space="0" w:color="4F81BD" w:themeColor="accent1"/>
            </w:tcBorders>
            <w:shd w:val="clear" w:color="auto" w:fill="DBE5F1" w:themeFill="accent1" w:themeFillTint="33"/>
            <w:vAlign w:val="center"/>
          </w:tcPr>
          <w:p w:rsidR="00BB6A8C" w:rsidRDefault="00BB6A8C" w:rsidP="00970BD3">
            <w:pPr>
              <w:jc w:val="right"/>
              <w:rPr>
                <w:rFonts w:cs="Arial"/>
                <w:color w:val="000000"/>
                <w:szCs w:val="20"/>
              </w:rPr>
            </w:pPr>
            <w:r>
              <w:rPr>
                <w:rFonts w:cs="Arial"/>
                <w:color w:val="000000"/>
                <w:szCs w:val="20"/>
              </w:rPr>
              <w:t>2,</w:t>
            </w:r>
            <w:r w:rsidR="00970BD3">
              <w:rPr>
                <w:rFonts w:cs="Arial"/>
                <w:color w:val="000000"/>
                <w:szCs w:val="20"/>
              </w:rPr>
              <w:t>6</w:t>
            </w:r>
            <w:r>
              <w:rPr>
                <w:rFonts w:cs="Arial"/>
                <w:color w:val="000000"/>
                <w:szCs w:val="20"/>
              </w:rPr>
              <w:t>%</w:t>
            </w:r>
          </w:p>
        </w:tc>
      </w:tr>
    </w:tbl>
    <w:p w:rsidR="00BB6A8C" w:rsidRPr="00CB5A9E" w:rsidRDefault="00BB6A8C" w:rsidP="00BB6A8C">
      <w:pPr>
        <w:spacing w:before="240" w:after="120"/>
        <w:jc w:val="center"/>
        <w:rPr>
          <w:b/>
          <w:color w:val="4F81BD" w:themeColor="accent1"/>
          <w:szCs w:val="20"/>
        </w:rPr>
      </w:pPr>
      <w:r w:rsidRPr="00EB1F7C">
        <w:rPr>
          <w:b/>
          <w:color w:val="4F81BD" w:themeColor="accent1"/>
          <w:szCs w:val="20"/>
        </w:rPr>
        <w:t>Porcentaje de sentencias dictadas por jueces de carrera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B6A8C" w:rsidRPr="00CB5A9E" w:rsidTr="007F5E11">
        <w:trPr>
          <w:trHeight w:val="340"/>
        </w:trPr>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BB6A8C" w:rsidRPr="00CB5A9E" w:rsidRDefault="00BB6A8C"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BB6A8C" w:rsidRPr="00CB5A9E" w:rsidRDefault="00BB6A8C" w:rsidP="007F5E11">
            <w:pPr>
              <w:jc w:val="center"/>
              <w:rPr>
                <w:rFonts w:cs="Arial"/>
                <w:b/>
                <w:bCs/>
                <w:color w:val="FFFFFF" w:themeColor="background1"/>
              </w:rPr>
            </w:pPr>
            <w:r w:rsidRPr="00CB5A9E">
              <w:rPr>
                <w:rFonts w:cs="Arial"/>
                <w:b/>
                <w:bCs/>
                <w:color w:val="FFFFFF" w:themeColor="background1"/>
              </w:rPr>
              <w:t>Evolución</w:t>
            </w:r>
          </w:p>
        </w:tc>
      </w:tr>
      <w:tr w:rsidR="00E460E6" w:rsidRPr="00CB5A9E" w:rsidTr="00D76A1A">
        <w:trPr>
          <w:trHeight w:val="340"/>
        </w:trPr>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92,5%</w:t>
            </w:r>
          </w:p>
        </w:tc>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92,1%</w:t>
            </w:r>
          </w:p>
        </w:tc>
        <w:tc>
          <w:tcPr>
            <w:tcW w:w="2882"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-0,5%</w:t>
            </w:r>
          </w:p>
        </w:tc>
      </w:tr>
    </w:tbl>
    <w:p w:rsidR="00BB6A8C" w:rsidRPr="00CB5A9E" w:rsidRDefault="00BB6A8C" w:rsidP="00BB6A8C">
      <w:pPr>
        <w:spacing w:before="240" w:after="120"/>
        <w:jc w:val="center"/>
        <w:rPr>
          <w:b/>
          <w:color w:val="4F81BD" w:themeColor="accent1"/>
          <w:szCs w:val="20"/>
        </w:rPr>
      </w:pPr>
      <w:r w:rsidRPr="00EB1F7C">
        <w:rPr>
          <w:b/>
          <w:color w:val="4F81BD" w:themeColor="accent1"/>
          <w:szCs w:val="20"/>
        </w:rPr>
        <w:t>Duraciones medias estimadas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BB6A8C" w:rsidRPr="00CB5A9E" w:rsidTr="007F5E11">
        <w:trPr>
          <w:trHeight w:val="397"/>
        </w:trPr>
        <w:tc>
          <w:tcPr>
            <w:tcW w:w="2802" w:type="dxa"/>
            <w:shd w:val="clear" w:color="auto" w:fill="4F81BD" w:themeFill="accent1"/>
            <w:vAlign w:val="center"/>
          </w:tcPr>
          <w:p w:rsidR="00BB6A8C" w:rsidRPr="00CB5A9E" w:rsidRDefault="00BB6A8C" w:rsidP="007F5E11">
            <w:pPr>
              <w:rPr>
                <w:b/>
                <w:color w:val="FFFFFF" w:themeColor="background1"/>
                <w:lang w:eastAsia="es-ES"/>
              </w:rPr>
            </w:pP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BB6A8C" w:rsidRPr="00CB5A9E" w:rsidRDefault="00BB6A8C"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BB6A8C" w:rsidRPr="00CB5A9E" w:rsidRDefault="00BB6A8C" w:rsidP="007F5E11">
            <w:pPr>
              <w:jc w:val="right"/>
              <w:rPr>
                <w:rFonts w:cs="Arial"/>
                <w:b/>
                <w:bCs/>
                <w:color w:val="FFFFFF" w:themeColor="background1"/>
              </w:rPr>
            </w:pPr>
            <w:r w:rsidRPr="00CB5A9E">
              <w:rPr>
                <w:rFonts w:cs="Arial"/>
                <w:b/>
                <w:bCs/>
                <w:color w:val="FFFFFF" w:themeColor="background1"/>
              </w:rPr>
              <w:t>Evolución</w:t>
            </w:r>
          </w:p>
        </w:tc>
      </w:tr>
      <w:tr w:rsidR="00BB6A8C" w:rsidRPr="00CB5A9E" w:rsidTr="007F5E11">
        <w:trPr>
          <w:trHeight w:val="340"/>
        </w:trPr>
        <w:tc>
          <w:tcPr>
            <w:tcW w:w="2802" w:type="dxa"/>
            <w:vAlign w:val="center"/>
          </w:tcPr>
          <w:p w:rsidR="00BB6A8C" w:rsidRPr="00CB5A9E" w:rsidRDefault="00BB6A8C"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vAlign w:val="center"/>
          </w:tcPr>
          <w:p w:rsidR="00BB6A8C" w:rsidRDefault="00BB6A8C" w:rsidP="007F5E11">
            <w:pPr>
              <w:jc w:val="right"/>
              <w:rPr>
                <w:rFonts w:cs="Arial"/>
                <w:color w:val="000000"/>
                <w:szCs w:val="20"/>
              </w:rPr>
            </w:pPr>
            <w:r>
              <w:rPr>
                <w:rFonts w:cs="Arial"/>
                <w:color w:val="000000"/>
                <w:szCs w:val="20"/>
              </w:rPr>
              <w:t>4,7</w:t>
            </w:r>
          </w:p>
        </w:tc>
        <w:tc>
          <w:tcPr>
            <w:tcW w:w="1947" w:type="dxa"/>
            <w:vAlign w:val="center"/>
          </w:tcPr>
          <w:p w:rsidR="00BB6A8C" w:rsidRDefault="00BB6A8C" w:rsidP="007F5E11">
            <w:pPr>
              <w:jc w:val="right"/>
              <w:rPr>
                <w:rFonts w:cs="Arial"/>
                <w:color w:val="000000"/>
                <w:szCs w:val="20"/>
              </w:rPr>
            </w:pPr>
            <w:r>
              <w:rPr>
                <w:rFonts w:cs="Arial"/>
                <w:color w:val="000000"/>
                <w:szCs w:val="20"/>
              </w:rPr>
              <w:t>4,8</w:t>
            </w:r>
          </w:p>
        </w:tc>
        <w:tc>
          <w:tcPr>
            <w:tcW w:w="1948" w:type="dxa"/>
            <w:vAlign w:val="center"/>
          </w:tcPr>
          <w:p w:rsidR="00BB6A8C" w:rsidRDefault="00BB6A8C" w:rsidP="007F5E11">
            <w:pPr>
              <w:jc w:val="right"/>
              <w:rPr>
                <w:rFonts w:cs="Arial"/>
                <w:color w:val="000000"/>
                <w:szCs w:val="20"/>
              </w:rPr>
            </w:pPr>
            <w:r>
              <w:rPr>
                <w:rFonts w:cs="Arial"/>
                <w:color w:val="000000"/>
                <w:szCs w:val="20"/>
              </w:rPr>
              <w:t>3,2%</w:t>
            </w:r>
          </w:p>
        </w:tc>
      </w:tr>
      <w:tr w:rsidR="00BB6A8C" w:rsidRPr="00CB5A9E" w:rsidTr="007F5E11">
        <w:trPr>
          <w:trHeight w:val="340"/>
        </w:trPr>
        <w:tc>
          <w:tcPr>
            <w:tcW w:w="2802" w:type="dxa"/>
            <w:shd w:val="clear" w:color="auto" w:fill="DBE5F1" w:themeFill="accent1" w:themeFillTint="33"/>
            <w:vAlign w:val="center"/>
          </w:tcPr>
          <w:p w:rsidR="00BB6A8C" w:rsidRPr="00CB5A9E" w:rsidRDefault="00BB6A8C"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2ª Instancia</w:t>
            </w:r>
          </w:p>
        </w:tc>
        <w:tc>
          <w:tcPr>
            <w:tcW w:w="1947" w:type="dxa"/>
            <w:shd w:val="clear" w:color="auto" w:fill="DBE5F1" w:themeFill="accent1" w:themeFillTint="33"/>
            <w:vAlign w:val="center"/>
          </w:tcPr>
          <w:p w:rsidR="00BB6A8C" w:rsidRDefault="00BB6A8C" w:rsidP="007F5E11">
            <w:pPr>
              <w:jc w:val="right"/>
              <w:rPr>
                <w:rFonts w:cs="Arial"/>
                <w:color w:val="000000"/>
                <w:szCs w:val="20"/>
              </w:rPr>
            </w:pPr>
            <w:r>
              <w:rPr>
                <w:rFonts w:cs="Arial"/>
                <w:color w:val="000000"/>
                <w:szCs w:val="20"/>
              </w:rPr>
              <w:t>4,2</w:t>
            </w:r>
          </w:p>
        </w:tc>
        <w:tc>
          <w:tcPr>
            <w:tcW w:w="1947" w:type="dxa"/>
            <w:shd w:val="clear" w:color="auto" w:fill="DBE5F1" w:themeFill="accent1" w:themeFillTint="33"/>
            <w:vAlign w:val="center"/>
          </w:tcPr>
          <w:p w:rsidR="00BB6A8C" w:rsidRDefault="00BB6A8C" w:rsidP="007F5E11">
            <w:pPr>
              <w:jc w:val="right"/>
              <w:rPr>
                <w:rFonts w:cs="Arial"/>
                <w:color w:val="000000"/>
                <w:szCs w:val="20"/>
              </w:rPr>
            </w:pPr>
            <w:r>
              <w:rPr>
                <w:rFonts w:cs="Arial"/>
                <w:color w:val="000000"/>
                <w:szCs w:val="20"/>
              </w:rPr>
              <w:t>4,1</w:t>
            </w:r>
          </w:p>
        </w:tc>
        <w:tc>
          <w:tcPr>
            <w:tcW w:w="1948" w:type="dxa"/>
            <w:shd w:val="clear" w:color="auto" w:fill="DBE5F1" w:themeFill="accent1" w:themeFillTint="33"/>
            <w:vAlign w:val="center"/>
          </w:tcPr>
          <w:p w:rsidR="00BB6A8C" w:rsidRDefault="00BB6A8C" w:rsidP="007F5E11">
            <w:pPr>
              <w:jc w:val="right"/>
              <w:rPr>
                <w:rFonts w:cs="Arial"/>
                <w:color w:val="000000"/>
                <w:szCs w:val="20"/>
              </w:rPr>
            </w:pPr>
            <w:r>
              <w:rPr>
                <w:rFonts w:cs="Arial"/>
                <w:color w:val="000000"/>
                <w:szCs w:val="20"/>
              </w:rPr>
              <w:t>-1,6%</w:t>
            </w:r>
          </w:p>
        </w:tc>
      </w:tr>
      <w:tr w:rsidR="00BB6A8C" w:rsidRPr="00CB5A9E" w:rsidTr="007F5E11">
        <w:trPr>
          <w:trHeight w:val="340"/>
        </w:trPr>
        <w:tc>
          <w:tcPr>
            <w:tcW w:w="2802" w:type="dxa"/>
            <w:tcBorders>
              <w:bottom w:val="single" w:sz="12" w:space="0" w:color="4F81BD" w:themeColor="accent1"/>
            </w:tcBorders>
            <w:vAlign w:val="center"/>
          </w:tcPr>
          <w:p w:rsidR="00BB6A8C" w:rsidRPr="00CB5A9E" w:rsidRDefault="00BB6A8C" w:rsidP="007F5E11">
            <w:pPr>
              <w:rPr>
                <w:rFonts w:eastAsia="Times New Roman" w:cs="Arial"/>
                <w:b/>
                <w:color w:val="4F81BD" w:themeColor="accent1"/>
                <w:szCs w:val="20"/>
                <w:lang w:eastAsia="es-ES"/>
              </w:rPr>
            </w:pPr>
            <w:r w:rsidRPr="00EB1F7C">
              <w:rPr>
                <w:rFonts w:eastAsia="Times New Roman" w:cs="Arial"/>
                <w:b/>
                <w:color w:val="4F81BD" w:themeColor="accent1"/>
                <w:szCs w:val="20"/>
                <w:lang w:eastAsia="es-ES"/>
              </w:rPr>
              <w:t>Supremo</w:t>
            </w:r>
          </w:p>
        </w:tc>
        <w:tc>
          <w:tcPr>
            <w:tcW w:w="1947" w:type="dxa"/>
            <w:tcBorders>
              <w:bottom w:val="single" w:sz="12" w:space="0" w:color="4F81BD" w:themeColor="accent1"/>
            </w:tcBorders>
            <w:vAlign w:val="center"/>
          </w:tcPr>
          <w:p w:rsidR="00BB6A8C" w:rsidRDefault="00BB6A8C" w:rsidP="007F5E11">
            <w:pPr>
              <w:jc w:val="right"/>
              <w:rPr>
                <w:rFonts w:cs="Arial"/>
                <w:color w:val="000000"/>
                <w:szCs w:val="20"/>
              </w:rPr>
            </w:pPr>
            <w:r>
              <w:rPr>
                <w:rFonts w:cs="Arial"/>
                <w:color w:val="000000"/>
                <w:szCs w:val="20"/>
              </w:rPr>
              <w:t>12,7</w:t>
            </w:r>
          </w:p>
        </w:tc>
        <w:tc>
          <w:tcPr>
            <w:tcW w:w="1947" w:type="dxa"/>
            <w:tcBorders>
              <w:bottom w:val="single" w:sz="12" w:space="0" w:color="4F81BD" w:themeColor="accent1"/>
            </w:tcBorders>
            <w:vAlign w:val="center"/>
          </w:tcPr>
          <w:p w:rsidR="00BB6A8C" w:rsidRDefault="00BB6A8C" w:rsidP="007F5E11">
            <w:pPr>
              <w:jc w:val="right"/>
              <w:rPr>
                <w:rFonts w:cs="Arial"/>
                <w:color w:val="000000"/>
                <w:szCs w:val="20"/>
              </w:rPr>
            </w:pPr>
            <w:r>
              <w:rPr>
                <w:rFonts w:cs="Arial"/>
                <w:color w:val="000000"/>
                <w:szCs w:val="20"/>
              </w:rPr>
              <w:t>14,1</w:t>
            </w:r>
          </w:p>
        </w:tc>
        <w:tc>
          <w:tcPr>
            <w:tcW w:w="1948" w:type="dxa"/>
            <w:tcBorders>
              <w:bottom w:val="single" w:sz="12" w:space="0" w:color="4F81BD" w:themeColor="accent1"/>
            </w:tcBorders>
            <w:vAlign w:val="center"/>
          </w:tcPr>
          <w:p w:rsidR="00BB6A8C" w:rsidRDefault="00BB6A8C" w:rsidP="007F5E11">
            <w:pPr>
              <w:jc w:val="right"/>
              <w:rPr>
                <w:rFonts w:cs="Arial"/>
                <w:color w:val="000000"/>
                <w:szCs w:val="20"/>
              </w:rPr>
            </w:pPr>
            <w:r>
              <w:rPr>
                <w:rFonts w:cs="Arial"/>
                <w:color w:val="000000"/>
                <w:szCs w:val="20"/>
              </w:rPr>
              <w:t>11,2%</w:t>
            </w:r>
          </w:p>
        </w:tc>
      </w:tr>
    </w:tbl>
    <w:p w:rsidR="00BB6A8C" w:rsidRDefault="00BB6A8C">
      <w:pPr>
        <w:rPr>
          <w:rFonts w:ascii="Verdana" w:hAnsi="Verdana"/>
        </w:rPr>
      </w:pPr>
    </w:p>
    <w:p w:rsidR="007967E0" w:rsidRDefault="007967E0">
      <w:pPr>
        <w:rPr>
          <w:rFonts w:ascii="Verdana" w:hAnsi="Verdana" w:cs="Arial"/>
          <w:lang w:val="es-ES"/>
        </w:rPr>
      </w:pPr>
    </w:p>
    <w:p w:rsidR="00762C53" w:rsidRPr="00CE214A" w:rsidRDefault="00762C53" w:rsidP="00A25B9C">
      <w:pPr>
        <w:pStyle w:val="Textoindependiente"/>
        <w:spacing w:before="120" w:after="120"/>
        <w:ind w:firstLine="357"/>
        <w:rPr>
          <w:rFonts w:ascii="Verdana" w:hAnsi="Verdana"/>
        </w:rPr>
      </w:pPr>
    </w:p>
    <w:p w:rsidR="00A25B9C" w:rsidRPr="00CE214A" w:rsidRDefault="00A25B9C" w:rsidP="00A25B9C">
      <w:pPr>
        <w:autoSpaceDE w:val="0"/>
        <w:autoSpaceDN w:val="0"/>
        <w:adjustRightInd w:val="0"/>
        <w:jc w:val="center"/>
        <w:rPr>
          <w:rFonts w:ascii="Verdana" w:hAnsi="Verdana"/>
        </w:rPr>
      </w:pPr>
    </w:p>
    <w:p w:rsidR="001B4EE3" w:rsidRPr="00CE214A" w:rsidRDefault="001B4EE3">
      <w:pPr>
        <w:pStyle w:val="Ttulo2"/>
        <w:numPr>
          <w:ilvl w:val="0"/>
          <w:numId w:val="4"/>
        </w:numPr>
        <w:rPr>
          <w:rFonts w:ascii="Verdana" w:hAnsi="Verdana"/>
          <w:color w:val="333399"/>
        </w:rPr>
      </w:pPr>
      <w:r w:rsidRPr="00CE214A">
        <w:rPr>
          <w:rFonts w:ascii="Verdana" w:hAnsi="Verdana"/>
          <w:color w:val="333399"/>
        </w:rPr>
        <w:lastRenderedPageBreak/>
        <w:t>Jurisdicción Civil</w:t>
      </w:r>
    </w:p>
    <w:p w:rsidR="001B4EE3" w:rsidRPr="00CE214A" w:rsidRDefault="001B4EE3">
      <w:pPr>
        <w:pStyle w:val="Textoindependiente"/>
        <w:rPr>
          <w:rFonts w:ascii="Verdana" w:hAnsi="Verdana"/>
          <w:color w:val="333399"/>
        </w:rPr>
      </w:pPr>
    </w:p>
    <w:p w:rsidR="001B4EE3" w:rsidRPr="00617833" w:rsidRDefault="00485CB6">
      <w:pPr>
        <w:pStyle w:val="Ttulo2"/>
        <w:numPr>
          <w:ilvl w:val="1"/>
          <w:numId w:val="4"/>
        </w:numPr>
        <w:rPr>
          <w:rFonts w:ascii="Verdana" w:hAnsi="Verdana"/>
          <w:color w:val="333399"/>
        </w:rPr>
      </w:pPr>
      <w:r w:rsidRPr="00617833">
        <w:rPr>
          <w:rFonts w:ascii="Verdana" w:hAnsi="Verdana"/>
          <w:color w:val="333399"/>
        </w:rPr>
        <w:t xml:space="preserve">2.1  </w:t>
      </w:r>
      <w:r w:rsidR="001B4EE3" w:rsidRPr="00617833">
        <w:rPr>
          <w:rFonts w:ascii="Verdana" w:hAnsi="Verdana"/>
          <w:color w:val="333399"/>
        </w:rPr>
        <w:t>Datos globales</w:t>
      </w:r>
    </w:p>
    <w:p w:rsidR="00274794" w:rsidRPr="00617833" w:rsidRDefault="00274794" w:rsidP="003306E6">
      <w:pPr>
        <w:pStyle w:val="Textoindependiente"/>
        <w:spacing w:before="120" w:after="120"/>
        <w:ind w:firstLine="357"/>
        <w:rPr>
          <w:rFonts w:ascii="Verdana" w:hAnsi="Verdana"/>
          <w:sz w:val="20"/>
        </w:rPr>
      </w:pPr>
      <w:r w:rsidRPr="00617833">
        <w:rPr>
          <w:rFonts w:ascii="Verdana" w:hAnsi="Verdana"/>
          <w:sz w:val="20"/>
        </w:rPr>
        <w:t xml:space="preserve">Han ingresado en la jurisdicción civil un total de </w:t>
      </w:r>
      <w:r w:rsidR="002B73D8" w:rsidRPr="00617833">
        <w:rPr>
          <w:rFonts w:ascii="Verdana" w:hAnsi="Verdana"/>
          <w:sz w:val="20"/>
        </w:rPr>
        <w:t>2</w:t>
      </w:r>
      <w:r w:rsidRPr="00617833">
        <w:rPr>
          <w:rFonts w:ascii="Verdana" w:hAnsi="Verdana"/>
          <w:sz w:val="20"/>
        </w:rPr>
        <w:t>.</w:t>
      </w:r>
      <w:r w:rsidR="002B73D8" w:rsidRPr="00617833">
        <w:rPr>
          <w:rFonts w:ascii="Verdana" w:hAnsi="Verdana"/>
          <w:sz w:val="20"/>
        </w:rPr>
        <w:t>040</w:t>
      </w:r>
      <w:r w:rsidRPr="00617833">
        <w:rPr>
          <w:rFonts w:ascii="Verdana" w:hAnsi="Verdana"/>
          <w:sz w:val="20"/>
        </w:rPr>
        <w:t>.</w:t>
      </w:r>
      <w:r w:rsidR="002B73D8" w:rsidRPr="00617833">
        <w:rPr>
          <w:rFonts w:ascii="Verdana" w:hAnsi="Verdana"/>
          <w:sz w:val="20"/>
        </w:rPr>
        <w:t>018</w:t>
      </w:r>
      <w:r w:rsidRPr="00617833">
        <w:rPr>
          <w:rFonts w:ascii="Verdana" w:hAnsi="Verdana"/>
          <w:sz w:val="20"/>
        </w:rPr>
        <w:t xml:space="preserve"> asuntos, con un </w:t>
      </w:r>
      <w:r w:rsidR="002B73D8" w:rsidRPr="00617833">
        <w:rPr>
          <w:rFonts w:ascii="Verdana" w:hAnsi="Verdana"/>
          <w:sz w:val="20"/>
        </w:rPr>
        <w:t xml:space="preserve">incremento del </w:t>
      </w:r>
      <w:r w:rsidR="00B0504A" w:rsidRPr="00617833">
        <w:rPr>
          <w:rFonts w:ascii="Verdana" w:hAnsi="Verdana"/>
          <w:sz w:val="20"/>
        </w:rPr>
        <w:t>9</w:t>
      </w:r>
      <w:r w:rsidR="002B73D8" w:rsidRPr="00617833">
        <w:rPr>
          <w:rFonts w:ascii="Verdana" w:hAnsi="Verdana"/>
          <w:sz w:val="20"/>
        </w:rPr>
        <w:t>,2</w:t>
      </w:r>
      <w:r w:rsidRPr="00617833">
        <w:rPr>
          <w:rFonts w:ascii="Verdana" w:hAnsi="Verdana"/>
          <w:sz w:val="20"/>
        </w:rPr>
        <w:t>% r</w:t>
      </w:r>
      <w:r w:rsidR="002B73D8" w:rsidRPr="00617833">
        <w:rPr>
          <w:rFonts w:ascii="Verdana" w:hAnsi="Verdana"/>
          <w:sz w:val="20"/>
        </w:rPr>
        <w:t>especto a los ingresados en 2016</w:t>
      </w:r>
      <w:r w:rsidRPr="00617833">
        <w:rPr>
          <w:rFonts w:ascii="Verdana" w:hAnsi="Verdana"/>
          <w:sz w:val="20"/>
        </w:rPr>
        <w:t>.</w:t>
      </w:r>
    </w:p>
    <w:p w:rsidR="001B4EE3" w:rsidRPr="00617833" w:rsidRDefault="001B4EE3">
      <w:pPr>
        <w:pStyle w:val="Textoindependiente"/>
        <w:jc w:val="center"/>
        <w:rPr>
          <w:rFonts w:ascii="Verdana" w:hAnsi="Verdana"/>
        </w:rPr>
      </w:pPr>
    </w:p>
    <w:p w:rsidR="001B4EE3" w:rsidRPr="00617833" w:rsidRDefault="007F5E11" w:rsidP="003D101E">
      <w:pPr>
        <w:pStyle w:val="Textoindependiente"/>
        <w:jc w:val="center"/>
        <w:rPr>
          <w:rFonts w:ascii="Verdana" w:hAnsi="Verdana"/>
          <w:sz w:val="20"/>
        </w:rPr>
      </w:pPr>
      <w:r w:rsidRPr="00617833">
        <w:rPr>
          <w:noProof/>
        </w:rPr>
        <w:drawing>
          <wp:inline distT="0" distB="0" distL="0" distR="0" wp14:anchorId="69E86972" wp14:editId="14221E72">
            <wp:extent cx="5019675" cy="27622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4527B" w:rsidRPr="00617833" w:rsidRDefault="001B4EE3">
      <w:pPr>
        <w:pStyle w:val="Textoindependiente"/>
        <w:rPr>
          <w:rFonts w:ascii="Verdana" w:hAnsi="Verdana"/>
          <w:sz w:val="20"/>
        </w:rPr>
      </w:pPr>
      <w:r w:rsidRPr="00617833">
        <w:rPr>
          <w:rFonts w:ascii="Verdana" w:hAnsi="Verdana"/>
          <w:sz w:val="20"/>
        </w:rPr>
        <w:tab/>
      </w:r>
    </w:p>
    <w:p w:rsidR="00274794" w:rsidRPr="00617833" w:rsidRDefault="002740F9" w:rsidP="00C16EDE">
      <w:pPr>
        <w:pStyle w:val="Textoindependiente"/>
        <w:spacing w:before="120" w:after="120"/>
        <w:ind w:firstLine="357"/>
        <w:rPr>
          <w:rFonts w:ascii="Verdana" w:hAnsi="Verdana"/>
          <w:sz w:val="20"/>
        </w:rPr>
      </w:pPr>
      <w:r w:rsidRPr="00617833">
        <w:rPr>
          <w:rFonts w:ascii="Verdana" w:hAnsi="Verdana"/>
          <w:sz w:val="20"/>
        </w:rPr>
        <w:t xml:space="preserve">Se han resuelto en la jurisdicción 1.873.998 asuntos, un 1,6% menos que los resueltos en 2016. </w:t>
      </w:r>
      <w:r w:rsidR="00274794" w:rsidRPr="00617833">
        <w:rPr>
          <w:rFonts w:ascii="Verdana" w:hAnsi="Verdana"/>
          <w:sz w:val="20"/>
        </w:rPr>
        <w:t>Han quedado en tramitación al final del año 1.</w:t>
      </w:r>
      <w:r w:rsidR="00162DFE" w:rsidRPr="00617833">
        <w:rPr>
          <w:rFonts w:ascii="Verdana" w:hAnsi="Verdana"/>
          <w:sz w:val="20"/>
        </w:rPr>
        <w:t>205</w:t>
      </w:r>
      <w:r w:rsidR="00274794" w:rsidRPr="00617833">
        <w:rPr>
          <w:rFonts w:ascii="Verdana" w:hAnsi="Verdana"/>
          <w:sz w:val="20"/>
        </w:rPr>
        <w:t>.</w:t>
      </w:r>
      <w:r w:rsidR="00162DFE" w:rsidRPr="00617833">
        <w:rPr>
          <w:rFonts w:ascii="Verdana" w:hAnsi="Verdana"/>
          <w:sz w:val="20"/>
        </w:rPr>
        <w:t>134</w:t>
      </w:r>
      <w:r w:rsidR="00274794" w:rsidRPr="00617833">
        <w:rPr>
          <w:rFonts w:ascii="Verdana" w:hAnsi="Verdana"/>
          <w:sz w:val="20"/>
        </w:rPr>
        <w:t xml:space="preserve">, un </w:t>
      </w:r>
      <w:r w:rsidRPr="00617833">
        <w:rPr>
          <w:rFonts w:ascii="Verdana" w:hAnsi="Verdana"/>
          <w:sz w:val="20"/>
        </w:rPr>
        <w:t>16,2</w:t>
      </w:r>
      <w:r w:rsidR="00162DFE" w:rsidRPr="00617833">
        <w:rPr>
          <w:rFonts w:ascii="Verdana" w:hAnsi="Verdana"/>
          <w:sz w:val="20"/>
        </w:rPr>
        <w:t>% más</w:t>
      </w:r>
      <w:r w:rsidR="00274794" w:rsidRPr="00617833">
        <w:rPr>
          <w:rFonts w:ascii="Verdana" w:hAnsi="Verdana"/>
          <w:sz w:val="20"/>
        </w:rPr>
        <w:t xml:space="preserve"> que los </w:t>
      </w:r>
      <w:r w:rsidR="006718BA" w:rsidRPr="00617833">
        <w:rPr>
          <w:rFonts w:ascii="Verdana" w:hAnsi="Verdana"/>
          <w:sz w:val="20"/>
        </w:rPr>
        <w:t>pendientes</w:t>
      </w:r>
      <w:r w:rsidR="00274794" w:rsidRPr="00617833">
        <w:rPr>
          <w:rFonts w:ascii="Verdana" w:hAnsi="Verdana"/>
          <w:sz w:val="20"/>
        </w:rPr>
        <w:t xml:space="preserve"> a final de 201</w:t>
      </w:r>
      <w:r w:rsidR="00162DFE" w:rsidRPr="00617833">
        <w:rPr>
          <w:rFonts w:ascii="Verdana" w:hAnsi="Verdana"/>
          <w:sz w:val="20"/>
        </w:rPr>
        <w:t>6</w:t>
      </w:r>
      <w:r w:rsidR="00274794" w:rsidRPr="00617833">
        <w:rPr>
          <w:rFonts w:ascii="Verdana" w:hAnsi="Verdana"/>
          <w:sz w:val="20"/>
        </w:rPr>
        <w:t>.</w:t>
      </w:r>
    </w:p>
    <w:p w:rsidR="00525A5A" w:rsidRPr="00617833" w:rsidRDefault="00525A5A">
      <w:pPr>
        <w:pStyle w:val="Textoindependiente"/>
        <w:rPr>
          <w:rFonts w:ascii="Verdana" w:hAnsi="Verdana"/>
          <w:sz w:val="20"/>
          <w:lang w:val="es-ES_tradnl"/>
        </w:rPr>
      </w:pPr>
    </w:p>
    <w:p w:rsidR="003527F4" w:rsidRPr="00617833" w:rsidRDefault="00083A3F" w:rsidP="003527F4">
      <w:pPr>
        <w:pStyle w:val="Textoindependiente"/>
        <w:jc w:val="center"/>
        <w:rPr>
          <w:rFonts w:ascii="Verdana" w:hAnsi="Verdana"/>
          <w:sz w:val="20"/>
        </w:rPr>
      </w:pPr>
      <w:r w:rsidRPr="00617833">
        <w:rPr>
          <w:noProof/>
        </w:rPr>
        <w:drawing>
          <wp:inline distT="0" distB="0" distL="0" distR="0" wp14:anchorId="7BF6C1B2" wp14:editId="4471B20A">
            <wp:extent cx="5549265" cy="2648427"/>
            <wp:effectExtent l="0" t="0" r="13335" b="19050"/>
            <wp:docPr id="1062" name="Gráfico 10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B4EE3" w:rsidRPr="00617833" w:rsidRDefault="001B4EE3">
      <w:pPr>
        <w:pStyle w:val="Textoindependiente"/>
        <w:rPr>
          <w:rFonts w:ascii="Verdana" w:hAnsi="Verdana"/>
        </w:rPr>
      </w:pPr>
    </w:p>
    <w:p w:rsidR="001B4EE3" w:rsidRPr="00617833" w:rsidRDefault="001B4EE3">
      <w:pPr>
        <w:pStyle w:val="Textoindependiente"/>
        <w:rPr>
          <w:rFonts w:ascii="Verdana" w:hAnsi="Verdana"/>
          <w:sz w:val="20"/>
        </w:rPr>
      </w:pPr>
    </w:p>
    <w:p w:rsidR="001B4EE3" w:rsidRPr="00617833" w:rsidRDefault="001B4EE3">
      <w:pPr>
        <w:pStyle w:val="Textoindependiente"/>
        <w:spacing w:before="120" w:after="120"/>
        <w:ind w:firstLine="357"/>
        <w:rPr>
          <w:rFonts w:ascii="Verdana" w:hAnsi="Verdana"/>
          <w:sz w:val="20"/>
        </w:rPr>
      </w:pPr>
      <w:r w:rsidRPr="00617833">
        <w:rPr>
          <w:rFonts w:ascii="Verdana" w:hAnsi="Verdana"/>
          <w:sz w:val="20"/>
        </w:rPr>
        <w:t xml:space="preserve">La situación global de la jurisdicción en el conjunto de los órganos </w:t>
      </w:r>
      <w:r w:rsidR="00C0134D" w:rsidRPr="00617833">
        <w:rPr>
          <w:rFonts w:ascii="Verdana" w:hAnsi="Verdana"/>
          <w:sz w:val="20"/>
        </w:rPr>
        <w:t>dependientes de los tribunales superiores de j</w:t>
      </w:r>
      <w:r w:rsidRPr="00617833">
        <w:rPr>
          <w:rFonts w:ascii="Verdana" w:hAnsi="Verdana"/>
          <w:sz w:val="20"/>
        </w:rPr>
        <w:t>usticia nos la resume la correspondiente Tasa de Congestión:</w:t>
      </w:r>
    </w:p>
    <w:p w:rsidR="001375A3" w:rsidRPr="00617833" w:rsidRDefault="002740F9" w:rsidP="001375A3">
      <w:pPr>
        <w:pStyle w:val="Textoindependiente"/>
        <w:spacing w:before="120" w:after="120"/>
        <w:ind w:firstLine="357"/>
        <w:rPr>
          <w:rFonts w:ascii="Verdana" w:hAnsi="Verdana"/>
          <w:sz w:val="20"/>
        </w:rPr>
      </w:pPr>
      <w:r w:rsidRPr="00617833">
        <w:rPr>
          <w:rFonts w:ascii="Verdana" w:hAnsi="Verdana"/>
          <w:sz w:val="20"/>
        </w:rPr>
        <w:lastRenderedPageBreak/>
        <w:t>L</w:t>
      </w:r>
      <w:r w:rsidR="001375A3" w:rsidRPr="00617833">
        <w:rPr>
          <w:rFonts w:ascii="Verdana" w:hAnsi="Verdana"/>
          <w:sz w:val="20"/>
        </w:rPr>
        <w:t>as comunidades de Murcia (1,</w:t>
      </w:r>
      <w:r w:rsidR="00C77339" w:rsidRPr="00617833">
        <w:rPr>
          <w:rFonts w:ascii="Verdana" w:hAnsi="Verdana"/>
          <w:sz w:val="20"/>
        </w:rPr>
        <w:t>86</w:t>
      </w:r>
      <w:r w:rsidR="001375A3" w:rsidRPr="00617833">
        <w:rPr>
          <w:rFonts w:ascii="Verdana" w:hAnsi="Verdana"/>
          <w:sz w:val="20"/>
        </w:rPr>
        <w:t>)</w:t>
      </w:r>
      <w:r w:rsidR="00970BD3" w:rsidRPr="00617833">
        <w:rPr>
          <w:rFonts w:ascii="Verdana" w:hAnsi="Verdana"/>
          <w:sz w:val="20"/>
        </w:rPr>
        <w:t>;</w:t>
      </w:r>
      <w:r w:rsidR="00C2021C" w:rsidRPr="00617833">
        <w:rPr>
          <w:rFonts w:ascii="Verdana" w:hAnsi="Verdana"/>
          <w:sz w:val="20"/>
        </w:rPr>
        <w:t xml:space="preserve"> </w:t>
      </w:r>
      <w:r w:rsidR="00691432" w:rsidRPr="00617833">
        <w:rPr>
          <w:rFonts w:ascii="Verdana" w:hAnsi="Verdana"/>
          <w:sz w:val="20"/>
        </w:rPr>
        <w:t>Castilla-La Mancha (1,</w:t>
      </w:r>
      <w:r w:rsidR="00C77339" w:rsidRPr="00617833">
        <w:rPr>
          <w:rFonts w:ascii="Verdana" w:hAnsi="Verdana"/>
          <w:sz w:val="20"/>
        </w:rPr>
        <w:t>8</w:t>
      </w:r>
      <w:r w:rsidR="00691432" w:rsidRPr="00617833">
        <w:rPr>
          <w:rFonts w:ascii="Verdana" w:hAnsi="Verdana"/>
          <w:sz w:val="20"/>
        </w:rPr>
        <w:t>0)</w:t>
      </w:r>
      <w:r w:rsidR="00DD4E19" w:rsidRPr="00617833">
        <w:rPr>
          <w:rFonts w:ascii="Verdana" w:hAnsi="Verdana"/>
          <w:sz w:val="20"/>
        </w:rPr>
        <w:t>;</w:t>
      </w:r>
      <w:r w:rsidR="00691432" w:rsidRPr="00617833">
        <w:rPr>
          <w:rFonts w:ascii="Verdana" w:hAnsi="Verdana"/>
          <w:sz w:val="20"/>
        </w:rPr>
        <w:t xml:space="preserve"> </w:t>
      </w:r>
      <w:r w:rsidR="00C77339" w:rsidRPr="00617833">
        <w:rPr>
          <w:rFonts w:ascii="Verdana" w:hAnsi="Verdana"/>
          <w:sz w:val="20"/>
        </w:rPr>
        <w:t>Andalucía (1,</w:t>
      </w:r>
      <w:r w:rsidR="00DD4E19" w:rsidRPr="00617833">
        <w:rPr>
          <w:rFonts w:ascii="Verdana" w:hAnsi="Verdana"/>
          <w:sz w:val="20"/>
        </w:rPr>
        <w:t>7</w:t>
      </w:r>
      <w:r w:rsidR="00C77339" w:rsidRPr="00617833">
        <w:rPr>
          <w:rFonts w:ascii="Verdana" w:hAnsi="Verdana"/>
          <w:sz w:val="20"/>
        </w:rPr>
        <w:t>6</w:t>
      </w:r>
      <w:r w:rsidR="00DD4E19" w:rsidRPr="00617833">
        <w:rPr>
          <w:rFonts w:ascii="Verdana" w:hAnsi="Verdana"/>
          <w:sz w:val="20"/>
        </w:rPr>
        <w:t xml:space="preserve">); </w:t>
      </w:r>
      <w:r w:rsidR="00C77339" w:rsidRPr="00617833">
        <w:rPr>
          <w:rFonts w:ascii="Verdana" w:hAnsi="Verdana"/>
          <w:sz w:val="20"/>
        </w:rPr>
        <w:t xml:space="preserve">Canarias (1,73); </w:t>
      </w:r>
      <w:r w:rsidR="00DD4E19" w:rsidRPr="00617833">
        <w:rPr>
          <w:rFonts w:ascii="Verdana" w:hAnsi="Verdana"/>
          <w:sz w:val="20"/>
        </w:rPr>
        <w:t>Cataluña (1,</w:t>
      </w:r>
      <w:r w:rsidR="00C77339" w:rsidRPr="00617833">
        <w:rPr>
          <w:rFonts w:ascii="Verdana" w:hAnsi="Verdana"/>
          <w:sz w:val="20"/>
        </w:rPr>
        <w:t>68</w:t>
      </w:r>
      <w:r w:rsidR="00DD4E19" w:rsidRPr="00617833">
        <w:rPr>
          <w:rFonts w:ascii="Verdana" w:hAnsi="Verdana"/>
          <w:sz w:val="20"/>
        </w:rPr>
        <w:t xml:space="preserve">); </w:t>
      </w:r>
      <w:r w:rsidRPr="00617833">
        <w:rPr>
          <w:rFonts w:ascii="Verdana" w:hAnsi="Verdana"/>
          <w:sz w:val="20"/>
        </w:rPr>
        <w:t xml:space="preserve">y </w:t>
      </w:r>
      <w:r w:rsidR="00C77339" w:rsidRPr="00617833">
        <w:rPr>
          <w:rFonts w:ascii="Verdana" w:hAnsi="Verdana"/>
          <w:sz w:val="20"/>
        </w:rPr>
        <w:t>Extremadura</w:t>
      </w:r>
      <w:r w:rsidR="006330A3" w:rsidRPr="00617833">
        <w:rPr>
          <w:rFonts w:ascii="Verdana" w:hAnsi="Verdana"/>
          <w:sz w:val="20"/>
        </w:rPr>
        <w:t xml:space="preserve"> (1,</w:t>
      </w:r>
      <w:r w:rsidR="00C77339" w:rsidRPr="00617833">
        <w:rPr>
          <w:rFonts w:ascii="Verdana" w:hAnsi="Verdana"/>
          <w:sz w:val="20"/>
        </w:rPr>
        <w:t>65</w:t>
      </w:r>
      <w:r w:rsidR="00BF65DA" w:rsidRPr="00617833">
        <w:rPr>
          <w:rFonts w:ascii="Verdana" w:hAnsi="Verdana"/>
          <w:sz w:val="20"/>
        </w:rPr>
        <w:t>)</w:t>
      </w:r>
      <w:r w:rsidRPr="00617833">
        <w:rPr>
          <w:rFonts w:ascii="Verdana" w:hAnsi="Verdana"/>
          <w:sz w:val="20"/>
        </w:rPr>
        <w:t xml:space="preserve"> superan la tasa nacional de 1,64</w:t>
      </w:r>
      <w:r w:rsidR="00BF65DA" w:rsidRPr="00617833">
        <w:rPr>
          <w:rFonts w:ascii="Verdana" w:hAnsi="Verdana"/>
          <w:sz w:val="20"/>
        </w:rPr>
        <w:t>.</w:t>
      </w:r>
      <w:r w:rsidR="001375A3" w:rsidRPr="00617833">
        <w:rPr>
          <w:rFonts w:ascii="Verdana" w:hAnsi="Verdana"/>
          <w:sz w:val="20"/>
        </w:rPr>
        <w:t xml:space="preserve">  La mejor situación se da en Asturias (1,</w:t>
      </w:r>
      <w:r w:rsidR="00DD4E19" w:rsidRPr="00617833">
        <w:rPr>
          <w:rFonts w:ascii="Verdana" w:hAnsi="Verdana"/>
          <w:sz w:val="20"/>
        </w:rPr>
        <w:t>3</w:t>
      </w:r>
      <w:r w:rsidRPr="00617833">
        <w:rPr>
          <w:rFonts w:ascii="Verdana" w:hAnsi="Verdana"/>
          <w:sz w:val="20"/>
        </w:rPr>
        <w:t>8</w:t>
      </w:r>
      <w:r w:rsidR="001375A3" w:rsidRPr="00617833">
        <w:rPr>
          <w:rFonts w:ascii="Verdana" w:hAnsi="Verdana"/>
          <w:sz w:val="20"/>
        </w:rPr>
        <w:t>)</w:t>
      </w:r>
      <w:r w:rsidR="00970BD3" w:rsidRPr="00617833">
        <w:rPr>
          <w:rFonts w:ascii="Verdana" w:hAnsi="Verdana"/>
          <w:sz w:val="20"/>
        </w:rPr>
        <w:t>;</w:t>
      </w:r>
      <w:r w:rsidR="00C2021C" w:rsidRPr="00617833">
        <w:rPr>
          <w:rFonts w:ascii="Verdana" w:hAnsi="Verdana"/>
          <w:sz w:val="20"/>
        </w:rPr>
        <w:t xml:space="preserve"> </w:t>
      </w:r>
      <w:r w:rsidR="00DD4E19" w:rsidRPr="00617833">
        <w:rPr>
          <w:rFonts w:ascii="Verdana" w:hAnsi="Verdana"/>
          <w:sz w:val="20"/>
        </w:rPr>
        <w:t xml:space="preserve">Navarra </w:t>
      </w:r>
      <w:r w:rsidR="005660DF" w:rsidRPr="00617833">
        <w:rPr>
          <w:rFonts w:ascii="Verdana" w:hAnsi="Verdana"/>
          <w:sz w:val="20"/>
        </w:rPr>
        <w:t>(1,</w:t>
      </w:r>
      <w:r w:rsidRPr="00617833">
        <w:rPr>
          <w:rFonts w:ascii="Verdana" w:hAnsi="Verdana"/>
          <w:sz w:val="20"/>
        </w:rPr>
        <w:t>43</w:t>
      </w:r>
      <w:r w:rsidR="005660DF" w:rsidRPr="00617833">
        <w:rPr>
          <w:rFonts w:ascii="Verdana" w:hAnsi="Verdana"/>
          <w:sz w:val="20"/>
        </w:rPr>
        <w:t>)</w:t>
      </w:r>
      <w:r w:rsidRPr="00617833">
        <w:rPr>
          <w:rFonts w:ascii="Verdana" w:hAnsi="Verdana"/>
          <w:sz w:val="20"/>
        </w:rPr>
        <w:t xml:space="preserve"> y Cantabria (1,46)</w:t>
      </w:r>
      <w:r w:rsidR="001375A3" w:rsidRPr="00617833">
        <w:rPr>
          <w:rFonts w:ascii="Verdana" w:hAnsi="Verdana"/>
          <w:sz w:val="20"/>
        </w:rPr>
        <w:t>.</w:t>
      </w:r>
      <w:r w:rsidR="00B458EA" w:rsidRPr="00617833">
        <w:rPr>
          <w:rFonts w:ascii="Verdana" w:hAnsi="Verdana"/>
          <w:color w:val="FF0000"/>
          <w:sz w:val="20"/>
          <w:lang w:val="es-ES_tradnl"/>
        </w:rPr>
        <w:t xml:space="preserve"> </w:t>
      </w:r>
    </w:p>
    <w:p w:rsidR="001B4EE3" w:rsidRPr="00617833" w:rsidRDefault="00E97F24" w:rsidP="005B4F50">
      <w:pPr>
        <w:pStyle w:val="Textoindependiente"/>
        <w:spacing w:before="120" w:after="120"/>
        <w:ind w:firstLine="357"/>
        <w:rPr>
          <w:rFonts w:ascii="Verdana" w:hAnsi="Verdana"/>
          <w:sz w:val="20"/>
        </w:rPr>
      </w:pPr>
      <w:r w:rsidRPr="00617833">
        <w:rPr>
          <w:noProof/>
        </w:rPr>
        <w:drawing>
          <wp:inline distT="0" distB="0" distL="0" distR="0" wp14:anchorId="58C80485" wp14:editId="0C6248D2">
            <wp:extent cx="5514975" cy="3248025"/>
            <wp:effectExtent l="0" t="0" r="9525" b="9525"/>
            <wp:docPr id="1063" name="Gráfico 10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E74E1" w:rsidRPr="00617833" w:rsidRDefault="005C0E8F">
      <w:pPr>
        <w:pStyle w:val="Textoindependiente"/>
        <w:spacing w:before="120" w:after="120"/>
        <w:ind w:firstLine="357"/>
        <w:rPr>
          <w:rFonts w:ascii="Verdana" w:hAnsi="Verdana"/>
          <w:color w:val="FF0000"/>
          <w:sz w:val="20"/>
          <w:lang w:val="es-ES_tradnl"/>
        </w:rPr>
      </w:pPr>
      <w:r w:rsidRPr="00617833">
        <w:rPr>
          <w:rFonts w:ascii="Verdana" w:hAnsi="Verdana"/>
          <w:sz w:val="20"/>
        </w:rPr>
        <w:t>L</w:t>
      </w:r>
      <w:r w:rsidR="002815AD" w:rsidRPr="00617833">
        <w:rPr>
          <w:rFonts w:ascii="Verdana" w:hAnsi="Verdana"/>
          <w:sz w:val="20"/>
        </w:rPr>
        <w:t>a Tasa de Resolución</w:t>
      </w:r>
      <w:r w:rsidRPr="00617833">
        <w:rPr>
          <w:rFonts w:ascii="Verdana" w:hAnsi="Verdana"/>
          <w:sz w:val="20"/>
        </w:rPr>
        <w:t xml:space="preserve"> permite complementar el análisis. S</w:t>
      </w:r>
      <w:r w:rsidR="002815AD" w:rsidRPr="00617833">
        <w:rPr>
          <w:rFonts w:ascii="Verdana" w:hAnsi="Verdana"/>
          <w:sz w:val="20"/>
        </w:rPr>
        <w:t xml:space="preserve">e observa </w:t>
      </w:r>
      <w:r w:rsidR="00C77A2F" w:rsidRPr="00617833">
        <w:rPr>
          <w:rFonts w:ascii="Verdana" w:hAnsi="Verdana"/>
          <w:sz w:val="20"/>
        </w:rPr>
        <w:t xml:space="preserve">no se </w:t>
      </w:r>
      <w:r w:rsidR="00B0504A" w:rsidRPr="00617833">
        <w:rPr>
          <w:rFonts w:ascii="Verdana" w:hAnsi="Verdana"/>
          <w:sz w:val="20"/>
        </w:rPr>
        <w:t>alcanza</w:t>
      </w:r>
      <w:r w:rsidR="00C77A2F" w:rsidRPr="00617833">
        <w:rPr>
          <w:rFonts w:ascii="Verdana" w:hAnsi="Verdana"/>
          <w:sz w:val="20"/>
        </w:rPr>
        <w:t xml:space="preserve"> una tasa de resolución de 1 en </w:t>
      </w:r>
      <w:r w:rsidR="00B0504A" w:rsidRPr="00617833">
        <w:rPr>
          <w:rFonts w:ascii="Verdana" w:hAnsi="Verdana"/>
          <w:sz w:val="20"/>
        </w:rPr>
        <w:t>ningún</w:t>
      </w:r>
      <w:r w:rsidR="00C77A2F" w:rsidRPr="00617833">
        <w:rPr>
          <w:rFonts w:ascii="Verdana" w:hAnsi="Verdana"/>
          <w:sz w:val="20"/>
        </w:rPr>
        <w:t xml:space="preserve"> tribunal superior de justicia, y </w:t>
      </w:r>
      <w:r w:rsidR="002815AD" w:rsidRPr="00617833">
        <w:rPr>
          <w:rFonts w:ascii="Verdana" w:hAnsi="Verdana"/>
          <w:sz w:val="20"/>
        </w:rPr>
        <w:t xml:space="preserve">que </w:t>
      </w:r>
      <w:r w:rsidR="002946BF" w:rsidRPr="00617833">
        <w:rPr>
          <w:rFonts w:ascii="Verdana" w:hAnsi="Verdana"/>
          <w:sz w:val="20"/>
        </w:rPr>
        <w:t>supera</w:t>
      </w:r>
      <w:r w:rsidR="00FD5C95" w:rsidRPr="00617833">
        <w:rPr>
          <w:rFonts w:ascii="Verdana" w:hAnsi="Verdana"/>
          <w:sz w:val="20"/>
        </w:rPr>
        <w:t>n</w:t>
      </w:r>
      <w:r w:rsidR="00C61E4F" w:rsidRPr="00617833">
        <w:rPr>
          <w:rFonts w:ascii="Verdana" w:hAnsi="Verdana"/>
          <w:sz w:val="20"/>
        </w:rPr>
        <w:t xml:space="preserve"> a la nacional </w:t>
      </w:r>
      <w:r w:rsidR="00691432" w:rsidRPr="00617833">
        <w:rPr>
          <w:rFonts w:ascii="Verdana" w:hAnsi="Verdana"/>
          <w:sz w:val="20"/>
        </w:rPr>
        <w:t>Madrid y Murcia (</w:t>
      </w:r>
      <w:r w:rsidR="002740F9" w:rsidRPr="00617833">
        <w:rPr>
          <w:rFonts w:ascii="Verdana" w:hAnsi="Verdana"/>
          <w:sz w:val="20"/>
        </w:rPr>
        <w:t>0,97</w:t>
      </w:r>
      <w:r w:rsidR="00691432" w:rsidRPr="00617833">
        <w:rPr>
          <w:rFonts w:ascii="Verdana" w:hAnsi="Verdana"/>
          <w:sz w:val="20"/>
        </w:rPr>
        <w:t>)</w:t>
      </w:r>
      <w:r w:rsidR="002740F9" w:rsidRPr="00617833">
        <w:rPr>
          <w:rFonts w:ascii="Verdana" w:hAnsi="Verdana"/>
          <w:sz w:val="20"/>
        </w:rPr>
        <w:t>;</w:t>
      </w:r>
      <w:r w:rsidR="00691432" w:rsidRPr="00617833">
        <w:rPr>
          <w:rFonts w:ascii="Verdana" w:hAnsi="Verdana"/>
          <w:sz w:val="20"/>
        </w:rPr>
        <w:t xml:space="preserve"> </w:t>
      </w:r>
      <w:r w:rsidR="002740F9" w:rsidRPr="00617833">
        <w:rPr>
          <w:rFonts w:ascii="Verdana" w:hAnsi="Verdana"/>
          <w:sz w:val="20"/>
        </w:rPr>
        <w:t>Asturias, Navarra, País Vasco y La Rioja (0,94); Cantabria, C. Valenciana y Galicia (0,93)</w:t>
      </w:r>
      <w:r w:rsidRPr="00617833">
        <w:rPr>
          <w:rFonts w:ascii="Verdana" w:hAnsi="Verdana"/>
          <w:sz w:val="20"/>
        </w:rPr>
        <w:t>.</w:t>
      </w:r>
      <w:r w:rsidR="00FD09DF" w:rsidRPr="00617833">
        <w:rPr>
          <w:rFonts w:ascii="Verdana" w:hAnsi="Verdana"/>
          <w:sz w:val="20"/>
        </w:rPr>
        <w:t xml:space="preserve"> </w:t>
      </w:r>
      <w:r w:rsidR="00597DCA" w:rsidRPr="00617833">
        <w:rPr>
          <w:rFonts w:ascii="Verdana" w:hAnsi="Verdana"/>
          <w:sz w:val="20"/>
        </w:rPr>
        <w:t xml:space="preserve">La más baja se ha dado en </w:t>
      </w:r>
      <w:r w:rsidR="00691432" w:rsidRPr="00617833">
        <w:rPr>
          <w:rFonts w:ascii="Verdana" w:hAnsi="Verdana"/>
          <w:sz w:val="20"/>
        </w:rPr>
        <w:t xml:space="preserve">el </w:t>
      </w:r>
      <w:r w:rsidR="002740F9" w:rsidRPr="00617833">
        <w:rPr>
          <w:rFonts w:ascii="Verdana" w:hAnsi="Verdana"/>
          <w:sz w:val="20"/>
        </w:rPr>
        <w:t>Extremadura</w:t>
      </w:r>
      <w:r w:rsidR="00691432" w:rsidRPr="00617833">
        <w:rPr>
          <w:rFonts w:ascii="Verdana" w:hAnsi="Verdana"/>
          <w:sz w:val="20"/>
        </w:rPr>
        <w:t xml:space="preserve"> (0,</w:t>
      </w:r>
      <w:r w:rsidR="002740F9" w:rsidRPr="00617833">
        <w:rPr>
          <w:rFonts w:ascii="Verdana" w:hAnsi="Verdana"/>
          <w:sz w:val="20"/>
        </w:rPr>
        <w:t>84</w:t>
      </w:r>
      <w:r w:rsidR="00691432" w:rsidRPr="00617833">
        <w:rPr>
          <w:rFonts w:ascii="Verdana" w:hAnsi="Verdana"/>
          <w:sz w:val="20"/>
        </w:rPr>
        <w:t>)</w:t>
      </w:r>
      <w:r w:rsidR="00597DCA" w:rsidRPr="00617833">
        <w:rPr>
          <w:rFonts w:ascii="Verdana" w:hAnsi="Verdana"/>
          <w:sz w:val="20"/>
        </w:rPr>
        <w:t>.</w:t>
      </w:r>
      <w:r w:rsidR="004E19B5" w:rsidRPr="00617833">
        <w:rPr>
          <w:rFonts w:ascii="Verdana" w:hAnsi="Verdana"/>
          <w:color w:val="FF0000"/>
          <w:sz w:val="20"/>
          <w:lang w:val="es-ES_tradnl"/>
        </w:rPr>
        <w:t xml:space="preserve"> </w:t>
      </w:r>
    </w:p>
    <w:p w:rsidR="002815AD" w:rsidRPr="00617833" w:rsidRDefault="00E97F24">
      <w:pPr>
        <w:pStyle w:val="Textoindependiente"/>
        <w:spacing w:before="120" w:after="120"/>
        <w:ind w:firstLine="357"/>
        <w:rPr>
          <w:rFonts w:ascii="Verdana" w:hAnsi="Verdana"/>
          <w:sz w:val="20"/>
        </w:rPr>
      </w:pPr>
      <w:r w:rsidRPr="00617833">
        <w:rPr>
          <w:noProof/>
        </w:rPr>
        <w:drawing>
          <wp:inline distT="0" distB="0" distL="0" distR="0" wp14:anchorId="31906659" wp14:editId="0BB337CE">
            <wp:extent cx="5505450" cy="3105150"/>
            <wp:effectExtent l="0" t="0" r="19050" b="19050"/>
            <wp:docPr id="1064" name="Gráfico 10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92F8B" w:rsidRPr="00617833" w:rsidRDefault="00764C2C" w:rsidP="002C1EC4">
      <w:pPr>
        <w:pStyle w:val="Textoindependiente"/>
        <w:spacing w:before="120" w:after="120"/>
        <w:ind w:firstLine="357"/>
        <w:rPr>
          <w:rFonts w:ascii="Verdana" w:hAnsi="Verdana"/>
          <w:sz w:val="20"/>
        </w:rPr>
      </w:pPr>
      <w:r w:rsidRPr="00617833">
        <w:rPr>
          <w:rFonts w:ascii="Verdana" w:hAnsi="Verdana"/>
          <w:sz w:val="20"/>
        </w:rPr>
        <w:t xml:space="preserve">Analizando el conjunto de la jurisdicción con las tasas de resolución, pendencia y congestión, observamos que la tasa de resolución ha </w:t>
      </w:r>
      <w:r w:rsidR="00C77A2F" w:rsidRPr="00617833">
        <w:rPr>
          <w:rFonts w:ascii="Verdana" w:hAnsi="Verdana"/>
          <w:sz w:val="20"/>
        </w:rPr>
        <w:t>disminuido un 9,9%, mientras que las de pendencia y congestión han aumentado un 19,1% y un 5,9% respectivamente. P</w:t>
      </w:r>
      <w:r w:rsidR="00263B7C" w:rsidRPr="00617833">
        <w:rPr>
          <w:rFonts w:ascii="Verdana" w:hAnsi="Verdana"/>
          <w:sz w:val="20"/>
        </w:rPr>
        <w:t xml:space="preserve">odemos </w:t>
      </w:r>
      <w:r w:rsidR="00E811FA" w:rsidRPr="00617833">
        <w:rPr>
          <w:rFonts w:ascii="Verdana" w:hAnsi="Verdana"/>
          <w:sz w:val="20"/>
        </w:rPr>
        <w:t xml:space="preserve">interpretar como que la situación de la jurisdicción </w:t>
      </w:r>
      <w:r w:rsidR="002C1EC4" w:rsidRPr="00617833">
        <w:rPr>
          <w:rFonts w:ascii="Verdana" w:hAnsi="Verdana"/>
          <w:sz w:val="20"/>
        </w:rPr>
        <w:t xml:space="preserve">civil </w:t>
      </w:r>
      <w:r w:rsidR="00E811FA" w:rsidRPr="00617833">
        <w:rPr>
          <w:rFonts w:ascii="Verdana" w:hAnsi="Verdana"/>
          <w:sz w:val="20"/>
        </w:rPr>
        <w:t xml:space="preserve">ha </w:t>
      </w:r>
      <w:r w:rsidR="00C77A2F" w:rsidRPr="00617833">
        <w:rPr>
          <w:rFonts w:ascii="Verdana" w:hAnsi="Verdana"/>
          <w:sz w:val="20"/>
        </w:rPr>
        <w:t>empeorado significativamente</w:t>
      </w:r>
      <w:r w:rsidR="009222C1" w:rsidRPr="00617833">
        <w:rPr>
          <w:rFonts w:ascii="Verdana" w:hAnsi="Verdana"/>
          <w:sz w:val="20"/>
        </w:rPr>
        <w:t xml:space="preserve"> </w:t>
      </w:r>
      <w:r w:rsidR="005F2036" w:rsidRPr="00617833">
        <w:rPr>
          <w:rFonts w:ascii="Verdana" w:hAnsi="Verdana"/>
          <w:sz w:val="20"/>
        </w:rPr>
        <w:t>en 201</w:t>
      </w:r>
      <w:r w:rsidR="009222C1" w:rsidRPr="00617833">
        <w:rPr>
          <w:rFonts w:ascii="Verdana" w:hAnsi="Verdana"/>
          <w:sz w:val="20"/>
        </w:rPr>
        <w:t>6</w:t>
      </w:r>
      <w:r w:rsidR="00E811FA" w:rsidRPr="00617833">
        <w:rPr>
          <w:rFonts w:ascii="Verdana" w:hAnsi="Verdana"/>
          <w:sz w:val="20"/>
        </w:rPr>
        <w:t xml:space="preserve">.  </w:t>
      </w:r>
    </w:p>
    <w:p w:rsidR="00162DFE" w:rsidRPr="00617833" w:rsidRDefault="00162DFE" w:rsidP="002C1EC4">
      <w:pPr>
        <w:pStyle w:val="Textoindependiente"/>
        <w:spacing w:before="120" w:after="120"/>
        <w:ind w:firstLine="357"/>
        <w:rPr>
          <w:rFonts w:ascii="Verdana" w:hAnsi="Verdana"/>
          <w:sz w:val="20"/>
        </w:rPr>
      </w:pPr>
    </w:p>
    <w:p w:rsidR="00C77A2F" w:rsidRPr="00617833" w:rsidRDefault="00C77A2F" w:rsidP="002C1EC4">
      <w:pPr>
        <w:pStyle w:val="Textoindependiente"/>
        <w:spacing w:before="120" w:after="120"/>
        <w:ind w:firstLine="357"/>
        <w:rPr>
          <w:rFonts w:ascii="Verdana" w:hAnsi="Verdana"/>
          <w:sz w:val="20"/>
        </w:rPr>
      </w:pPr>
    </w:p>
    <w:tbl>
      <w:tblPr>
        <w:tblW w:w="5900" w:type="dxa"/>
        <w:jc w:val="center"/>
        <w:tblInd w:w="55" w:type="dxa"/>
        <w:tblCellMar>
          <w:left w:w="70" w:type="dxa"/>
          <w:right w:w="70" w:type="dxa"/>
        </w:tblCellMar>
        <w:tblLook w:val="04A0" w:firstRow="1" w:lastRow="0" w:firstColumn="1" w:lastColumn="0" w:noHBand="0" w:noVBand="1"/>
      </w:tblPr>
      <w:tblGrid>
        <w:gridCol w:w="2260"/>
        <w:gridCol w:w="1229"/>
        <w:gridCol w:w="1190"/>
        <w:gridCol w:w="1221"/>
      </w:tblGrid>
      <w:tr w:rsidR="00162DFE" w:rsidRPr="00617833" w:rsidTr="00162DFE">
        <w:trPr>
          <w:trHeight w:val="315"/>
          <w:jc w:val="center"/>
        </w:trPr>
        <w:tc>
          <w:tcPr>
            <w:tcW w:w="2260" w:type="dxa"/>
            <w:tcBorders>
              <w:top w:val="nil"/>
              <w:left w:val="nil"/>
              <w:bottom w:val="nil"/>
              <w:right w:val="nil"/>
            </w:tcBorders>
            <w:shd w:val="clear" w:color="auto" w:fill="auto"/>
            <w:noWrap/>
            <w:vAlign w:val="bottom"/>
            <w:hideMark/>
          </w:tcPr>
          <w:p w:rsidR="00162DFE" w:rsidRPr="00617833" w:rsidRDefault="00162DFE">
            <w:pPr>
              <w:rPr>
                <w:color w:val="000000"/>
                <w:sz w:val="20"/>
                <w:szCs w:val="20"/>
              </w:rPr>
            </w:pPr>
          </w:p>
        </w:tc>
        <w:tc>
          <w:tcPr>
            <w:tcW w:w="124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b/>
                <w:bCs/>
                <w:color w:val="000080"/>
                <w:sz w:val="20"/>
                <w:szCs w:val="20"/>
              </w:rPr>
            </w:pPr>
            <w:r w:rsidRPr="00617833">
              <w:rPr>
                <w:rFonts w:ascii="Verdana" w:hAnsi="Verdana" w:cs="Arial"/>
                <w:b/>
                <w:bCs/>
                <w:color w:val="000080"/>
                <w:sz w:val="20"/>
                <w:szCs w:val="20"/>
              </w:rPr>
              <w:t>2016</w:t>
            </w:r>
          </w:p>
        </w:tc>
        <w:tc>
          <w:tcPr>
            <w:tcW w:w="120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b/>
                <w:bCs/>
                <w:color w:val="000080"/>
                <w:sz w:val="20"/>
                <w:szCs w:val="20"/>
              </w:rPr>
            </w:pPr>
            <w:r w:rsidRPr="00617833">
              <w:rPr>
                <w:rFonts w:ascii="Verdana" w:hAnsi="Verdana" w:cs="Arial"/>
                <w:b/>
                <w:bCs/>
                <w:color w:val="000080"/>
                <w:sz w:val="20"/>
                <w:szCs w:val="20"/>
              </w:rPr>
              <w:t>2017</w:t>
            </w:r>
          </w:p>
        </w:tc>
        <w:tc>
          <w:tcPr>
            <w:tcW w:w="120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b/>
                <w:bCs/>
                <w:color w:val="000080"/>
                <w:sz w:val="20"/>
                <w:szCs w:val="20"/>
              </w:rPr>
            </w:pPr>
            <w:r w:rsidRPr="00617833">
              <w:rPr>
                <w:rFonts w:ascii="Verdana" w:hAnsi="Verdana" w:cs="Arial"/>
                <w:b/>
                <w:bCs/>
                <w:color w:val="000080"/>
                <w:sz w:val="20"/>
                <w:szCs w:val="20"/>
              </w:rPr>
              <w:t>Evolución</w:t>
            </w:r>
          </w:p>
        </w:tc>
      </w:tr>
      <w:tr w:rsidR="00162DFE" w:rsidRPr="00617833" w:rsidTr="00162DFE">
        <w:trPr>
          <w:trHeight w:val="300"/>
          <w:jc w:val="center"/>
        </w:trPr>
        <w:tc>
          <w:tcPr>
            <w:tcW w:w="2260" w:type="dxa"/>
            <w:tcBorders>
              <w:top w:val="single" w:sz="8" w:space="0" w:color="auto"/>
              <w:left w:val="nil"/>
              <w:bottom w:val="nil"/>
              <w:right w:val="nil"/>
            </w:tcBorders>
            <w:shd w:val="clear" w:color="auto" w:fill="auto"/>
            <w:vAlign w:val="center"/>
            <w:hideMark/>
          </w:tcPr>
          <w:p w:rsidR="00162DFE" w:rsidRPr="00617833" w:rsidRDefault="00162DFE">
            <w:pPr>
              <w:jc w:val="both"/>
              <w:rPr>
                <w:rFonts w:ascii="Verdana" w:hAnsi="Verdana" w:cs="Calibri"/>
                <w:color w:val="000000"/>
                <w:sz w:val="20"/>
                <w:szCs w:val="20"/>
              </w:rPr>
            </w:pPr>
            <w:r w:rsidRPr="00617833">
              <w:rPr>
                <w:rFonts w:ascii="Verdana" w:hAnsi="Verdana" w:cs="Arial"/>
                <w:color w:val="000000"/>
                <w:sz w:val="20"/>
                <w:szCs w:val="20"/>
              </w:rPr>
              <w:t>Tasa de Resolución</w:t>
            </w:r>
          </w:p>
        </w:tc>
        <w:tc>
          <w:tcPr>
            <w:tcW w:w="124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1,02</w:t>
            </w:r>
          </w:p>
        </w:tc>
        <w:tc>
          <w:tcPr>
            <w:tcW w:w="120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0,92</w:t>
            </w:r>
          </w:p>
        </w:tc>
        <w:tc>
          <w:tcPr>
            <w:tcW w:w="1200" w:type="dxa"/>
            <w:tcBorders>
              <w:top w:val="single" w:sz="8" w:space="0" w:color="auto"/>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-9,9%</w:t>
            </w:r>
          </w:p>
        </w:tc>
      </w:tr>
      <w:tr w:rsidR="00162DFE" w:rsidRPr="00617833" w:rsidTr="00162DFE">
        <w:trPr>
          <w:trHeight w:val="300"/>
          <w:jc w:val="center"/>
        </w:trPr>
        <w:tc>
          <w:tcPr>
            <w:tcW w:w="2260" w:type="dxa"/>
            <w:tcBorders>
              <w:top w:val="nil"/>
              <w:left w:val="nil"/>
              <w:bottom w:val="nil"/>
              <w:right w:val="nil"/>
            </w:tcBorders>
            <w:shd w:val="clear" w:color="auto" w:fill="auto"/>
            <w:vAlign w:val="center"/>
            <w:hideMark/>
          </w:tcPr>
          <w:p w:rsidR="00162DFE" w:rsidRPr="00617833" w:rsidRDefault="00162DFE">
            <w:pPr>
              <w:jc w:val="both"/>
              <w:rPr>
                <w:rFonts w:ascii="Verdana" w:hAnsi="Verdana" w:cs="Calibri"/>
                <w:color w:val="000000"/>
                <w:sz w:val="20"/>
                <w:szCs w:val="20"/>
              </w:rPr>
            </w:pPr>
            <w:r w:rsidRPr="00617833">
              <w:rPr>
                <w:rFonts w:ascii="Verdana" w:hAnsi="Verdana" w:cs="Arial"/>
                <w:color w:val="000000"/>
                <w:sz w:val="20"/>
                <w:szCs w:val="20"/>
              </w:rPr>
              <w:t>Tasa de Pendencia</w:t>
            </w:r>
          </w:p>
        </w:tc>
        <w:tc>
          <w:tcPr>
            <w:tcW w:w="1240" w:type="dxa"/>
            <w:tcBorders>
              <w:top w:val="nil"/>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0,54</w:t>
            </w:r>
          </w:p>
        </w:tc>
        <w:tc>
          <w:tcPr>
            <w:tcW w:w="1200" w:type="dxa"/>
            <w:tcBorders>
              <w:top w:val="nil"/>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0,64</w:t>
            </w:r>
          </w:p>
        </w:tc>
        <w:tc>
          <w:tcPr>
            <w:tcW w:w="1200" w:type="dxa"/>
            <w:tcBorders>
              <w:top w:val="nil"/>
              <w:left w:val="nil"/>
              <w:bottom w:val="nil"/>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19,1%</w:t>
            </w:r>
          </w:p>
        </w:tc>
      </w:tr>
      <w:tr w:rsidR="00162DFE" w:rsidRPr="00617833" w:rsidTr="00162DFE">
        <w:trPr>
          <w:trHeight w:val="315"/>
          <w:jc w:val="center"/>
        </w:trPr>
        <w:tc>
          <w:tcPr>
            <w:tcW w:w="2260" w:type="dxa"/>
            <w:tcBorders>
              <w:top w:val="nil"/>
              <w:left w:val="nil"/>
              <w:bottom w:val="single" w:sz="8" w:space="0" w:color="auto"/>
              <w:right w:val="nil"/>
            </w:tcBorders>
            <w:shd w:val="clear" w:color="auto" w:fill="auto"/>
            <w:vAlign w:val="center"/>
            <w:hideMark/>
          </w:tcPr>
          <w:p w:rsidR="00162DFE" w:rsidRPr="00617833" w:rsidRDefault="00162DFE">
            <w:pPr>
              <w:jc w:val="both"/>
              <w:rPr>
                <w:rFonts w:ascii="Verdana" w:hAnsi="Verdana" w:cs="Calibri"/>
                <w:color w:val="000000"/>
                <w:sz w:val="20"/>
                <w:szCs w:val="20"/>
              </w:rPr>
            </w:pPr>
            <w:r w:rsidRPr="00617833">
              <w:rPr>
                <w:rFonts w:ascii="Verdana" w:hAnsi="Verdana" w:cs="Arial"/>
                <w:color w:val="000000"/>
                <w:sz w:val="20"/>
                <w:szCs w:val="20"/>
              </w:rPr>
              <w:t>Tasa de Congestión</w:t>
            </w:r>
          </w:p>
        </w:tc>
        <w:tc>
          <w:tcPr>
            <w:tcW w:w="1240" w:type="dxa"/>
            <w:tcBorders>
              <w:top w:val="nil"/>
              <w:left w:val="nil"/>
              <w:bottom w:val="single" w:sz="8" w:space="0" w:color="auto"/>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1,55</w:t>
            </w:r>
          </w:p>
        </w:tc>
        <w:tc>
          <w:tcPr>
            <w:tcW w:w="1200" w:type="dxa"/>
            <w:tcBorders>
              <w:top w:val="nil"/>
              <w:left w:val="nil"/>
              <w:bottom w:val="single" w:sz="8" w:space="0" w:color="auto"/>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1,64</w:t>
            </w:r>
          </w:p>
        </w:tc>
        <w:tc>
          <w:tcPr>
            <w:tcW w:w="1200" w:type="dxa"/>
            <w:tcBorders>
              <w:top w:val="nil"/>
              <w:left w:val="nil"/>
              <w:bottom w:val="single" w:sz="8" w:space="0" w:color="auto"/>
              <w:right w:val="nil"/>
            </w:tcBorders>
            <w:shd w:val="clear" w:color="auto" w:fill="auto"/>
            <w:vAlign w:val="center"/>
            <w:hideMark/>
          </w:tcPr>
          <w:p w:rsidR="00162DFE" w:rsidRPr="00617833" w:rsidRDefault="00162DFE">
            <w:pPr>
              <w:jc w:val="center"/>
              <w:rPr>
                <w:rFonts w:ascii="Verdana" w:hAnsi="Verdana" w:cs="Calibri"/>
                <w:color w:val="000000"/>
                <w:sz w:val="20"/>
                <w:szCs w:val="20"/>
              </w:rPr>
            </w:pPr>
            <w:r w:rsidRPr="00617833">
              <w:rPr>
                <w:rFonts w:ascii="Verdana" w:hAnsi="Verdana" w:cs="Calibri"/>
                <w:color w:val="000000"/>
                <w:sz w:val="20"/>
                <w:szCs w:val="20"/>
              </w:rPr>
              <w:t>5,9%</w:t>
            </w:r>
          </w:p>
        </w:tc>
      </w:tr>
    </w:tbl>
    <w:p w:rsidR="00493380" w:rsidRPr="00617833" w:rsidRDefault="00493380">
      <w:pPr>
        <w:pStyle w:val="Textoindependiente"/>
        <w:spacing w:before="120" w:after="120"/>
        <w:ind w:firstLine="357"/>
        <w:rPr>
          <w:rFonts w:ascii="Verdana" w:hAnsi="Verdana"/>
          <w:sz w:val="20"/>
        </w:rPr>
      </w:pPr>
    </w:p>
    <w:p w:rsidR="00996596" w:rsidRPr="00617833" w:rsidRDefault="00996596">
      <w:pPr>
        <w:pStyle w:val="Textoindependiente"/>
        <w:spacing w:before="120" w:after="120"/>
        <w:ind w:firstLine="357"/>
        <w:rPr>
          <w:rFonts w:ascii="Verdana" w:hAnsi="Verdana"/>
          <w:sz w:val="20"/>
        </w:rPr>
      </w:pPr>
    </w:p>
    <w:p w:rsidR="001B4EE3" w:rsidRPr="00617833" w:rsidRDefault="0001411C">
      <w:pPr>
        <w:pStyle w:val="Textoindependiente"/>
        <w:spacing w:before="120" w:after="120"/>
        <w:ind w:firstLine="357"/>
        <w:rPr>
          <w:rFonts w:ascii="Verdana" w:hAnsi="Verdana"/>
          <w:sz w:val="20"/>
        </w:rPr>
      </w:pPr>
      <w:r w:rsidRPr="00617833">
        <w:rPr>
          <w:rFonts w:ascii="Verdana" w:hAnsi="Verdana"/>
          <w:sz w:val="20"/>
        </w:rPr>
        <w:t>L</w:t>
      </w:r>
      <w:r w:rsidR="001B4EE3" w:rsidRPr="00617833">
        <w:rPr>
          <w:rFonts w:ascii="Verdana" w:hAnsi="Verdana"/>
          <w:sz w:val="20"/>
        </w:rPr>
        <w:t>a situación en cada uno de los tipos de órganos judiciales que actúan en esta jurisdicción</w:t>
      </w:r>
      <w:r w:rsidRPr="00617833">
        <w:rPr>
          <w:rFonts w:ascii="Verdana" w:hAnsi="Verdana"/>
          <w:sz w:val="20"/>
        </w:rPr>
        <w:t xml:space="preserve"> nos la resume</w:t>
      </w:r>
      <w:r w:rsidR="0022548B" w:rsidRPr="00617833">
        <w:rPr>
          <w:rFonts w:ascii="Verdana" w:hAnsi="Verdana"/>
          <w:sz w:val="20"/>
        </w:rPr>
        <w:t xml:space="preserve"> el siguiente cuadro:</w:t>
      </w:r>
    </w:p>
    <w:p w:rsidR="001B4EE3" w:rsidRPr="00617833" w:rsidRDefault="001B4EE3">
      <w:pPr>
        <w:pStyle w:val="Textoindependiente"/>
        <w:rPr>
          <w:rFonts w:ascii="Verdana" w:hAnsi="Verdana"/>
        </w:rPr>
      </w:pPr>
    </w:p>
    <w:tbl>
      <w:tblPr>
        <w:tblW w:w="6757" w:type="dxa"/>
        <w:jc w:val="center"/>
        <w:tblInd w:w="55" w:type="dxa"/>
        <w:tblCellMar>
          <w:left w:w="70" w:type="dxa"/>
          <w:right w:w="70" w:type="dxa"/>
        </w:tblCellMar>
        <w:tblLook w:val="04A0" w:firstRow="1" w:lastRow="0" w:firstColumn="1" w:lastColumn="0" w:noHBand="0" w:noVBand="1"/>
      </w:tblPr>
      <w:tblGrid>
        <w:gridCol w:w="2663"/>
        <w:gridCol w:w="1458"/>
        <w:gridCol w:w="1280"/>
        <w:gridCol w:w="1356"/>
      </w:tblGrid>
      <w:tr w:rsidR="00743A36" w:rsidRPr="00617833" w:rsidTr="00743A36">
        <w:trPr>
          <w:trHeight w:val="1035"/>
          <w:jc w:val="center"/>
        </w:trPr>
        <w:tc>
          <w:tcPr>
            <w:tcW w:w="2663" w:type="dxa"/>
            <w:tcBorders>
              <w:top w:val="nil"/>
              <w:left w:val="nil"/>
              <w:bottom w:val="single" w:sz="8" w:space="0" w:color="auto"/>
              <w:right w:val="nil"/>
            </w:tcBorders>
            <w:shd w:val="clear" w:color="auto" w:fill="auto"/>
            <w:vAlign w:val="center"/>
            <w:hideMark/>
          </w:tcPr>
          <w:p w:rsidR="00743A36" w:rsidRPr="00617833" w:rsidRDefault="00743A36">
            <w:pPr>
              <w:jc w:val="center"/>
              <w:rPr>
                <w:rFonts w:ascii="Verdana" w:hAnsi="Verdana" w:cs="Calibri"/>
                <w:b/>
                <w:bCs/>
                <w:color w:val="000080"/>
                <w:sz w:val="20"/>
                <w:szCs w:val="20"/>
              </w:rPr>
            </w:pPr>
            <w:r w:rsidRPr="00617833">
              <w:rPr>
                <w:rFonts w:ascii="Verdana" w:hAnsi="Verdana" w:cs="Arial"/>
                <w:b/>
                <w:bCs/>
                <w:color w:val="000080"/>
                <w:sz w:val="20"/>
                <w:szCs w:val="20"/>
              </w:rPr>
              <w:t> </w:t>
            </w:r>
          </w:p>
        </w:tc>
        <w:tc>
          <w:tcPr>
            <w:tcW w:w="1458"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center"/>
              <w:rPr>
                <w:rFonts w:ascii="Verdana" w:hAnsi="Verdana" w:cs="Calibri"/>
                <w:b/>
                <w:bCs/>
                <w:color w:val="000080"/>
                <w:sz w:val="20"/>
                <w:szCs w:val="20"/>
              </w:rPr>
            </w:pPr>
            <w:r w:rsidRPr="00617833">
              <w:rPr>
                <w:rFonts w:ascii="Verdana" w:hAnsi="Verdana" w:cs="Arial"/>
                <w:b/>
                <w:bCs/>
                <w:color w:val="000080"/>
                <w:sz w:val="20"/>
                <w:szCs w:val="20"/>
              </w:rPr>
              <w:t xml:space="preserve">Ingresados </w:t>
            </w:r>
          </w:p>
        </w:tc>
        <w:tc>
          <w:tcPr>
            <w:tcW w:w="1280"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center"/>
              <w:rPr>
                <w:rFonts w:ascii="Verdana" w:hAnsi="Verdana" w:cs="Calibri"/>
                <w:b/>
                <w:bCs/>
                <w:color w:val="000080"/>
                <w:sz w:val="20"/>
                <w:szCs w:val="20"/>
              </w:rPr>
            </w:pPr>
            <w:r w:rsidRPr="00617833">
              <w:rPr>
                <w:rFonts w:ascii="Verdana" w:hAnsi="Verdana" w:cs="Arial"/>
                <w:b/>
                <w:bCs/>
                <w:color w:val="000080"/>
                <w:sz w:val="20"/>
                <w:szCs w:val="20"/>
              </w:rPr>
              <w:t>Resueltos</w:t>
            </w:r>
          </w:p>
        </w:tc>
        <w:tc>
          <w:tcPr>
            <w:tcW w:w="1356"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center"/>
              <w:rPr>
                <w:rFonts w:ascii="Verdana" w:hAnsi="Verdana" w:cs="Calibri"/>
                <w:b/>
                <w:bCs/>
                <w:color w:val="000080"/>
                <w:sz w:val="20"/>
                <w:szCs w:val="20"/>
              </w:rPr>
            </w:pPr>
            <w:r w:rsidRPr="00617833">
              <w:rPr>
                <w:rFonts w:ascii="Verdana" w:hAnsi="Verdana" w:cs="Arial"/>
                <w:b/>
                <w:bCs/>
                <w:color w:val="000080"/>
                <w:sz w:val="20"/>
                <w:szCs w:val="20"/>
              </w:rPr>
              <w:t>En trámite al final del año</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Jdos. 1ª Instancia</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993.762</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862.911</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556.121</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Jdos. de lo Mercantil</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54.306</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57.875</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70.557</w:t>
            </w:r>
          </w:p>
        </w:tc>
      </w:tr>
      <w:tr w:rsidR="00743A36" w:rsidRPr="00617833" w:rsidTr="00743A36">
        <w:trPr>
          <w:trHeight w:val="51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Jdos. Violencia contra la mujer</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22.969</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22.067</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12.647</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Jdos. Familia</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176.370</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175.237</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73.771</w:t>
            </w:r>
          </w:p>
        </w:tc>
      </w:tr>
      <w:tr w:rsidR="00743A36" w:rsidRPr="00617833" w:rsidTr="00743A36">
        <w:trPr>
          <w:trHeight w:val="51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Jdos. 1ª Instancia e Instrucción</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665.268</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641.822</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411.342</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 xml:space="preserve">A.P. Secciones Civiles </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109.546</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99.243</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66.520</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 xml:space="preserve">A.P. Secciones Mixtas  </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11.090</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10.275</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4.865</w:t>
            </w:r>
          </w:p>
        </w:tc>
      </w:tr>
      <w:tr w:rsidR="00743A36" w:rsidRPr="00617833" w:rsidTr="00743A36">
        <w:trPr>
          <w:trHeight w:val="300"/>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T.S.J. Sala Civil y Penal</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733</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809</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290</w:t>
            </w:r>
          </w:p>
        </w:tc>
      </w:tr>
      <w:tr w:rsidR="00743A36" w:rsidRPr="00617833" w:rsidTr="00743A36">
        <w:trPr>
          <w:trHeight w:val="315"/>
          <w:jc w:val="center"/>
        </w:trPr>
        <w:tc>
          <w:tcPr>
            <w:tcW w:w="2663" w:type="dxa"/>
            <w:tcBorders>
              <w:top w:val="nil"/>
              <w:left w:val="nil"/>
              <w:bottom w:val="nil"/>
              <w:right w:val="nil"/>
            </w:tcBorders>
            <w:shd w:val="clear" w:color="auto" w:fill="auto"/>
            <w:vAlign w:val="center"/>
            <w:hideMark/>
          </w:tcPr>
          <w:p w:rsidR="00743A36" w:rsidRPr="00617833" w:rsidRDefault="00743A36">
            <w:pPr>
              <w:rPr>
                <w:rFonts w:ascii="Verdana" w:hAnsi="Verdana" w:cs="Calibri"/>
                <w:color w:val="000000"/>
                <w:sz w:val="20"/>
                <w:szCs w:val="20"/>
              </w:rPr>
            </w:pPr>
            <w:r w:rsidRPr="00617833">
              <w:rPr>
                <w:rFonts w:ascii="Verdana" w:hAnsi="Verdana" w:cs="Arial"/>
                <w:color w:val="000000"/>
                <w:sz w:val="20"/>
                <w:szCs w:val="20"/>
              </w:rPr>
              <w:t>Tribunal Supremo: Sala 1ª</w:t>
            </w:r>
          </w:p>
        </w:tc>
        <w:tc>
          <w:tcPr>
            <w:tcW w:w="1458"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5.974</w:t>
            </w:r>
          </w:p>
        </w:tc>
        <w:tc>
          <w:tcPr>
            <w:tcW w:w="1280"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3.759</w:t>
            </w:r>
          </w:p>
        </w:tc>
        <w:tc>
          <w:tcPr>
            <w:tcW w:w="1356" w:type="dxa"/>
            <w:tcBorders>
              <w:top w:val="nil"/>
              <w:left w:val="nil"/>
              <w:bottom w:val="nil"/>
              <w:right w:val="nil"/>
            </w:tcBorders>
            <w:shd w:val="clear" w:color="auto" w:fill="auto"/>
            <w:vAlign w:val="center"/>
            <w:hideMark/>
          </w:tcPr>
          <w:p w:rsidR="00743A36" w:rsidRPr="00617833" w:rsidRDefault="00743A36">
            <w:pPr>
              <w:jc w:val="right"/>
              <w:rPr>
                <w:rFonts w:ascii="Verdana" w:hAnsi="Verdana" w:cs="Calibri"/>
                <w:color w:val="000000"/>
                <w:sz w:val="20"/>
                <w:szCs w:val="20"/>
              </w:rPr>
            </w:pPr>
            <w:r w:rsidRPr="00617833">
              <w:rPr>
                <w:rFonts w:ascii="Verdana" w:hAnsi="Verdana" w:cs="Calibri"/>
                <w:color w:val="000000"/>
                <w:sz w:val="20"/>
                <w:szCs w:val="20"/>
              </w:rPr>
              <w:t>9.021</w:t>
            </w:r>
          </w:p>
        </w:tc>
      </w:tr>
      <w:tr w:rsidR="00743A36" w:rsidRPr="00617833" w:rsidTr="00743A36">
        <w:trPr>
          <w:trHeight w:val="315"/>
          <w:jc w:val="center"/>
        </w:trPr>
        <w:tc>
          <w:tcPr>
            <w:tcW w:w="2663" w:type="dxa"/>
            <w:tcBorders>
              <w:top w:val="single" w:sz="8" w:space="0" w:color="auto"/>
              <w:left w:val="nil"/>
              <w:bottom w:val="single" w:sz="8" w:space="0" w:color="auto"/>
              <w:right w:val="nil"/>
            </w:tcBorders>
            <w:shd w:val="clear" w:color="auto" w:fill="auto"/>
            <w:vAlign w:val="center"/>
            <w:hideMark/>
          </w:tcPr>
          <w:p w:rsidR="00743A36" w:rsidRPr="00617833" w:rsidRDefault="00743A36">
            <w:pPr>
              <w:rPr>
                <w:rFonts w:ascii="Verdana" w:hAnsi="Verdana" w:cs="Calibri"/>
                <w:b/>
                <w:bCs/>
                <w:color w:val="000080"/>
                <w:sz w:val="20"/>
                <w:szCs w:val="20"/>
              </w:rPr>
            </w:pPr>
            <w:r w:rsidRPr="00617833">
              <w:rPr>
                <w:rFonts w:ascii="Verdana" w:hAnsi="Verdana" w:cs="Arial"/>
                <w:b/>
                <w:bCs/>
                <w:color w:val="000080"/>
                <w:sz w:val="20"/>
                <w:szCs w:val="20"/>
              </w:rPr>
              <w:t>TOTAL</w:t>
            </w:r>
          </w:p>
        </w:tc>
        <w:tc>
          <w:tcPr>
            <w:tcW w:w="1458"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right"/>
              <w:rPr>
                <w:rFonts w:ascii="Verdana" w:hAnsi="Verdana" w:cs="Calibri"/>
                <w:b/>
                <w:bCs/>
                <w:color w:val="000000"/>
                <w:sz w:val="20"/>
                <w:szCs w:val="20"/>
              </w:rPr>
            </w:pPr>
            <w:r w:rsidRPr="00617833">
              <w:rPr>
                <w:rFonts w:ascii="Verdana" w:hAnsi="Verdana" w:cs="Calibri"/>
                <w:b/>
                <w:bCs/>
                <w:color w:val="000000"/>
                <w:sz w:val="20"/>
                <w:szCs w:val="20"/>
              </w:rPr>
              <w:t>2.040.018</w:t>
            </w:r>
          </w:p>
        </w:tc>
        <w:tc>
          <w:tcPr>
            <w:tcW w:w="1280"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right"/>
              <w:rPr>
                <w:rFonts w:ascii="Verdana" w:hAnsi="Verdana" w:cs="Calibri"/>
                <w:b/>
                <w:bCs/>
                <w:color w:val="000000"/>
                <w:sz w:val="20"/>
                <w:szCs w:val="20"/>
              </w:rPr>
            </w:pPr>
            <w:r w:rsidRPr="00617833">
              <w:rPr>
                <w:rFonts w:ascii="Verdana" w:hAnsi="Verdana" w:cs="Calibri"/>
                <w:b/>
                <w:bCs/>
                <w:color w:val="000000"/>
                <w:sz w:val="20"/>
                <w:szCs w:val="20"/>
              </w:rPr>
              <w:t>1.873.998</w:t>
            </w:r>
          </w:p>
        </w:tc>
        <w:tc>
          <w:tcPr>
            <w:tcW w:w="1356" w:type="dxa"/>
            <w:tcBorders>
              <w:top w:val="single" w:sz="8" w:space="0" w:color="auto"/>
              <w:left w:val="nil"/>
              <w:bottom w:val="single" w:sz="8" w:space="0" w:color="auto"/>
              <w:right w:val="nil"/>
            </w:tcBorders>
            <w:shd w:val="clear" w:color="auto" w:fill="auto"/>
            <w:vAlign w:val="center"/>
            <w:hideMark/>
          </w:tcPr>
          <w:p w:rsidR="00743A36" w:rsidRPr="00617833" w:rsidRDefault="00743A36">
            <w:pPr>
              <w:jc w:val="right"/>
              <w:rPr>
                <w:rFonts w:ascii="Verdana" w:hAnsi="Verdana" w:cs="Calibri"/>
                <w:b/>
                <w:bCs/>
                <w:color w:val="000000"/>
                <w:sz w:val="20"/>
                <w:szCs w:val="20"/>
              </w:rPr>
            </w:pPr>
            <w:r w:rsidRPr="00617833">
              <w:rPr>
                <w:rFonts w:ascii="Verdana" w:hAnsi="Verdana" w:cs="Calibri"/>
                <w:b/>
                <w:bCs/>
                <w:color w:val="000000"/>
                <w:sz w:val="20"/>
                <w:szCs w:val="20"/>
              </w:rPr>
              <w:t>1.205.134</w:t>
            </w:r>
          </w:p>
        </w:tc>
      </w:tr>
    </w:tbl>
    <w:p w:rsidR="001B4EE3" w:rsidRPr="00617833" w:rsidRDefault="001B4EE3" w:rsidP="00C37B21">
      <w:pPr>
        <w:pStyle w:val="Textoindependiente"/>
        <w:jc w:val="center"/>
        <w:rPr>
          <w:rFonts w:ascii="Verdana" w:hAnsi="Verdana"/>
        </w:rPr>
      </w:pPr>
    </w:p>
    <w:p w:rsidR="001B4EE3" w:rsidRPr="00617833" w:rsidRDefault="001B4EE3">
      <w:pPr>
        <w:pStyle w:val="Textoindependiente"/>
        <w:spacing w:before="120" w:after="120"/>
        <w:ind w:firstLine="357"/>
        <w:rPr>
          <w:rFonts w:ascii="Verdana" w:hAnsi="Verdana"/>
          <w:sz w:val="20"/>
        </w:rPr>
      </w:pPr>
      <w:r w:rsidRPr="00617833">
        <w:rPr>
          <w:rFonts w:ascii="Verdana" w:hAnsi="Verdana"/>
          <w:sz w:val="20"/>
        </w:rPr>
        <w:t>Dado que se producen variaciones en la jurisdicción asi</w:t>
      </w:r>
      <w:r w:rsidR="00456E80" w:rsidRPr="00617833">
        <w:rPr>
          <w:rFonts w:ascii="Verdana" w:hAnsi="Verdana"/>
          <w:sz w:val="20"/>
        </w:rPr>
        <w:t>gnada a los órganos de primera i</w:t>
      </w:r>
      <w:r w:rsidRPr="00617833">
        <w:rPr>
          <w:rFonts w:ascii="Verdana" w:hAnsi="Verdana"/>
          <w:sz w:val="20"/>
        </w:rPr>
        <w:t>nstancia y las audiencias provincia</w:t>
      </w:r>
      <w:r w:rsidR="00D05141" w:rsidRPr="00617833">
        <w:rPr>
          <w:rFonts w:ascii="Verdana" w:hAnsi="Verdana"/>
          <w:sz w:val="20"/>
        </w:rPr>
        <w:t>le</w:t>
      </w:r>
      <w:r w:rsidRPr="00617833">
        <w:rPr>
          <w:rFonts w:ascii="Verdana" w:hAnsi="Verdana"/>
          <w:sz w:val="20"/>
        </w:rPr>
        <w:t xml:space="preserve">s, la evolución entre dos años se debe hacer globalmente, comparando el </w:t>
      </w:r>
      <w:r w:rsidR="00D05141" w:rsidRPr="00617833">
        <w:rPr>
          <w:rFonts w:ascii="Verdana" w:hAnsi="Verdana"/>
          <w:sz w:val="20"/>
        </w:rPr>
        <w:t>conjunto</w:t>
      </w:r>
      <w:r w:rsidRPr="00617833">
        <w:rPr>
          <w:rFonts w:ascii="Verdana" w:hAnsi="Verdana"/>
          <w:sz w:val="20"/>
        </w:rPr>
        <w:t xml:space="preserve"> de los </w:t>
      </w:r>
      <w:r w:rsidR="00EA6C21" w:rsidRPr="00617833">
        <w:rPr>
          <w:rFonts w:ascii="Verdana" w:hAnsi="Verdana"/>
          <w:sz w:val="20"/>
        </w:rPr>
        <w:t>j</w:t>
      </w:r>
      <w:r w:rsidRPr="00617833">
        <w:rPr>
          <w:rFonts w:ascii="Verdana" w:hAnsi="Verdana"/>
          <w:sz w:val="20"/>
        </w:rPr>
        <w:t xml:space="preserve">uzgados de </w:t>
      </w:r>
      <w:r w:rsidR="00EA6C21" w:rsidRPr="00617833">
        <w:rPr>
          <w:rFonts w:ascii="Verdana" w:hAnsi="Verdana"/>
          <w:sz w:val="20"/>
        </w:rPr>
        <w:t>p</w:t>
      </w:r>
      <w:r w:rsidRPr="00617833">
        <w:rPr>
          <w:rFonts w:ascii="Verdana" w:hAnsi="Verdana"/>
          <w:sz w:val="20"/>
        </w:rPr>
        <w:t xml:space="preserve">rimera </w:t>
      </w:r>
      <w:r w:rsidR="00EA6C21" w:rsidRPr="00617833">
        <w:rPr>
          <w:rFonts w:ascii="Verdana" w:hAnsi="Verdana"/>
          <w:sz w:val="20"/>
        </w:rPr>
        <w:t>i</w:t>
      </w:r>
      <w:r w:rsidRPr="00617833">
        <w:rPr>
          <w:rFonts w:ascii="Verdana" w:hAnsi="Verdana"/>
          <w:sz w:val="20"/>
        </w:rPr>
        <w:t xml:space="preserve">nstancia, </w:t>
      </w:r>
      <w:r w:rsidR="00EA6C21" w:rsidRPr="00617833">
        <w:rPr>
          <w:rFonts w:ascii="Verdana" w:hAnsi="Verdana"/>
          <w:sz w:val="20"/>
        </w:rPr>
        <w:t>p</w:t>
      </w:r>
      <w:r w:rsidRPr="00617833">
        <w:rPr>
          <w:rFonts w:ascii="Verdana" w:hAnsi="Verdana"/>
          <w:sz w:val="20"/>
        </w:rPr>
        <w:t xml:space="preserve">rimera </w:t>
      </w:r>
      <w:r w:rsidR="00726F64" w:rsidRPr="00617833">
        <w:rPr>
          <w:rFonts w:ascii="Verdana" w:hAnsi="Verdana"/>
          <w:sz w:val="20"/>
        </w:rPr>
        <w:t>i</w:t>
      </w:r>
      <w:r w:rsidRPr="00617833">
        <w:rPr>
          <w:rFonts w:ascii="Verdana" w:hAnsi="Verdana"/>
          <w:sz w:val="20"/>
        </w:rPr>
        <w:t xml:space="preserve">nstancia especializados en </w:t>
      </w:r>
      <w:r w:rsidR="00EA6C21" w:rsidRPr="00617833">
        <w:rPr>
          <w:rFonts w:ascii="Verdana" w:hAnsi="Verdana"/>
          <w:sz w:val="20"/>
        </w:rPr>
        <w:t>f</w:t>
      </w:r>
      <w:r w:rsidRPr="00617833">
        <w:rPr>
          <w:rFonts w:ascii="Verdana" w:hAnsi="Verdana"/>
          <w:sz w:val="20"/>
        </w:rPr>
        <w:t xml:space="preserve">amilia y </w:t>
      </w:r>
      <w:r w:rsidR="00EA6C21" w:rsidRPr="00617833">
        <w:rPr>
          <w:rFonts w:ascii="Verdana" w:hAnsi="Verdana"/>
          <w:sz w:val="20"/>
        </w:rPr>
        <w:t>p</w:t>
      </w:r>
      <w:r w:rsidRPr="00617833">
        <w:rPr>
          <w:rFonts w:ascii="Verdana" w:hAnsi="Verdana"/>
          <w:sz w:val="20"/>
        </w:rPr>
        <w:t xml:space="preserve">rimera </w:t>
      </w:r>
      <w:r w:rsidR="00EA6C21" w:rsidRPr="00617833">
        <w:rPr>
          <w:rFonts w:ascii="Verdana" w:hAnsi="Verdana"/>
          <w:sz w:val="20"/>
        </w:rPr>
        <w:t>i</w:t>
      </w:r>
      <w:r w:rsidRPr="00617833">
        <w:rPr>
          <w:rFonts w:ascii="Verdana" w:hAnsi="Verdana"/>
          <w:sz w:val="20"/>
        </w:rPr>
        <w:t xml:space="preserve">nstancia e instrucción por una parte, y el de las </w:t>
      </w:r>
      <w:r w:rsidR="00EA6C21" w:rsidRPr="00617833">
        <w:rPr>
          <w:rFonts w:ascii="Verdana" w:hAnsi="Verdana"/>
          <w:sz w:val="20"/>
        </w:rPr>
        <w:t>s</w:t>
      </w:r>
      <w:r w:rsidRPr="00617833">
        <w:rPr>
          <w:rFonts w:ascii="Verdana" w:hAnsi="Verdana"/>
          <w:sz w:val="20"/>
        </w:rPr>
        <w:t xml:space="preserve">ecciones </w:t>
      </w:r>
      <w:r w:rsidR="00EA6C21" w:rsidRPr="00617833">
        <w:rPr>
          <w:rFonts w:ascii="Verdana" w:hAnsi="Verdana"/>
          <w:sz w:val="20"/>
        </w:rPr>
        <w:t>c</w:t>
      </w:r>
      <w:r w:rsidRPr="00617833">
        <w:rPr>
          <w:rFonts w:ascii="Verdana" w:hAnsi="Verdana"/>
          <w:sz w:val="20"/>
        </w:rPr>
        <w:t xml:space="preserve">iviles y </w:t>
      </w:r>
      <w:r w:rsidR="00EA6C21" w:rsidRPr="00617833">
        <w:rPr>
          <w:rFonts w:ascii="Verdana" w:hAnsi="Verdana"/>
          <w:sz w:val="20"/>
        </w:rPr>
        <w:t>m</w:t>
      </w:r>
      <w:r w:rsidRPr="00617833">
        <w:rPr>
          <w:rFonts w:ascii="Verdana" w:hAnsi="Verdana"/>
          <w:sz w:val="20"/>
        </w:rPr>
        <w:t xml:space="preserve">ixtas de las </w:t>
      </w:r>
      <w:r w:rsidR="00EA6C21" w:rsidRPr="00617833">
        <w:rPr>
          <w:rFonts w:ascii="Verdana" w:hAnsi="Verdana"/>
          <w:sz w:val="20"/>
        </w:rPr>
        <w:t>a</w:t>
      </w:r>
      <w:r w:rsidRPr="00617833">
        <w:rPr>
          <w:rFonts w:ascii="Verdana" w:hAnsi="Verdana"/>
          <w:sz w:val="20"/>
        </w:rPr>
        <w:t xml:space="preserve">udiencias </w:t>
      </w:r>
      <w:r w:rsidR="00EA6C21" w:rsidRPr="00617833">
        <w:rPr>
          <w:rFonts w:ascii="Verdana" w:hAnsi="Verdana"/>
          <w:sz w:val="20"/>
        </w:rPr>
        <w:t>p</w:t>
      </w:r>
      <w:r w:rsidRPr="00617833">
        <w:rPr>
          <w:rFonts w:ascii="Verdana" w:hAnsi="Verdana"/>
          <w:sz w:val="20"/>
        </w:rPr>
        <w:t xml:space="preserve">rovinciales por otra. </w:t>
      </w:r>
      <w:r w:rsidR="00F50363" w:rsidRPr="00617833">
        <w:rPr>
          <w:rFonts w:ascii="Verdana" w:hAnsi="Verdana"/>
          <w:sz w:val="20"/>
        </w:rPr>
        <w:t xml:space="preserve">  </w:t>
      </w:r>
      <w:r w:rsidR="00A027A7" w:rsidRPr="00617833">
        <w:rPr>
          <w:rFonts w:ascii="Verdana" w:hAnsi="Verdana"/>
          <w:sz w:val="20"/>
        </w:rPr>
        <w:t xml:space="preserve">También se analiza la evolución de los </w:t>
      </w:r>
      <w:r w:rsidR="00EA6C21" w:rsidRPr="00617833">
        <w:rPr>
          <w:rFonts w:ascii="Verdana" w:hAnsi="Verdana"/>
          <w:sz w:val="20"/>
        </w:rPr>
        <w:t>j</w:t>
      </w:r>
      <w:r w:rsidR="00A027A7" w:rsidRPr="00617833">
        <w:rPr>
          <w:rFonts w:ascii="Verdana" w:hAnsi="Verdana"/>
          <w:sz w:val="20"/>
        </w:rPr>
        <w:t xml:space="preserve">uzgados de lo </w:t>
      </w:r>
      <w:r w:rsidR="00EA6C21" w:rsidRPr="00617833">
        <w:rPr>
          <w:rFonts w:ascii="Verdana" w:hAnsi="Verdana"/>
          <w:sz w:val="20"/>
        </w:rPr>
        <w:t>m</w:t>
      </w:r>
      <w:r w:rsidR="00A027A7" w:rsidRPr="00617833">
        <w:rPr>
          <w:rFonts w:ascii="Verdana" w:hAnsi="Verdana"/>
          <w:sz w:val="20"/>
        </w:rPr>
        <w:t xml:space="preserve">ercantil.  </w:t>
      </w:r>
      <w:r w:rsidR="00850A1A" w:rsidRPr="00617833">
        <w:rPr>
          <w:rFonts w:ascii="Verdana" w:hAnsi="Verdana"/>
          <w:sz w:val="20"/>
        </w:rPr>
        <w:t>La evolución entre 20</w:t>
      </w:r>
      <w:r w:rsidR="00C65B87" w:rsidRPr="00617833">
        <w:rPr>
          <w:rFonts w:ascii="Verdana" w:hAnsi="Verdana"/>
          <w:sz w:val="20"/>
        </w:rPr>
        <w:t>1</w:t>
      </w:r>
      <w:r w:rsidR="00B0504A" w:rsidRPr="00617833">
        <w:rPr>
          <w:rFonts w:ascii="Verdana" w:hAnsi="Verdana"/>
          <w:sz w:val="20"/>
        </w:rPr>
        <w:t>6</w:t>
      </w:r>
      <w:r w:rsidR="00850A1A" w:rsidRPr="00617833">
        <w:rPr>
          <w:rFonts w:ascii="Verdana" w:hAnsi="Verdana"/>
          <w:sz w:val="20"/>
        </w:rPr>
        <w:t xml:space="preserve"> y </w:t>
      </w:r>
      <w:r w:rsidR="00A8065F" w:rsidRPr="00617833">
        <w:rPr>
          <w:rFonts w:ascii="Verdana" w:hAnsi="Verdana"/>
          <w:sz w:val="20"/>
        </w:rPr>
        <w:t>20</w:t>
      </w:r>
      <w:r w:rsidR="002A24D3" w:rsidRPr="00617833">
        <w:rPr>
          <w:rFonts w:ascii="Verdana" w:hAnsi="Verdana"/>
          <w:sz w:val="20"/>
        </w:rPr>
        <w:t>1</w:t>
      </w:r>
      <w:r w:rsidR="00B0504A" w:rsidRPr="00617833">
        <w:rPr>
          <w:rFonts w:ascii="Verdana" w:hAnsi="Verdana"/>
          <w:sz w:val="20"/>
        </w:rPr>
        <w:t>7</w:t>
      </w:r>
      <w:r w:rsidR="00993ECE" w:rsidRPr="00617833">
        <w:rPr>
          <w:rFonts w:ascii="Verdana" w:hAnsi="Verdana"/>
          <w:sz w:val="20"/>
        </w:rPr>
        <w:t xml:space="preserve"> </w:t>
      </w:r>
      <w:r w:rsidR="00850A1A" w:rsidRPr="00617833">
        <w:rPr>
          <w:rFonts w:ascii="Verdana" w:hAnsi="Verdana"/>
          <w:sz w:val="20"/>
        </w:rPr>
        <w:t xml:space="preserve"> ha sido:</w:t>
      </w:r>
    </w:p>
    <w:tbl>
      <w:tblPr>
        <w:tblW w:w="6760" w:type="dxa"/>
        <w:jc w:val="center"/>
        <w:tblInd w:w="55" w:type="dxa"/>
        <w:tblCellMar>
          <w:left w:w="70" w:type="dxa"/>
          <w:right w:w="70" w:type="dxa"/>
        </w:tblCellMar>
        <w:tblLook w:val="04A0" w:firstRow="1" w:lastRow="0" w:firstColumn="1" w:lastColumn="0" w:noHBand="0" w:noVBand="1"/>
      </w:tblPr>
      <w:tblGrid>
        <w:gridCol w:w="2740"/>
        <w:gridCol w:w="1460"/>
        <w:gridCol w:w="1200"/>
        <w:gridCol w:w="1360"/>
      </w:tblGrid>
      <w:tr w:rsidR="00B0504A" w:rsidRPr="00617833" w:rsidTr="00B0504A">
        <w:trPr>
          <w:trHeight w:val="780"/>
          <w:jc w:val="center"/>
        </w:trPr>
        <w:tc>
          <w:tcPr>
            <w:tcW w:w="2740" w:type="dxa"/>
            <w:tcBorders>
              <w:top w:val="nil"/>
              <w:left w:val="nil"/>
              <w:bottom w:val="nil"/>
              <w:right w:val="nil"/>
            </w:tcBorders>
            <w:shd w:val="clear" w:color="auto" w:fill="auto"/>
            <w:vAlign w:val="center"/>
            <w:hideMark/>
          </w:tcPr>
          <w:p w:rsidR="00B0504A" w:rsidRPr="00617833" w:rsidRDefault="00B0504A">
            <w:pPr>
              <w:rPr>
                <w:color w:val="000000"/>
                <w:sz w:val="20"/>
                <w:szCs w:val="20"/>
              </w:rPr>
            </w:pPr>
          </w:p>
        </w:tc>
        <w:tc>
          <w:tcPr>
            <w:tcW w:w="1460" w:type="dxa"/>
            <w:tcBorders>
              <w:top w:val="single" w:sz="8" w:space="0" w:color="auto"/>
              <w:left w:val="nil"/>
              <w:bottom w:val="single" w:sz="8" w:space="0" w:color="auto"/>
              <w:right w:val="nil"/>
            </w:tcBorders>
            <w:shd w:val="clear" w:color="auto" w:fill="auto"/>
            <w:vAlign w:val="center"/>
            <w:hideMark/>
          </w:tcPr>
          <w:p w:rsidR="00B0504A" w:rsidRPr="00617833" w:rsidRDefault="00B0504A">
            <w:pPr>
              <w:jc w:val="center"/>
              <w:rPr>
                <w:rFonts w:ascii="Arial" w:hAnsi="Arial" w:cs="Arial"/>
                <w:b/>
                <w:bCs/>
                <w:color w:val="000080"/>
                <w:sz w:val="20"/>
                <w:szCs w:val="20"/>
              </w:rPr>
            </w:pPr>
            <w:r w:rsidRPr="00617833">
              <w:rPr>
                <w:rFonts w:ascii="Arial" w:hAnsi="Arial" w:cs="Arial"/>
                <w:b/>
                <w:bCs/>
                <w:color w:val="000080"/>
                <w:sz w:val="20"/>
                <w:szCs w:val="20"/>
              </w:rPr>
              <w:t xml:space="preserve">Registrados </w:t>
            </w:r>
          </w:p>
        </w:tc>
        <w:tc>
          <w:tcPr>
            <w:tcW w:w="1200" w:type="dxa"/>
            <w:tcBorders>
              <w:top w:val="single" w:sz="8" w:space="0" w:color="auto"/>
              <w:left w:val="nil"/>
              <w:bottom w:val="single" w:sz="8" w:space="0" w:color="auto"/>
              <w:right w:val="nil"/>
            </w:tcBorders>
            <w:shd w:val="clear" w:color="auto" w:fill="auto"/>
            <w:vAlign w:val="center"/>
            <w:hideMark/>
          </w:tcPr>
          <w:p w:rsidR="00B0504A" w:rsidRPr="00617833" w:rsidRDefault="00B0504A">
            <w:pPr>
              <w:jc w:val="center"/>
              <w:rPr>
                <w:rFonts w:ascii="Arial" w:hAnsi="Arial" w:cs="Arial"/>
                <w:b/>
                <w:bCs/>
                <w:color w:val="000080"/>
                <w:sz w:val="20"/>
                <w:szCs w:val="20"/>
              </w:rPr>
            </w:pPr>
            <w:r w:rsidRPr="00617833">
              <w:rPr>
                <w:rFonts w:ascii="Arial" w:hAnsi="Arial" w:cs="Arial"/>
                <w:b/>
                <w:bCs/>
                <w:color w:val="000080"/>
                <w:sz w:val="20"/>
                <w:szCs w:val="20"/>
              </w:rPr>
              <w:t>Resueltos</w:t>
            </w:r>
          </w:p>
        </w:tc>
        <w:tc>
          <w:tcPr>
            <w:tcW w:w="1360" w:type="dxa"/>
            <w:tcBorders>
              <w:top w:val="single" w:sz="8" w:space="0" w:color="auto"/>
              <w:left w:val="nil"/>
              <w:bottom w:val="single" w:sz="8" w:space="0" w:color="auto"/>
              <w:right w:val="nil"/>
            </w:tcBorders>
            <w:shd w:val="clear" w:color="auto" w:fill="auto"/>
            <w:vAlign w:val="center"/>
            <w:hideMark/>
          </w:tcPr>
          <w:p w:rsidR="00B0504A" w:rsidRPr="00617833" w:rsidRDefault="00B0504A">
            <w:pPr>
              <w:jc w:val="center"/>
              <w:rPr>
                <w:rFonts w:ascii="Arial" w:hAnsi="Arial" w:cs="Arial"/>
                <w:b/>
                <w:bCs/>
                <w:color w:val="000080"/>
                <w:sz w:val="20"/>
                <w:szCs w:val="20"/>
              </w:rPr>
            </w:pPr>
            <w:r w:rsidRPr="00617833">
              <w:rPr>
                <w:rFonts w:ascii="Arial" w:hAnsi="Arial" w:cs="Arial"/>
                <w:b/>
                <w:bCs/>
                <w:color w:val="000080"/>
                <w:sz w:val="20"/>
                <w:szCs w:val="20"/>
              </w:rPr>
              <w:t>En trámite al final del año</w:t>
            </w:r>
          </w:p>
        </w:tc>
      </w:tr>
      <w:tr w:rsidR="00B0504A" w:rsidRPr="00617833" w:rsidTr="00B0504A">
        <w:trPr>
          <w:trHeight w:val="300"/>
          <w:jc w:val="center"/>
        </w:trPr>
        <w:tc>
          <w:tcPr>
            <w:tcW w:w="2740" w:type="dxa"/>
            <w:tcBorders>
              <w:top w:val="single" w:sz="8" w:space="0" w:color="auto"/>
              <w:left w:val="nil"/>
              <w:bottom w:val="nil"/>
              <w:right w:val="nil"/>
            </w:tcBorders>
            <w:shd w:val="clear" w:color="auto" w:fill="auto"/>
            <w:vAlign w:val="center"/>
            <w:hideMark/>
          </w:tcPr>
          <w:p w:rsidR="00B0504A" w:rsidRPr="00617833" w:rsidRDefault="00B0504A">
            <w:pPr>
              <w:rPr>
                <w:rFonts w:ascii="Arial" w:hAnsi="Arial" w:cs="Arial"/>
                <w:color w:val="000000"/>
                <w:sz w:val="20"/>
                <w:szCs w:val="20"/>
              </w:rPr>
            </w:pPr>
            <w:r w:rsidRPr="00617833">
              <w:rPr>
                <w:rFonts w:ascii="Arial" w:hAnsi="Arial" w:cs="Arial"/>
                <w:color w:val="000000"/>
                <w:sz w:val="20"/>
                <w:szCs w:val="20"/>
              </w:rPr>
              <w:t>Primera instancia civil</w:t>
            </w:r>
          </w:p>
        </w:tc>
        <w:tc>
          <w:tcPr>
            <w:tcW w:w="146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9,6%</w:t>
            </w:r>
          </w:p>
        </w:tc>
        <w:tc>
          <w:tcPr>
            <w:tcW w:w="120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-1,3%</w:t>
            </w:r>
          </w:p>
        </w:tc>
        <w:tc>
          <w:tcPr>
            <w:tcW w:w="136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17,9%</w:t>
            </w:r>
          </w:p>
        </w:tc>
      </w:tr>
      <w:tr w:rsidR="00B0504A" w:rsidRPr="00617833" w:rsidTr="00B0504A">
        <w:trPr>
          <w:trHeight w:val="300"/>
          <w:jc w:val="center"/>
        </w:trPr>
        <w:tc>
          <w:tcPr>
            <w:tcW w:w="2740" w:type="dxa"/>
            <w:tcBorders>
              <w:top w:val="nil"/>
              <w:left w:val="nil"/>
              <w:bottom w:val="nil"/>
              <w:right w:val="nil"/>
            </w:tcBorders>
            <w:shd w:val="clear" w:color="auto" w:fill="auto"/>
            <w:vAlign w:val="center"/>
            <w:hideMark/>
          </w:tcPr>
          <w:p w:rsidR="00B0504A" w:rsidRPr="00617833" w:rsidRDefault="00B0504A">
            <w:pPr>
              <w:rPr>
                <w:rFonts w:ascii="Arial" w:hAnsi="Arial" w:cs="Arial"/>
                <w:color w:val="000000"/>
                <w:sz w:val="20"/>
                <w:szCs w:val="20"/>
              </w:rPr>
            </w:pPr>
            <w:r w:rsidRPr="00617833">
              <w:rPr>
                <w:rFonts w:ascii="Arial" w:hAnsi="Arial" w:cs="Arial"/>
                <w:color w:val="000000"/>
                <w:sz w:val="20"/>
                <w:szCs w:val="20"/>
              </w:rPr>
              <w:t>Audiencias provinciales</w:t>
            </w:r>
          </w:p>
        </w:tc>
        <w:tc>
          <w:tcPr>
            <w:tcW w:w="146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3,0%</w:t>
            </w:r>
          </w:p>
        </w:tc>
        <w:tc>
          <w:tcPr>
            <w:tcW w:w="120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-3,4%</w:t>
            </w:r>
          </w:p>
        </w:tc>
        <w:tc>
          <w:tcPr>
            <w:tcW w:w="1360" w:type="dxa"/>
            <w:tcBorders>
              <w:top w:val="nil"/>
              <w:left w:val="nil"/>
              <w:bottom w:val="nil"/>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18,9%</w:t>
            </w:r>
          </w:p>
        </w:tc>
      </w:tr>
      <w:tr w:rsidR="00B0504A" w:rsidRPr="00617833" w:rsidTr="00B0504A">
        <w:trPr>
          <w:trHeight w:val="315"/>
          <w:jc w:val="center"/>
        </w:trPr>
        <w:tc>
          <w:tcPr>
            <w:tcW w:w="2740" w:type="dxa"/>
            <w:tcBorders>
              <w:top w:val="nil"/>
              <w:left w:val="nil"/>
              <w:bottom w:val="single" w:sz="8" w:space="0" w:color="auto"/>
              <w:right w:val="nil"/>
            </w:tcBorders>
            <w:shd w:val="clear" w:color="auto" w:fill="auto"/>
            <w:vAlign w:val="center"/>
            <w:hideMark/>
          </w:tcPr>
          <w:p w:rsidR="00B0504A" w:rsidRPr="00617833" w:rsidRDefault="00B0504A">
            <w:pPr>
              <w:rPr>
                <w:rFonts w:ascii="Arial" w:hAnsi="Arial" w:cs="Arial"/>
                <w:color w:val="000000"/>
                <w:sz w:val="20"/>
                <w:szCs w:val="20"/>
              </w:rPr>
            </w:pPr>
            <w:r w:rsidRPr="00617833">
              <w:rPr>
                <w:rFonts w:ascii="Arial" w:hAnsi="Arial" w:cs="Arial"/>
                <w:color w:val="000000"/>
                <w:sz w:val="20"/>
                <w:szCs w:val="20"/>
              </w:rPr>
              <w:t>Mercantiles</w:t>
            </w:r>
          </w:p>
        </w:tc>
        <w:tc>
          <w:tcPr>
            <w:tcW w:w="1460" w:type="dxa"/>
            <w:tcBorders>
              <w:top w:val="nil"/>
              <w:left w:val="nil"/>
              <w:bottom w:val="single" w:sz="8" w:space="0" w:color="auto"/>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16,5%</w:t>
            </w:r>
          </w:p>
        </w:tc>
        <w:tc>
          <w:tcPr>
            <w:tcW w:w="1200" w:type="dxa"/>
            <w:tcBorders>
              <w:top w:val="nil"/>
              <w:left w:val="nil"/>
              <w:bottom w:val="single" w:sz="8" w:space="0" w:color="auto"/>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-9,1%</w:t>
            </w:r>
          </w:p>
        </w:tc>
        <w:tc>
          <w:tcPr>
            <w:tcW w:w="1360" w:type="dxa"/>
            <w:tcBorders>
              <w:top w:val="nil"/>
              <w:left w:val="nil"/>
              <w:bottom w:val="single" w:sz="8" w:space="0" w:color="auto"/>
              <w:right w:val="nil"/>
            </w:tcBorders>
            <w:shd w:val="clear" w:color="auto" w:fill="auto"/>
            <w:vAlign w:val="center"/>
            <w:hideMark/>
          </w:tcPr>
          <w:p w:rsidR="00B0504A" w:rsidRPr="00617833" w:rsidRDefault="00B0504A">
            <w:pPr>
              <w:jc w:val="right"/>
              <w:rPr>
                <w:rFonts w:ascii="Verdana" w:hAnsi="Verdana" w:cs="Calibri"/>
                <w:color w:val="000000"/>
                <w:sz w:val="20"/>
                <w:szCs w:val="20"/>
              </w:rPr>
            </w:pPr>
            <w:r w:rsidRPr="00617833">
              <w:rPr>
                <w:rFonts w:ascii="Verdana" w:hAnsi="Verdana" w:cs="Calibri"/>
                <w:color w:val="000000"/>
                <w:sz w:val="20"/>
                <w:szCs w:val="20"/>
              </w:rPr>
              <w:t>-5,4%</w:t>
            </w:r>
          </w:p>
        </w:tc>
      </w:tr>
    </w:tbl>
    <w:p w:rsidR="004A6CB9" w:rsidRPr="00617833" w:rsidRDefault="004A6CB9" w:rsidP="00426F57">
      <w:pPr>
        <w:pStyle w:val="Textoindependiente"/>
        <w:spacing w:before="120" w:after="120"/>
        <w:ind w:firstLine="357"/>
        <w:rPr>
          <w:rFonts w:ascii="Verdana" w:hAnsi="Verdana"/>
          <w:sz w:val="20"/>
        </w:rPr>
      </w:pPr>
    </w:p>
    <w:p w:rsidR="004A6CB9" w:rsidRPr="00617833" w:rsidRDefault="004A6CB9" w:rsidP="00426F57">
      <w:pPr>
        <w:pStyle w:val="Textoindependiente"/>
        <w:spacing w:before="120" w:after="120"/>
        <w:ind w:firstLine="357"/>
        <w:rPr>
          <w:rFonts w:ascii="Verdana" w:hAnsi="Verdana"/>
          <w:sz w:val="20"/>
        </w:rPr>
      </w:pPr>
    </w:p>
    <w:p w:rsidR="00883E44" w:rsidRPr="00617833" w:rsidRDefault="00883E44" w:rsidP="00883E44">
      <w:pPr>
        <w:pStyle w:val="Textoindependiente"/>
        <w:spacing w:before="120" w:after="120"/>
        <w:ind w:firstLine="357"/>
        <w:rPr>
          <w:rFonts w:ascii="Verdana" w:hAnsi="Verdana"/>
          <w:sz w:val="20"/>
        </w:rPr>
      </w:pPr>
      <w:r w:rsidRPr="00617833">
        <w:rPr>
          <w:rFonts w:ascii="Verdana" w:hAnsi="Verdana"/>
          <w:sz w:val="20"/>
        </w:rPr>
        <w:t xml:space="preserve">En las audiencias provinciales el ingreso de asuntos, sobre todo recursos de apelación, ha sido ligeramente superior al de 2016, como consecuencia de la publicación en el BOE el 15 de agosto de 2016 de la sentencia del Pleno del Tribunal Constitucional de 21 de julio de 2016 que declaró nulas las tasas en la jurisdicción </w:t>
      </w:r>
      <w:r w:rsidRPr="00617833">
        <w:rPr>
          <w:rFonts w:ascii="Verdana" w:hAnsi="Verdana"/>
          <w:sz w:val="20"/>
        </w:rPr>
        <w:lastRenderedPageBreak/>
        <w:t>civil para la interposición de los recursos de apelación, casación y extraordinario por infracción procesal.</w:t>
      </w:r>
    </w:p>
    <w:p w:rsidR="00883E44" w:rsidRPr="00617833" w:rsidRDefault="00883E44" w:rsidP="00426F57">
      <w:pPr>
        <w:pStyle w:val="Textoindependiente"/>
        <w:spacing w:before="120" w:after="120"/>
        <w:ind w:firstLine="357"/>
        <w:rPr>
          <w:rFonts w:ascii="Verdana" w:hAnsi="Verdana"/>
          <w:sz w:val="20"/>
        </w:rPr>
      </w:pPr>
    </w:p>
    <w:p w:rsidR="00821B3B" w:rsidRPr="00617833" w:rsidRDefault="00821B3B" w:rsidP="00426F57">
      <w:pPr>
        <w:pStyle w:val="Textoindependiente"/>
        <w:spacing w:before="120" w:after="120"/>
        <w:ind w:firstLine="357"/>
        <w:rPr>
          <w:rFonts w:ascii="Verdana" w:hAnsi="Verdana"/>
          <w:sz w:val="20"/>
        </w:rPr>
      </w:pPr>
      <w:r w:rsidRPr="00617833">
        <w:rPr>
          <w:rFonts w:ascii="Verdana" w:hAnsi="Verdana"/>
          <w:sz w:val="20"/>
        </w:rPr>
        <w:t>El elevado incremento en los juzgados de lo mercantil se debe al incremento de los asuntos no concursales, y muy especialmente a las acciones ejercitadas en materia de transportes</w:t>
      </w:r>
      <w:r w:rsidR="000C4DD7" w:rsidRPr="00617833">
        <w:rPr>
          <w:rFonts w:ascii="Verdana" w:hAnsi="Verdana"/>
          <w:sz w:val="20"/>
        </w:rPr>
        <w:t xml:space="preserve"> (</w:t>
      </w:r>
      <w:r w:rsidR="004A6CB9" w:rsidRPr="00617833">
        <w:rPr>
          <w:rFonts w:ascii="Verdana" w:hAnsi="Verdana"/>
          <w:sz w:val="20"/>
        </w:rPr>
        <w:t xml:space="preserve">que han sido, en su mayoría, </w:t>
      </w:r>
      <w:r w:rsidR="000C4DD7" w:rsidRPr="00617833">
        <w:rPr>
          <w:rFonts w:ascii="Verdana" w:hAnsi="Verdana"/>
          <w:sz w:val="20"/>
        </w:rPr>
        <w:t>reclamaciones de usuarios contra compañías aéreas)</w:t>
      </w:r>
      <w:r w:rsidRPr="00617833">
        <w:rPr>
          <w:rFonts w:ascii="Verdana" w:hAnsi="Verdana"/>
          <w:sz w:val="20"/>
        </w:rPr>
        <w:t xml:space="preserve"> que han pasado de 17</w:t>
      </w:r>
      <w:r w:rsidR="00B45E02" w:rsidRPr="00617833">
        <w:rPr>
          <w:rFonts w:ascii="Verdana" w:hAnsi="Verdana"/>
          <w:sz w:val="20"/>
        </w:rPr>
        <w:t>.</w:t>
      </w:r>
      <w:r w:rsidRPr="00617833">
        <w:rPr>
          <w:rFonts w:ascii="Verdana" w:hAnsi="Verdana"/>
          <w:sz w:val="20"/>
        </w:rPr>
        <w:t>957 en 2016 a 26</w:t>
      </w:r>
      <w:r w:rsidR="00B45E02" w:rsidRPr="00617833">
        <w:rPr>
          <w:rFonts w:ascii="Verdana" w:hAnsi="Verdana"/>
          <w:sz w:val="20"/>
        </w:rPr>
        <w:t>.</w:t>
      </w:r>
      <w:r w:rsidRPr="00617833">
        <w:rPr>
          <w:rFonts w:ascii="Verdana" w:hAnsi="Verdana"/>
          <w:sz w:val="20"/>
        </w:rPr>
        <w:t>986</w:t>
      </w:r>
      <w:r w:rsidR="00D86EDD" w:rsidRPr="00617833">
        <w:rPr>
          <w:rFonts w:ascii="Verdana" w:hAnsi="Verdana"/>
          <w:sz w:val="20"/>
        </w:rPr>
        <w:t xml:space="preserve"> en 2017, lo que supone un incremento del 50,3%</w:t>
      </w:r>
      <w:r w:rsidR="000C4DD7" w:rsidRPr="00617833">
        <w:rPr>
          <w:rFonts w:ascii="Verdana" w:hAnsi="Verdana"/>
          <w:sz w:val="20"/>
        </w:rPr>
        <w:t>.</w:t>
      </w:r>
    </w:p>
    <w:p w:rsidR="0096246C" w:rsidRPr="00617833" w:rsidRDefault="004A6CB9" w:rsidP="009D348B">
      <w:pPr>
        <w:pStyle w:val="Textoindependiente"/>
        <w:spacing w:before="120" w:after="120"/>
        <w:ind w:firstLine="357"/>
        <w:rPr>
          <w:rFonts w:ascii="Verdana" w:hAnsi="Verdana"/>
          <w:sz w:val="20"/>
        </w:rPr>
      </w:pPr>
      <w:r w:rsidRPr="00617833">
        <w:rPr>
          <w:rFonts w:ascii="Verdana" w:hAnsi="Verdana"/>
          <w:color w:val="0070C0"/>
          <w:sz w:val="20"/>
        </w:rPr>
        <w:t>.</w:t>
      </w:r>
    </w:p>
    <w:p w:rsidR="0086079E" w:rsidRPr="00617833" w:rsidRDefault="000C3360" w:rsidP="002E01A2">
      <w:pPr>
        <w:pStyle w:val="Textoindependiente"/>
        <w:spacing w:before="120" w:after="120"/>
        <w:ind w:firstLine="357"/>
        <w:rPr>
          <w:rFonts w:ascii="Verdana" w:hAnsi="Verdana"/>
          <w:color w:val="0070C0"/>
          <w:sz w:val="20"/>
        </w:rPr>
      </w:pPr>
      <w:r w:rsidRPr="00617833">
        <w:rPr>
          <w:rFonts w:ascii="Verdana" w:hAnsi="Verdana"/>
          <w:sz w:val="20"/>
        </w:rPr>
        <w:t>E</w:t>
      </w:r>
      <w:r w:rsidR="0023252F" w:rsidRPr="00617833">
        <w:rPr>
          <w:rFonts w:ascii="Verdana" w:hAnsi="Verdana"/>
          <w:sz w:val="20"/>
        </w:rPr>
        <w:t>n 201</w:t>
      </w:r>
      <w:r w:rsidR="004D249A" w:rsidRPr="00617833">
        <w:rPr>
          <w:rFonts w:ascii="Verdana" w:hAnsi="Verdana"/>
          <w:sz w:val="20"/>
        </w:rPr>
        <w:t>7</w:t>
      </w:r>
      <w:r w:rsidR="0023252F" w:rsidRPr="00617833">
        <w:rPr>
          <w:rFonts w:ascii="Verdana" w:hAnsi="Verdana"/>
          <w:sz w:val="20"/>
        </w:rPr>
        <w:t xml:space="preserve"> e</w:t>
      </w:r>
      <w:r w:rsidRPr="00617833">
        <w:rPr>
          <w:rFonts w:ascii="Verdana" w:hAnsi="Verdana"/>
          <w:sz w:val="20"/>
        </w:rPr>
        <w:t xml:space="preserve">l número de </w:t>
      </w:r>
      <w:r w:rsidRPr="00617833">
        <w:rPr>
          <w:rFonts w:ascii="Verdana" w:hAnsi="Verdana"/>
          <w:b/>
          <w:sz w:val="20"/>
        </w:rPr>
        <w:t>procedimientos monitorios</w:t>
      </w:r>
      <w:r w:rsidRPr="00617833">
        <w:rPr>
          <w:rFonts w:ascii="Verdana" w:hAnsi="Verdana"/>
          <w:sz w:val="20"/>
        </w:rPr>
        <w:t xml:space="preserve"> presentados en los </w:t>
      </w:r>
      <w:r w:rsidR="00EA6C21" w:rsidRPr="00617833">
        <w:rPr>
          <w:rFonts w:ascii="Verdana" w:hAnsi="Verdana"/>
          <w:sz w:val="20"/>
        </w:rPr>
        <w:t>j</w:t>
      </w:r>
      <w:r w:rsidRPr="00617833">
        <w:rPr>
          <w:rFonts w:ascii="Verdana" w:hAnsi="Verdana"/>
          <w:sz w:val="20"/>
        </w:rPr>
        <w:t xml:space="preserve">uzgados de </w:t>
      </w:r>
      <w:r w:rsidR="00EA6C21" w:rsidRPr="00617833">
        <w:rPr>
          <w:rFonts w:ascii="Verdana" w:hAnsi="Verdana"/>
          <w:sz w:val="20"/>
        </w:rPr>
        <w:t>primera i</w:t>
      </w:r>
      <w:r w:rsidRPr="00617833">
        <w:rPr>
          <w:rFonts w:ascii="Verdana" w:hAnsi="Verdana"/>
          <w:sz w:val="20"/>
        </w:rPr>
        <w:t>nstancia</w:t>
      </w:r>
      <w:r w:rsidR="009137BB" w:rsidRPr="00617833">
        <w:rPr>
          <w:rFonts w:ascii="Verdana" w:hAnsi="Verdana"/>
          <w:sz w:val="20"/>
        </w:rPr>
        <w:t xml:space="preserve"> y </w:t>
      </w:r>
      <w:r w:rsidR="00EA6C21" w:rsidRPr="00617833">
        <w:rPr>
          <w:rFonts w:ascii="Verdana" w:hAnsi="Verdana"/>
          <w:sz w:val="20"/>
        </w:rPr>
        <w:t>p</w:t>
      </w:r>
      <w:r w:rsidR="009137BB" w:rsidRPr="00617833">
        <w:rPr>
          <w:rFonts w:ascii="Verdana" w:hAnsi="Verdana"/>
          <w:sz w:val="20"/>
        </w:rPr>
        <w:t xml:space="preserve">rimera </w:t>
      </w:r>
      <w:r w:rsidR="00EA6C21" w:rsidRPr="00617833">
        <w:rPr>
          <w:rFonts w:ascii="Verdana" w:hAnsi="Verdana"/>
          <w:sz w:val="20"/>
        </w:rPr>
        <w:t>i</w:t>
      </w:r>
      <w:r w:rsidR="009137BB" w:rsidRPr="00617833">
        <w:rPr>
          <w:rFonts w:ascii="Verdana" w:hAnsi="Verdana"/>
          <w:sz w:val="20"/>
        </w:rPr>
        <w:t xml:space="preserve">nstancia e </w:t>
      </w:r>
      <w:r w:rsidR="00EA6C21" w:rsidRPr="00617833">
        <w:rPr>
          <w:rFonts w:ascii="Verdana" w:hAnsi="Verdana"/>
          <w:sz w:val="20"/>
        </w:rPr>
        <w:t>i</w:t>
      </w:r>
      <w:r w:rsidR="009137BB" w:rsidRPr="00617833">
        <w:rPr>
          <w:rFonts w:ascii="Verdana" w:hAnsi="Verdana"/>
          <w:sz w:val="20"/>
        </w:rPr>
        <w:t>nstrucción</w:t>
      </w:r>
      <w:r w:rsidR="0023252F" w:rsidRPr="00617833">
        <w:rPr>
          <w:rFonts w:ascii="Verdana" w:hAnsi="Verdana"/>
          <w:sz w:val="20"/>
        </w:rPr>
        <w:t xml:space="preserve"> ha </w:t>
      </w:r>
      <w:r w:rsidR="006718BA" w:rsidRPr="00617833">
        <w:rPr>
          <w:rFonts w:ascii="Verdana" w:hAnsi="Verdana"/>
          <w:sz w:val="20"/>
        </w:rPr>
        <w:t>mostrado</w:t>
      </w:r>
      <w:r w:rsidR="0023252F" w:rsidRPr="00617833">
        <w:rPr>
          <w:rFonts w:ascii="Verdana" w:hAnsi="Verdana"/>
          <w:sz w:val="20"/>
        </w:rPr>
        <w:t xml:space="preserve"> una reducción del </w:t>
      </w:r>
      <w:r w:rsidR="004D249A" w:rsidRPr="00617833">
        <w:rPr>
          <w:rFonts w:ascii="Verdana" w:hAnsi="Verdana"/>
          <w:sz w:val="20"/>
        </w:rPr>
        <w:t>5,8</w:t>
      </w:r>
      <w:r w:rsidR="0023252F" w:rsidRPr="00617833">
        <w:rPr>
          <w:rFonts w:ascii="Verdana" w:hAnsi="Verdana"/>
          <w:sz w:val="20"/>
        </w:rPr>
        <w:t>% respecto</w:t>
      </w:r>
      <w:r w:rsidR="00D74281" w:rsidRPr="00617833">
        <w:rPr>
          <w:rFonts w:ascii="Verdana" w:hAnsi="Verdana"/>
          <w:sz w:val="20"/>
        </w:rPr>
        <w:t xml:space="preserve"> </w:t>
      </w:r>
      <w:r w:rsidR="0023252F" w:rsidRPr="00617833">
        <w:rPr>
          <w:rFonts w:ascii="Verdana" w:hAnsi="Verdana"/>
          <w:sz w:val="20"/>
        </w:rPr>
        <w:t>a  los ingresados en 201</w:t>
      </w:r>
      <w:r w:rsidR="004D249A" w:rsidRPr="00617833">
        <w:rPr>
          <w:rFonts w:ascii="Verdana" w:hAnsi="Verdana"/>
          <w:sz w:val="20"/>
        </w:rPr>
        <w:t>6</w:t>
      </w:r>
      <w:r w:rsidR="0023252F" w:rsidRPr="00617833">
        <w:rPr>
          <w:rFonts w:ascii="Verdana" w:hAnsi="Verdana"/>
          <w:sz w:val="20"/>
        </w:rPr>
        <w:t>. S</w:t>
      </w:r>
      <w:r w:rsidR="004D249A" w:rsidRPr="00617833">
        <w:rPr>
          <w:rFonts w:ascii="Verdana" w:hAnsi="Verdana"/>
          <w:sz w:val="20"/>
        </w:rPr>
        <w:t>alvo en Aragón, Cataluña, Extremadura  y, en mucha menor medida, Madrid, que han mostrado incrementos interanuales, en todos los demás tribunales superiores de justicia se han observado disminuciones, siendo la más destacada la de  la C. Valenciana, 18,8%.</w:t>
      </w:r>
      <w:r w:rsidR="002E01A2" w:rsidRPr="00617833">
        <w:rPr>
          <w:rFonts w:ascii="Verdana" w:hAnsi="Verdana"/>
          <w:sz w:val="20"/>
        </w:rPr>
        <w:t xml:space="preserve">  A pesar de la reducción de su número, los monitorios siguen rep</w:t>
      </w:r>
      <w:r w:rsidR="0086079E" w:rsidRPr="00617833">
        <w:rPr>
          <w:rFonts w:ascii="Verdana" w:hAnsi="Verdana"/>
          <w:sz w:val="20"/>
        </w:rPr>
        <w:t>resentando el 37,9</w:t>
      </w:r>
      <w:r w:rsidR="002E01A2" w:rsidRPr="00617833">
        <w:rPr>
          <w:rFonts w:ascii="Verdana" w:hAnsi="Verdana"/>
          <w:sz w:val="20"/>
        </w:rPr>
        <w:t xml:space="preserve">% del total de procesos contenciosos ingresados en los juzgados de primera instancia y primera instancia e instrucción, </w:t>
      </w:r>
      <w:r w:rsidR="0086079E" w:rsidRPr="00617833">
        <w:rPr>
          <w:rFonts w:ascii="Verdana" w:hAnsi="Verdana"/>
          <w:sz w:val="20"/>
        </w:rPr>
        <w:t>superándose el 40% en Andalucía, C. Valenciana, Madrid y Murcia.</w:t>
      </w:r>
      <w:r w:rsidR="00A421B3" w:rsidRPr="00617833">
        <w:rPr>
          <w:rFonts w:ascii="Verdana" w:hAnsi="Verdana"/>
          <w:sz w:val="20"/>
        </w:rPr>
        <w:t xml:space="preserve"> Esta tendencia decreciente se viene produciendo desde 2015, siendo el dato de este año el más bajo desde 2007.</w:t>
      </w:r>
    </w:p>
    <w:p w:rsidR="004D249A" w:rsidRPr="00617833" w:rsidRDefault="004D249A" w:rsidP="005D4A94">
      <w:pPr>
        <w:pStyle w:val="Textoindependiente"/>
        <w:spacing w:before="120" w:after="120"/>
        <w:ind w:firstLine="357"/>
        <w:rPr>
          <w:rFonts w:ascii="Verdana" w:hAnsi="Verdana"/>
          <w:sz w:val="20"/>
        </w:rPr>
      </w:pPr>
    </w:p>
    <w:p w:rsidR="00F9319D" w:rsidRPr="00617833" w:rsidRDefault="0083320F" w:rsidP="006962F1">
      <w:pPr>
        <w:pStyle w:val="Textoindependiente"/>
        <w:spacing w:before="120" w:after="120"/>
        <w:ind w:firstLine="357"/>
        <w:rPr>
          <w:rFonts w:ascii="Verdana" w:hAnsi="Verdana"/>
          <w:sz w:val="20"/>
        </w:rPr>
      </w:pPr>
      <w:r w:rsidRPr="00617833">
        <w:rPr>
          <w:rFonts w:ascii="Verdana" w:hAnsi="Verdana"/>
          <w:sz w:val="20"/>
        </w:rPr>
        <w:t xml:space="preserve">El número de monitorios europeos ingresados ha disminuido </w:t>
      </w:r>
      <w:r w:rsidR="004D249A" w:rsidRPr="00617833">
        <w:rPr>
          <w:rFonts w:ascii="Verdana" w:hAnsi="Verdana"/>
          <w:sz w:val="20"/>
        </w:rPr>
        <w:t xml:space="preserve">en 2017 </w:t>
      </w:r>
      <w:r w:rsidRPr="00617833">
        <w:rPr>
          <w:rFonts w:ascii="Verdana" w:hAnsi="Verdana"/>
          <w:sz w:val="20"/>
        </w:rPr>
        <w:t xml:space="preserve">un </w:t>
      </w:r>
      <w:r w:rsidR="004D249A" w:rsidRPr="00617833">
        <w:rPr>
          <w:rFonts w:ascii="Verdana" w:hAnsi="Verdana"/>
          <w:sz w:val="20"/>
        </w:rPr>
        <w:t>9</w:t>
      </w:r>
      <w:r w:rsidRPr="00617833">
        <w:rPr>
          <w:rFonts w:ascii="Verdana" w:hAnsi="Verdana"/>
          <w:sz w:val="20"/>
        </w:rPr>
        <w:t>,</w:t>
      </w:r>
      <w:r w:rsidR="004D249A" w:rsidRPr="00617833">
        <w:rPr>
          <w:rFonts w:ascii="Verdana" w:hAnsi="Verdana"/>
          <w:sz w:val="20"/>
        </w:rPr>
        <w:t>3%</w:t>
      </w:r>
      <w:r w:rsidRPr="00617833">
        <w:rPr>
          <w:rFonts w:ascii="Verdana" w:hAnsi="Verdana"/>
          <w:sz w:val="20"/>
        </w:rPr>
        <w:t xml:space="preserve">, dándose el mayor número de ingresos en </w:t>
      </w:r>
      <w:r w:rsidR="004D249A" w:rsidRPr="00617833">
        <w:rPr>
          <w:rFonts w:ascii="Verdana" w:hAnsi="Verdana"/>
          <w:sz w:val="20"/>
        </w:rPr>
        <w:t xml:space="preserve">Madrid, 140; </w:t>
      </w:r>
      <w:r w:rsidRPr="00617833">
        <w:rPr>
          <w:rFonts w:ascii="Verdana" w:hAnsi="Verdana"/>
          <w:sz w:val="20"/>
        </w:rPr>
        <w:t xml:space="preserve">Cataluña, </w:t>
      </w:r>
      <w:r w:rsidR="004D249A" w:rsidRPr="00617833">
        <w:rPr>
          <w:rFonts w:ascii="Verdana" w:hAnsi="Verdana"/>
          <w:sz w:val="20"/>
        </w:rPr>
        <w:t xml:space="preserve">128, </w:t>
      </w:r>
      <w:r w:rsidRPr="00617833">
        <w:rPr>
          <w:rFonts w:ascii="Verdana" w:hAnsi="Verdana"/>
          <w:sz w:val="20"/>
        </w:rPr>
        <w:t>y la C. Valenciana, 11</w:t>
      </w:r>
      <w:r w:rsidR="004D249A" w:rsidRPr="00617833">
        <w:rPr>
          <w:rFonts w:ascii="Verdana" w:hAnsi="Verdana"/>
          <w:sz w:val="20"/>
        </w:rPr>
        <w:t>9</w:t>
      </w:r>
      <w:r w:rsidRPr="00617833">
        <w:rPr>
          <w:rFonts w:ascii="Verdana" w:hAnsi="Verdana"/>
          <w:sz w:val="20"/>
        </w:rPr>
        <w:t>.</w:t>
      </w:r>
    </w:p>
    <w:p w:rsidR="0016037A" w:rsidRPr="00617833" w:rsidRDefault="0016037A" w:rsidP="006962F1">
      <w:pPr>
        <w:pStyle w:val="Textoindependiente"/>
        <w:spacing w:before="120" w:after="120"/>
        <w:ind w:firstLine="357"/>
        <w:rPr>
          <w:rFonts w:ascii="Verdana" w:hAnsi="Verdana"/>
          <w:sz w:val="20"/>
        </w:rPr>
      </w:pPr>
    </w:p>
    <w:tbl>
      <w:tblPr>
        <w:tblW w:w="6960" w:type="dxa"/>
        <w:jc w:val="center"/>
        <w:tblInd w:w="55" w:type="dxa"/>
        <w:tblCellMar>
          <w:left w:w="70" w:type="dxa"/>
          <w:right w:w="70" w:type="dxa"/>
        </w:tblCellMar>
        <w:tblLook w:val="04A0" w:firstRow="1" w:lastRow="0" w:firstColumn="1" w:lastColumn="0" w:noHBand="0" w:noVBand="1"/>
      </w:tblPr>
      <w:tblGrid>
        <w:gridCol w:w="2447"/>
        <w:gridCol w:w="1449"/>
        <w:gridCol w:w="1590"/>
        <w:gridCol w:w="1474"/>
      </w:tblGrid>
      <w:tr w:rsidR="0017013A" w:rsidRPr="00617833" w:rsidTr="0017013A">
        <w:trPr>
          <w:trHeight w:val="1275"/>
          <w:jc w:val="center"/>
        </w:trPr>
        <w:tc>
          <w:tcPr>
            <w:tcW w:w="2520" w:type="dxa"/>
            <w:tcBorders>
              <w:top w:val="nil"/>
              <w:left w:val="nil"/>
              <w:bottom w:val="nil"/>
              <w:right w:val="nil"/>
            </w:tcBorders>
            <w:shd w:val="clear" w:color="auto" w:fill="auto"/>
            <w:vAlign w:val="center"/>
            <w:hideMark/>
          </w:tcPr>
          <w:p w:rsidR="0017013A" w:rsidRPr="00617833" w:rsidRDefault="0017013A">
            <w:pPr>
              <w:rPr>
                <w:color w:val="000000"/>
                <w:sz w:val="20"/>
                <w:szCs w:val="20"/>
              </w:rPr>
            </w:pPr>
          </w:p>
        </w:tc>
        <w:tc>
          <w:tcPr>
            <w:tcW w:w="138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jc w:val="center"/>
              <w:rPr>
                <w:rFonts w:ascii="Verdana" w:hAnsi="Verdana" w:cs="Calibri"/>
                <w:b/>
                <w:bCs/>
                <w:color w:val="000080"/>
                <w:sz w:val="22"/>
                <w:szCs w:val="22"/>
              </w:rPr>
            </w:pPr>
            <w:r w:rsidRPr="00617833">
              <w:rPr>
                <w:rFonts w:ascii="Verdana" w:hAnsi="Verdana" w:cs="Calibri"/>
                <w:b/>
                <w:bCs/>
                <w:color w:val="000080"/>
                <w:sz w:val="22"/>
                <w:szCs w:val="22"/>
              </w:rPr>
              <w:t>Monitorios europeos</w:t>
            </w:r>
          </w:p>
        </w:tc>
        <w:tc>
          <w:tcPr>
            <w:tcW w:w="160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jc w:val="center"/>
              <w:rPr>
                <w:rFonts w:ascii="Verdana" w:hAnsi="Verdana" w:cs="Calibri"/>
                <w:b/>
                <w:bCs/>
                <w:color w:val="000080"/>
                <w:sz w:val="22"/>
                <w:szCs w:val="22"/>
              </w:rPr>
            </w:pPr>
            <w:r w:rsidRPr="00617833">
              <w:rPr>
                <w:rFonts w:ascii="Verdana" w:hAnsi="Verdana" w:cs="Calibri"/>
                <w:b/>
                <w:bCs/>
                <w:color w:val="000080"/>
                <w:sz w:val="22"/>
                <w:szCs w:val="22"/>
              </w:rPr>
              <w:t>Resto monitorios</w:t>
            </w:r>
          </w:p>
        </w:tc>
        <w:tc>
          <w:tcPr>
            <w:tcW w:w="1460" w:type="dxa"/>
            <w:tcBorders>
              <w:top w:val="single" w:sz="8" w:space="0" w:color="000080"/>
              <w:left w:val="nil"/>
              <w:bottom w:val="single" w:sz="8" w:space="0" w:color="000080"/>
              <w:right w:val="nil"/>
            </w:tcBorders>
            <w:shd w:val="clear" w:color="auto" w:fill="auto"/>
            <w:vAlign w:val="center"/>
            <w:hideMark/>
          </w:tcPr>
          <w:p w:rsidR="0017013A" w:rsidRPr="00617833" w:rsidRDefault="009B3A7B">
            <w:pPr>
              <w:jc w:val="center"/>
              <w:rPr>
                <w:rFonts w:ascii="Verdana" w:hAnsi="Verdana" w:cs="Calibri"/>
                <w:b/>
                <w:bCs/>
                <w:color w:val="000080"/>
                <w:sz w:val="22"/>
                <w:szCs w:val="22"/>
              </w:rPr>
            </w:pPr>
            <w:r w:rsidRPr="00617833">
              <w:rPr>
                <w:rFonts w:ascii="Verdana" w:hAnsi="Verdana" w:cs="Calibri"/>
                <w:b/>
                <w:bCs/>
                <w:color w:val="000080"/>
                <w:sz w:val="22"/>
                <w:szCs w:val="22"/>
              </w:rPr>
              <w:t>Evolución</w:t>
            </w:r>
            <w:r w:rsidR="0017013A" w:rsidRPr="00617833">
              <w:rPr>
                <w:rFonts w:ascii="Verdana" w:hAnsi="Verdana" w:cs="Calibri"/>
                <w:b/>
                <w:bCs/>
                <w:color w:val="000080"/>
                <w:sz w:val="22"/>
                <w:szCs w:val="22"/>
              </w:rPr>
              <w:t xml:space="preserve"> del total de monitorios</w:t>
            </w:r>
          </w:p>
        </w:tc>
      </w:tr>
      <w:tr w:rsidR="0017013A" w:rsidRPr="00617833" w:rsidTr="0017013A">
        <w:trPr>
          <w:trHeight w:val="300"/>
          <w:jc w:val="center"/>
        </w:trPr>
        <w:tc>
          <w:tcPr>
            <w:tcW w:w="2520" w:type="dxa"/>
            <w:tcBorders>
              <w:top w:val="single" w:sz="8" w:space="0" w:color="000080"/>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Andalucía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60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102.495</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-3,3%</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Aragón</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13</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13.520</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6,8%</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Asturias</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8</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11.853</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-0,4%</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Illes Balears</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38</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13.732</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-9,0%</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Canarias</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27.405</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-7,3%</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Cantabria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7</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7.287</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-8,8%</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Castilla y León</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13</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23.431</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-15,3%</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Castilla-La Mancha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12</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19.604</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-9,6%</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Cataluña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128</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72.300</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2,1%</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C.  Valenciana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119</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58.071</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-18,8%</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Extremadura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7</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10.344</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2,9%</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Galicia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26</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27.600</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-6,8%</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Madrid</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140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78.394</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0,3%</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Murcia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17.661</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-13,9%</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Navarra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4</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4.261</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-14,9%</w:t>
            </w:r>
          </w:p>
        </w:tc>
      </w:tr>
      <w:tr w:rsidR="0017013A" w:rsidRPr="00617833" w:rsidTr="0017013A">
        <w:trPr>
          <w:trHeight w:val="300"/>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País Vasco</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14.501</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-4,0%</w:t>
            </w:r>
          </w:p>
        </w:tc>
      </w:tr>
      <w:tr w:rsidR="0017013A" w:rsidRPr="00617833" w:rsidTr="0017013A">
        <w:trPr>
          <w:trHeight w:val="315"/>
          <w:jc w:val="center"/>
        </w:trPr>
        <w:tc>
          <w:tcPr>
            <w:tcW w:w="2520" w:type="dxa"/>
            <w:tcBorders>
              <w:top w:val="nil"/>
              <w:left w:val="nil"/>
              <w:bottom w:val="nil"/>
              <w:right w:val="nil"/>
            </w:tcBorders>
            <w:shd w:val="clear" w:color="auto" w:fill="auto"/>
            <w:vAlign w:val="center"/>
            <w:hideMark/>
          </w:tcPr>
          <w:p w:rsidR="0017013A" w:rsidRPr="00617833" w:rsidRDefault="0017013A">
            <w:pPr>
              <w:rPr>
                <w:rFonts w:ascii="Verdana" w:hAnsi="Verdana" w:cs="Calibri"/>
                <w:color w:val="000000"/>
                <w:sz w:val="22"/>
                <w:szCs w:val="22"/>
              </w:rPr>
            </w:pPr>
            <w:r w:rsidRPr="00617833">
              <w:rPr>
                <w:rFonts w:ascii="Verdana" w:hAnsi="Verdana" w:cs="Calibri"/>
                <w:color w:val="000000"/>
                <w:sz w:val="22"/>
                <w:szCs w:val="22"/>
              </w:rPr>
              <w:t> La Rioja</w:t>
            </w:r>
          </w:p>
        </w:tc>
        <w:tc>
          <w:tcPr>
            <w:tcW w:w="138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20</w:t>
            </w:r>
          </w:p>
        </w:tc>
        <w:tc>
          <w:tcPr>
            <w:tcW w:w="160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color w:val="000000"/>
                <w:sz w:val="20"/>
                <w:szCs w:val="20"/>
              </w:rPr>
            </w:pPr>
            <w:r w:rsidRPr="00617833">
              <w:rPr>
                <w:rFonts w:ascii="Verdana" w:hAnsi="Verdana" w:cs="Calibri"/>
                <w:color w:val="000000"/>
                <w:sz w:val="20"/>
                <w:szCs w:val="20"/>
              </w:rPr>
              <w:t>2.962</w:t>
            </w:r>
          </w:p>
        </w:tc>
        <w:tc>
          <w:tcPr>
            <w:tcW w:w="1460" w:type="dxa"/>
            <w:tcBorders>
              <w:top w:val="nil"/>
              <w:left w:val="nil"/>
              <w:bottom w:val="nil"/>
              <w:right w:val="nil"/>
            </w:tcBorders>
            <w:shd w:val="clear" w:color="auto" w:fill="auto"/>
            <w:vAlign w:val="center"/>
            <w:hideMark/>
          </w:tcPr>
          <w:p w:rsidR="0017013A" w:rsidRPr="00617833" w:rsidRDefault="0017013A">
            <w:pPr>
              <w:jc w:val="right"/>
              <w:rPr>
                <w:rFonts w:ascii="Verdana" w:hAnsi="Verdana" w:cs="Calibri"/>
                <w:sz w:val="20"/>
                <w:szCs w:val="20"/>
              </w:rPr>
            </w:pPr>
            <w:r w:rsidRPr="00617833">
              <w:rPr>
                <w:rFonts w:ascii="Verdana" w:hAnsi="Verdana" w:cs="Calibri"/>
                <w:sz w:val="20"/>
                <w:szCs w:val="20"/>
              </w:rPr>
              <w:t>-4,5%</w:t>
            </w:r>
          </w:p>
        </w:tc>
      </w:tr>
      <w:tr w:rsidR="0017013A" w:rsidRPr="00617833" w:rsidTr="0017013A">
        <w:trPr>
          <w:trHeight w:val="315"/>
          <w:jc w:val="center"/>
        </w:trPr>
        <w:tc>
          <w:tcPr>
            <w:tcW w:w="252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rPr>
                <w:rFonts w:ascii="Verdana" w:hAnsi="Verdana" w:cs="Calibri"/>
                <w:b/>
                <w:bCs/>
                <w:color w:val="000080"/>
                <w:sz w:val="22"/>
                <w:szCs w:val="22"/>
              </w:rPr>
            </w:pPr>
            <w:r w:rsidRPr="00617833">
              <w:rPr>
                <w:rFonts w:ascii="Verdana" w:hAnsi="Verdana" w:cs="Calibri"/>
                <w:b/>
                <w:bCs/>
                <w:color w:val="000080"/>
                <w:sz w:val="22"/>
                <w:szCs w:val="22"/>
              </w:rPr>
              <w:t>Total</w:t>
            </w:r>
          </w:p>
        </w:tc>
        <w:tc>
          <w:tcPr>
            <w:tcW w:w="138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jc w:val="right"/>
              <w:rPr>
                <w:rFonts w:ascii="Verdana" w:hAnsi="Verdana" w:cs="Calibri"/>
                <w:b/>
                <w:bCs/>
                <w:color w:val="000000"/>
                <w:sz w:val="20"/>
                <w:szCs w:val="20"/>
              </w:rPr>
            </w:pPr>
            <w:r w:rsidRPr="00617833">
              <w:rPr>
                <w:rFonts w:ascii="Verdana" w:hAnsi="Verdana" w:cs="Calibri"/>
                <w:b/>
                <w:bCs/>
                <w:color w:val="000000"/>
                <w:sz w:val="20"/>
                <w:szCs w:val="20"/>
              </w:rPr>
              <w:t>655</w:t>
            </w:r>
          </w:p>
        </w:tc>
        <w:tc>
          <w:tcPr>
            <w:tcW w:w="160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jc w:val="right"/>
              <w:rPr>
                <w:rFonts w:ascii="Verdana" w:hAnsi="Verdana" w:cs="Calibri"/>
                <w:b/>
                <w:bCs/>
                <w:color w:val="000000"/>
                <w:sz w:val="20"/>
                <w:szCs w:val="20"/>
              </w:rPr>
            </w:pPr>
            <w:r w:rsidRPr="00617833">
              <w:rPr>
                <w:rFonts w:ascii="Verdana" w:hAnsi="Verdana" w:cs="Calibri"/>
                <w:b/>
                <w:bCs/>
                <w:color w:val="000000"/>
                <w:sz w:val="20"/>
                <w:szCs w:val="20"/>
              </w:rPr>
              <w:t>505.421</w:t>
            </w:r>
          </w:p>
        </w:tc>
        <w:tc>
          <w:tcPr>
            <w:tcW w:w="1460" w:type="dxa"/>
            <w:tcBorders>
              <w:top w:val="single" w:sz="8" w:space="0" w:color="000080"/>
              <w:left w:val="nil"/>
              <w:bottom w:val="single" w:sz="8" w:space="0" w:color="000080"/>
              <w:right w:val="nil"/>
            </w:tcBorders>
            <w:shd w:val="clear" w:color="auto" w:fill="auto"/>
            <w:vAlign w:val="center"/>
            <w:hideMark/>
          </w:tcPr>
          <w:p w:rsidR="0017013A" w:rsidRPr="00617833" w:rsidRDefault="0017013A">
            <w:pPr>
              <w:jc w:val="right"/>
              <w:rPr>
                <w:rFonts w:ascii="Verdana" w:hAnsi="Verdana" w:cs="Calibri"/>
                <w:b/>
                <w:bCs/>
                <w:sz w:val="20"/>
                <w:szCs w:val="20"/>
              </w:rPr>
            </w:pPr>
            <w:r w:rsidRPr="00617833">
              <w:rPr>
                <w:rFonts w:ascii="Verdana" w:hAnsi="Verdana" w:cs="Calibri"/>
                <w:b/>
                <w:bCs/>
                <w:sz w:val="20"/>
                <w:szCs w:val="20"/>
              </w:rPr>
              <w:t>-5,8%</w:t>
            </w:r>
          </w:p>
        </w:tc>
      </w:tr>
    </w:tbl>
    <w:p w:rsidR="004837FF" w:rsidRPr="00617833" w:rsidRDefault="004837FF" w:rsidP="00777D2F">
      <w:pPr>
        <w:pStyle w:val="Textoindependiente"/>
        <w:spacing w:before="120" w:after="120"/>
        <w:ind w:firstLine="357"/>
        <w:rPr>
          <w:rFonts w:ascii="Verdana" w:hAnsi="Verdana"/>
          <w:sz w:val="20"/>
        </w:rPr>
      </w:pPr>
    </w:p>
    <w:p w:rsidR="00777D2F" w:rsidRPr="00617833" w:rsidRDefault="00332172" w:rsidP="00777D2F">
      <w:pPr>
        <w:pStyle w:val="Textoindependiente"/>
        <w:spacing w:before="120" w:after="120"/>
        <w:ind w:firstLine="357"/>
        <w:rPr>
          <w:rFonts w:ascii="Verdana" w:hAnsi="Verdana"/>
          <w:sz w:val="20"/>
        </w:rPr>
      </w:pPr>
      <w:r w:rsidRPr="00617833">
        <w:rPr>
          <w:rFonts w:ascii="Verdana" w:hAnsi="Verdana"/>
          <w:sz w:val="20"/>
        </w:rPr>
        <w:lastRenderedPageBreak/>
        <w:t>El porcentaje de monitorios que terminan en pago</w:t>
      </w:r>
      <w:r w:rsidR="006718BA" w:rsidRPr="00617833">
        <w:rPr>
          <w:rFonts w:ascii="Verdana" w:hAnsi="Verdana"/>
          <w:sz w:val="20"/>
        </w:rPr>
        <w:t xml:space="preserve"> ha sido del 8%, </w:t>
      </w:r>
      <w:r w:rsidR="00064C27" w:rsidRPr="00617833">
        <w:rPr>
          <w:rFonts w:ascii="Verdana" w:hAnsi="Verdana"/>
          <w:sz w:val="20"/>
        </w:rPr>
        <w:t xml:space="preserve">ligeramente </w:t>
      </w:r>
      <w:r w:rsidR="006718BA" w:rsidRPr="00617833">
        <w:rPr>
          <w:rFonts w:ascii="Verdana" w:hAnsi="Verdana"/>
          <w:sz w:val="20"/>
        </w:rPr>
        <w:t xml:space="preserve">superior al </w:t>
      </w:r>
      <w:r w:rsidR="00726F64" w:rsidRPr="00617833">
        <w:rPr>
          <w:rFonts w:ascii="Verdana" w:hAnsi="Verdana"/>
          <w:sz w:val="20"/>
        </w:rPr>
        <w:t>7,</w:t>
      </w:r>
      <w:r w:rsidR="00064C27" w:rsidRPr="00617833">
        <w:rPr>
          <w:rFonts w:ascii="Verdana" w:hAnsi="Verdana"/>
          <w:sz w:val="20"/>
        </w:rPr>
        <w:t>8</w:t>
      </w:r>
      <w:r w:rsidR="00726F64" w:rsidRPr="00617833">
        <w:rPr>
          <w:rFonts w:ascii="Verdana" w:hAnsi="Verdana"/>
          <w:sz w:val="20"/>
        </w:rPr>
        <w:t>%</w:t>
      </w:r>
      <w:r w:rsidR="006718BA" w:rsidRPr="00617833">
        <w:rPr>
          <w:rFonts w:ascii="Verdana" w:hAnsi="Verdana"/>
          <w:sz w:val="20"/>
        </w:rPr>
        <w:t xml:space="preserve"> del año anterior. Han terminado por </w:t>
      </w:r>
      <w:r w:rsidR="006A1CEA" w:rsidRPr="00617833">
        <w:rPr>
          <w:rFonts w:ascii="Verdana" w:hAnsi="Verdana"/>
          <w:sz w:val="20"/>
        </w:rPr>
        <w:t>transcurso</w:t>
      </w:r>
      <w:r w:rsidR="006718BA" w:rsidRPr="00617833">
        <w:rPr>
          <w:rFonts w:ascii="Verdana" w:hAnsi="Verdana"/>
          <w:sz w:val="20"/>
        </w:rPr>
        <w:t xml:space="preserve"> de plazo (art. 816 L.E.C) 20</w:t>
      </w:r>
      <w:r w:rsidR="00064C27" w:rsidRPr="00617833">
        <w:rPr>
          <w:rFonts w:ascii="Verdana" w:hAnsi="Verdana"/>
          <w:sz w:val="20"/>
        </w:rPr>
        <w:t>3</w:t>
      </w:r>
      <w:r w:rsidR="006718BA" w:rsidRPr="00617833">
        <w:rPr>
          <w:rFonts w:ascii="Verdana" w:hAnsi="Verdana"/>
          <w:sz w:val="20"/>
        </w:rPr>
        <w:t>.</w:t>
      </w:r>
      <w:r w:rsidR="00064C27" w:rsidRPr="00617833">
        <w:rPr>
          <w:rFonts w:ascii="Verdana" w:hAnsi="Verdana"/>
          <w:sz w:val="20"/>
        </w:rPr>
        <w:t>838</w:t>
      </w:r>
      <w:r w:rsidR="006718BA" w:rsidRPr="00617833">
        <w:rPr>
          <w:rFonts w:ascii="Verdana" w:hAnsi="Verdana"/>
          <w:sz w:val="20"/>
        </w:rPr>
        <w:t xml:space="preserve"> monitorios</w:t>
      </w:r>
      <w:r w:rsidR="00481591" w:rsidRPr="00617833">
        <w:rPr>
          <w:rFonts w:ascii="Verdana" w:hAnsi="Verdana"/>
          <w:sz w:val="20"/>
        </w:rPr>
        <w:t xml:space="preserve">; </w:t>
      </w:r>
      <w:r w:rsidR="00462FA8" w:rsidRPr="00617833">
        <w:rPr>
          <w:rFonts w:ascii="Verdana" w:hAnsi="Verdana"/>
          <w:sz w:val="20"/>
        </w:rPr>
        <w:t xml:space="preserve"> </w:t>
      </w:r>
      <w:r w:rsidR="00833AEF" w:rsidRPr="00617833">
        <w:rPr>
          <w:rFonts w:ascii="Verdana" w:hAnsi="Verdana"/>
          <w:sz w:val="20"/>
        </w:rPr>
        <w:t xml:space="preserve">transformándose en juicios verbales </w:t>
      </w:r>
      <w:r w:rsidR="00064C27" w:rsidRPr="00617833">
        <w:rPr>
          <w:rFonts w:ascii="Verdana" w:hAnsi="Verdana"/>
          <w:sz w:val="20"/>
        </w:rPr>
        <w:t>35</w:t>
      </w:r>
      <w:r w:rsidR="00462FA8" w:rsidRPr="00617833">
        <w:rPr>
          <w:rFonts w:ascii="Verdana" w:hAnsi="Verdana"/>
          <w:sz w:val="20"/>
        </w:rPr>
        <w:t>.</w:t>
      </w:r>
      <w:r w:rsidR="00064C27" w:rsidRPr="00617833">
        <w:rPr>
          <w:rFonts w:ascii="Verdana" w:hAnsi="Verdana"/>
          <w:sz w:val="20"/>
        </w:rPr>
        <w:t>834</w:t>
      </w:r>
      <w:r w:rsidR="00462FA8" w:rsidRPr="00617833">
        <w:rPr>
          <w:rFonts w:ascii="Verdana" w:hAnsi="Verdana"/>
          <w:sz w:val="20"/>
        </w:rPr>
        <w:t xml:space="preserve"> y en ordinarios </w:t>
      </w:r>
      <w:r w:rsidR="00064C27" w:rsidRPr="00617833">
        <w:rPr>
          <w:rFonts w:ascii="Verdana" w:hAnsi="Verdana"/>
          <w:sz w:val="20"/>
        </w:rPr>
        <w:t>10</w:t>
      </w:r>
      <w:r w:rsidR="00462FA8" w:rsidRPr="00617833">
        <w:rPr>
          <w:rFonts w:ascii="Verdana" w:hAnsi="Verdana"/>
          <w:sz w:val="20"/>
        </w:rPr>
        <w:t>.</w:t>
      </w:r>
      <w:r w:rsidR="00064C27" w:rsidRPr="00617833">
        <w:rPr>
          <w:rFonts w:ascii="Verdana" w:hAnsi="Verdana"/>
          <w:sz w:val="20"/>
        </w:rPr>
        <w:t>714</w:t>
      </w:r>
      <w:r w:rsidR="00462FA8" w:rsidRPr="00617833">
        <w:rPr>
          <w:rFonts w:ascii="Verdana" w:hAnsi="Verdana"/>
          <w:sz w:val="20"/>
        </w:rPr>
        <w:t>.</w:t>
      </w:r>
      <w:r w:rsidR="00777D2F" w:rsidRPr="00617833">
        <w:rPr>
          <w:rFonts w:ascii="Verdana" w:hAnsi="Verdana"/>
          <w:sz w:val="20"/>
        </w:rPr>
        <w:t xml:space="preserve"> Por </w:t>
      </w:r>
      <w:r w:rsidR="00481D3A" w:rsidRPr="00617833">
        <w:rPr>
          <w:rFonts w:ascii="Verdana" w:hAnsi="Verdana"/>
          <w:sz w:val="20"/>
        </w:rPr>
        <w:t xml:space="preserve"> “otras causas”, que incluye supuestos de inadmisión de la petición</w:t>
      </w:r>
      <w:r w:rsidR="004E19B5" w:rsidRPr="00617833">
        <w:rPr>
          <w:rFonts w:ascii="Verdana" w:hAnsi="Verdana"/>
          <w:sz w:val="20"/>
        </w:rPr>
        <w:t>, los de imposibilidad de encontrar al deudor,</w:t>
      </w:r>
      <w:r w:rsidR="00481D3A" w:rsidRPr="00617833">
        <w:rPr>
          <w:rFonts w:ascii="Verdana" w:hAnsi="Verdana"/>
          <w:sz w:val="20"/>
        </w:rPr>
        <w:t xml:space="preserve"> y los de falta de competencia del juzgado ante el que se solicitó, ha terminado un </w:t>
      </w:r>
      <w:r w:rsidR="00481591" w:rsidRPr="00617833">
        <w:rPr>
          <w:rFonts w:ascii="Verdana" w:hAnsi="Verdana"/>
          <w:sz w:val="20"/>
        </w:rPr>
        <w:t>4</w:t>
      </w:r>
      <w:r w:rsidR="00064C27" w:rsidRPr="00617833">
        <w:rPr>
          <w:rFonts w:ascii="Verdana" w:hAnsi="Verdana"/>
          <w:sz w:val="20"/>
        </w:rPr>
        <w:t>3</w:t>
      </w:r>
      <w:r w:rsidR="00777D2F" w:rsidRPr="00617833">
        <w:rPr>
          <w:rFonts w:ascii="Verdana" w:hAnsi="Verdana"/>
          <w:sz w:val="20"/>
        </w:rPr>
        <w:t>,</w:t>
      </w:r>
      <w:r w:rsidR="00064C27" w:rsidRPr="00617833">
        <w:rPr>
          <w:rFonts w:ascii="Verdana" w:hAnsi="Verdana"/>
          <w:sz w:val="20"/>
        </w:rPr>
        <w:t>2</w:t>
      </w:r>
      <w:r w:rsidR="00481D3A" w:rsidRPr="00617833">
        <w:rPr>
          <w:rFonts w:ascii="Verdana" w:hAnsi="Verdana"/>
          <w:sz w:val="20"/>
        </w:rPr>
        <w:t>%.</w:t>
      </w:r>
      <w:r w:rsidR="00481591" w:rsidRPr="00617833">
        <w:rPr>
          <w:rFonts w:ascii="Verdana" w:hAnsi="Verdana"/>
          <w:sz w:val="20"/>
        </w:rPr>
        <w:t xml:space="preserve">  Se han </w:t>
      </w:r>
      <w:r w:rsidR="006A1CEA" w:rsidRPr="00617833">
        <w:rPr>
          <w:rFonts w:ascii="Verdana" w:hAnsi="Verdana"/>
          <w:sz w:val="20"/>
        </w:rPr>
        <w:t>iniciado</w:t>
      </w:r>
      <w:r w:rsidR="00481591" w:rsidRPr="00617833">
        <w:rPr>
          <w:rFonts w:ascii="Verdana" w:hAnsi="Verdana"/>
          <w:sz w:val="20"/>
        </w:rPr>
        <w:t xml:space="preserve"> 16</w:t>
      </w:r>
      <w:r w:rsidR="00064C27" w:rsidRPr="00617833">
        <w:rPr>
          <w:rFonts w:ascii="Verdana" w:hAnsi="Verdana"/>
          <w:sz w:val="20"/>
        </w:rPr>
        <w:t>7</w:t>
      </w:r>
      <w:r w:rsidR="00481591" w:rsidRPr="00617833">
        <w:rPr>
          <w:rFonts w:ascii="Verdana" w:hAnsi="Verdana"/>
          <w:sz w:val="20"/>
        </w:rPr>
        <w:t>.</w:t>
      </w:r>
      <w:r w:rsidR="00064C27" w:rsidRPr="00617833">
        <w:rPr>
          <w:rFonts w:ascii="Verdana" w:hAnsi="Verdana"/>
          <w:sz w:val="20"/>
        </w:rPr>
        <w:t>041</w:t>
      </w:r>
      <w:r w:rsidR="00481591" w:rsidRPr="00617833">
        <w:rPr>
          <w:rFonts w:ascii="Verdana" w:hAnsi="Verdana"/>
          <w:sz w:val="20"/>
        </w:rPr>
        <w:t xml:space="preserve"> ejecuciones derivadas de monitorios. </w:t>
      </w:r>
    </w:p>
    <w:p w:rsidR="00C8240D" w:rsidRPr="00617833" w:rsidRDefault="00C8240D" w:rsidP="004322CF">
      <w:pPr>
        <w:pStyle w:val="Textoindependiente"/>
        <w:spacing w:before="120" w:after="120"/>
        <w:ind w:firstLine="357"/>
        <w:rPr>
          <w:rFonts w:ascii="Verdana" w:hAnsi="Verdana"/>
          <w:sz w:val="20"/>
        </w:rPr>
      </w:pPr>
    </w:p>
    <w:p w:rsidR="00C8240D" w:rsidRPr="00617833" w:rsidRDefault="00C8240D" w:rsidP="004322CF">
      <w:pPr>
        <w:pStyle w:val="Textoindependiente"/>
        <w:spacing w:before="120" w:after="120"/>
        <w:ind w:firstLine="357"/>
        <w:rPr>
          <w:rFonts w:ascii="Verdana" w:hAnsi="Verdana"/>
          <w:sz w:val="20"/>
        </w:rPr>
      </w:pPr>
      <w:r w:rsidRPr="00617833">
        <w:rPr>
          <w:rFonts w:ascii="Verdana" w:hAnsi="Verdana"/>
          <w:sz w:val="20"/>
        </w:rPr>
        <w:t>En los juzgados de primera instancia y de primera instancia e instrucción las demandas relacionadas con  acciones individuales sobre condiciones generales incluidas en contratos de financiación con garantías reales inmobiliarias cuyo prestatario sea una persona física han tenido un gran impacto en la segunda mitad del año 2017.  Han provocado un importantísimo crecimiento en los juicios ordinarios y verbales ingresados y pendientes al finalizar el año</w:t>
      </w:r>
      <w:r w:rsidR="00970BD3" w:rsidRPr="00617833">
        <w:rPr>
          <w:rFonts w:ascii="Verdana" w:hAnsi="Verdana"/>
          <w:sz w:val="20"/>
        </w:rPr>
        <w:t xml:space="preserve">; </w:t>
      </w:r>
      <w:r w:rsidRPr="00617833">
        <w:rPr>
          <w:rFonts w:ascii="Verdana" w:hAnsi="Verdana"/>
          <w:sz w:val="20"/>
        </w:rPr>
        <w:t xml:space="preserve">no así para los resueltos, pues a pesar de las medidas de refuerzo que se han implantado, ha habido poco tiempo para empezar a absorber la nueva carga. </w:t>
      </w:r>
    </w:p>
    <w:p w:rsidR="00C8240D" w:rsidRPr="00617833" w:rsidRDefault="00C8240D" w:rsidP="004322CF">
      <w:pPr>
        <w:pStyle w:val="Textoindependiente"/>
        <w:spacing w:before="120" w:after="120"/>
        <w:ind w:firstLine="357"/>
        <w:rPr>
          <w:rFonts w:ascii="Verdana" w:hAnsi="Verdana"/>
          <w:sz w:val="20"/>
        </w:rPr>
      </w:pPr>
    </w:p>
    <w:p w:rsidR="00C8240D" w:rsidRPr="00617833" w:rsidRDefault="002F0D08" w:rsidP="004322CF">
      <w:pPr>
        <w:pStyle w:val="Textoindependiente"/>
        <w:spacing w:before="120" w:after="120"/>
        <w:ind w:firstLine="357"/>
        <w:rPr>
          <w:rFonts w:ascii="Verdana" w:hAnsi="Verdana"/>
          <w:sz w:val="20"/>
        </w:rPr>
      </w:pPr>
      <w:r w:rsidRPr="00617833">
        <w:rPr>
          <w:rFonts w:ascii="Verdana" w:hAnsi="Verdana"/>
          <w:sz w:val="20"/>
        </w:rPr>
        <w:t>Para los juicios ordi</w:t>
      </w:r>
      <w:r w:rsidR="00C8240D" w:rsidRPr="00617833">
        <w:rPr>
          <w:rFonts w:ascii="Verdana" w:hAnsi="Verdana"/>
          <w:sz w:val="20"/>
        </w:rPr>
        <w:t>n</w:t>
      </w:r>
      <w:r w:rsidRPr="00617833">
        <w:rPr>
          <w:rFonts w:ascii="Verdana" w:hAnsi="Verdana"/>
          <w:sz w:val="20"/>
        </w:rPr>
        <w:t>a</w:t>
      </w:r>
      <w:r w:rsidR="00C8240D" w:rsidRPr="00617833">
        <w:rPr>
          <w:rFonts w:ascii="Verdana" w:hAnsi="Verdana"/>
          <w:sz w:val="20"/>
        </w:rPr>
        <w:t>rios se observa un incremento del 66,9% en el ingreso respecto a 2016, del 7,4% en la resolución y del 69</w:t>
      </w:r>
      <w:r w:rsidR="00E66234" w:rsidRPr="00617833">
        <w:rPr>
          <w:rFonts w:ascii="Verdana" w:hAnsi="Verdana"/>
          <w:sz w:val="20"/>
        </w:rPr>
        <w:t>,3</w:t>
      </w:r>
      <w:r w:rsidR="00C8240D" w:rsidRPr="00617833">
        <w:rPr>
          <w:rFonts w:ascii="Verdana" w:hAnsi="Verdana"/>
          <w:sz w:val="20"/>
        </w:rPr>
        <w:t>% en los asuntos que quedan en trámite al final del año.</w:t>
      </w:r>
    </w:p>
    <w:tbl>
      <w:tblPr>
        <w:tblW w:w="6180" w:type="dxa"/>
        <w:jc w:val="center"/>
        <w:tblInd w:w="55" w:type="dxa"/>
        <w:tblCellMar>
          <w:left w:w="70" w:type="dxa"/>
          <w:right w:w="70" w:type="dxa"/>
        </w:tblCellMar>
        <w:tblLook w:val="04A0" w:firstRow="1" w:lastRow="0" w:firstColumn="1" w:lastColumn="0" w:noHBand="0" w:noVBand="1"/>
      </w:tblPr>
      <w:tblGrid>
        <w:gridCol w:w="2380"/>
        <w:gridCol w:w="1400"/>
        <w:gridCol w:w="1200"/>
        <w:gridCol w:w="1200"/>
      </w:tblGrid>
      <w:tr w:rsidR="00C8240D" w:rsidRPr="00617833" w:rsidTr="00F60675">
        <w:trPr>
          <w:trHeight w:val="751"/>
          <w:jc w:val="center"/>
        </w:trPr>
        <w:tc>
          <w:tcPr>
            <w:tcW w:w="2380" w:type="dxa"/>
            <w:tcBorders>
              <w:top w:val="single" w:sz="8" w:space="0" w:color="auto"/>
              <w:left w:val="nil"/>
              <w:bottom w:val="single" w:sz="8" w:space="0" w:color="auto"/>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w:t>
            </w:r>
          </w:p>
        </w:tc>
        <w:tc>
          <w:tcPr>
            <w:tcW w:w="14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Ingresados</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Resueltos</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En trámite al final del año</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Andalucía</w:t>
            </w:r>
          </w:p>
        </w:tc>
        <w:tc>
          <w:tcPr>
            <w:tcW w:w="14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68.527</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39.695</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68.857</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Aragón</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9.343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4.997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6785</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8.793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6.825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5112</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Illes Balears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6.778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4.101</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6120</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Canarias</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20.088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10.685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17.884</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Cantabria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6.080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3.513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4665</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Castilla y León</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22.239</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14.520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16.125</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Castilla-La Mancha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15.809</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9.146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15.732</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Cataluña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44.557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24.350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44.410</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Pr>
                <w:rFonts w:ascii="Verdana" w:hAnsi="Verdana" w:cs="Arial"/>
                <w:color w:val="000000"/>
                <w:sz w:val="20"/>
                <w:szCs w:val="20"/>
              </w:rPr>
              <w:t>.</w:t>
            </w:r>
            <w:r w:rsidR="00C8240D" w:rsidRPr="00617833">
              <w:rPr>
                <w:rFonts w:ascii="Verdana" w:hAnsi="Verdana" w:cs="Arial"/>
                <w:color w:val="000000"/>
                <w:sz w:val="20"/>
                <w:szCs w:val="20"/>
              </w:rPr>
              <w:t xml:space="preserve"> Valenciana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30.603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18.333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29.247</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Extremadura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11.701</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7.427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8059</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Galicia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16.634</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10.972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14.353</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39.730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34.075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40.624</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Murcia (Región de)</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8.688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5.375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10.716</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3.653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2.187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2583</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País Vasco</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12.777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8.381</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10.553</w:t>
            </w:r>
          </w:p>
        </w:tc>
      </w:tr>
      <w:tr w:rsidR="00C8240D" w:rsidRPr="00617833" w:rsidTr="00C8240D">
        <w:trPr>
          <w:trHeight w:val="315"/>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La Rioja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2286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1528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1650</w:t>
            </w:r>
          </w:p>
        </w:tc>
      </w:tr>
      <w:tr w:rsidR="00C8240D" w:rsidRPr="00617833" w:rsidTr="00C8240D">
        <w:trPr>
          <w:trHeight w:val="315"/>
          <w:jc w:val="center"/>
        </w:trPr>
        <w:tc>
          <w:tcPr>
            <w:tcW w:w="2380" w:type="dxa"/>
            <w:tcBorders>
              <w:top w:val="single" w:sz="8" w:space="0" w:color="auto"/>
              <w:left w:val="nil"/>
              <w:bottom w:val="single" w:sz="8" w:space="0" w:color="auto"/>
              <w:right w:val="nil"/>
            </w:tcBorders>
            <w:shd w:val="clear" w:color="auto" w:fill="auto"/>
            <w:vAlign w:val="center"/>
            <w:hideMark/>
          </w:tcPr>
          <w:p w:rsidR="00C8240D" w:rsidRPr="00617833" w:rsidRDefault="00C8240D">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4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328.286</w:t>
            </w:r>
          </w:p>
        </w:tc>
        <w:tc>
          <w:tcPr>
            <w:tcW w:w="12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206.110</w:t>
            </w:r>
          </w:p>
        </w:tc>
        <w:tc>
          <w:tcPr>
            <w:tcW w:w="12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303.475</w:t>
            </w:r>
          </w:p>
        </w:tc>
      </w:tr>
      <w:tr w:rsidR="00C8240D" w:rsidRPr="00617833" w:rsidTr="00C8240D">
        <w:trPr>
          <w:trHeight w:val="525"/>
          <w:jc w:val="center"/>
        </w:trPr>
        <w:tc>
          <w:tcPr>
            <w:tcW w:w="2380" w:type="dxa"/>
            <w:tcBorders>
              <w:top w:val="nil"/>
              <w:left w:val="nil"/>
              <w:bottom w:val="single" w:sz="8" w:space="0" w:color="0000FF"/>
              <w:right w:val="nil"/>
            </w:tcBorders>
            <w:shd w:val="clear" w:color="auto" w:fill="auto"/>
            <w:vAlign w:val="center"/>
            <w:hideMark/>
          </w:tcPr>
          <w:p w:rsidR="00C8240D" w:rsidRPr="00617833" w:rsidRDefault="00C8240D">
            <w:pPr>
              <w:jc w:val="center"/>
              <w:rPr>
                <w:rFonts w:ascii="Verdana" w:hAnsi="Verdana" w:cs="Calibri"/>
                <w:b/>
                <w:bCs/>
                <w:color w:val="000080"/>
                <w:sz w:val="20"/>
                <w:szCs w:val="20"/>
              </w:rPr>
            </w:pPr>
            <w:r w:rsidRPr="00617833">
              <w:rPr>
                <w:rFonts w:ascii="Verdana" w:hAnsi="Verdana" w:cs="Arial"/>
                <w:b/>
                <w:bCs/>
                <w:color w:val="000080"/>
                <w:sz w:val="20"/>
                <w:szCs w:val="20"/>
              </w:rPr>
              <w:t>Variación respecto a 2016</w:t>
            </w:r>
          </w:p>
        </w:tc>
        <w:tc>
          <w:tcPr>
            <w:tcW w:w="1400" w:type="dxa"/>
            <w:tcBorders>
              <w:top w:val="nil"/>
              <w:left w:val="nil"/>
              <w:bottom w:val="single" w:sz="8" w:space="0" w:color="0000FF"/>
              <w:right w:val="nil"/>
            </w:tcBorders>
            <w:shd w:val="clear" w:color="auto" w:fill="auto"/>
            <w:vAlign w:val="center"/>
            <w:hideMark/>
          </w:tcPr>
          <w:p w:rsidR="00C8240D" w:rsidRPr="00617833" w:rsidRDefault="00C8240D">
            <w:pPr>
              <w:jc w:val="right"/>
              <w:rPr>
                <w:rFonts w:ascii="Verdana" w:hAnsi="Verdana" w:cs="Calibri"/>
                <w:b/>
                <w:bCs/>
                <w:color w:val="333399"/>
                <w:sz w:val="20"/>
                <w:szCs w:val="20"/>
              </w:rPr>
            </w:pPr>
            <w:r w:rsidRPr="00617833">
              <w:rPr>
                <w:rFonts w:ascii="Verdana" w:hAnsi="Verdana" w:cs="Calibri"/>
                <w:b/>
                <w:bCs/>
                <w:color w:val="333399"/>
                <w:sz w:val="20"/>
                <w:szCs w:val="20"/>
              </w:rPr>
              <w:t>66,9%</w:t>
            </w:r>
          </w:p>
        </w:tc>
        <w:tc>
          <w:tcPr>
            <w:tcW w:w="1200" w:type="dxa"/>
            <w:tcBorders>
              <w:top w:val="nil"/>
              <w:left w:val="nil"/>
              <w:bottom w:val="single" w:sz="8" w:space="0" w:color="0000FF"/>
              <w:right w:val="nil"/>
            </w:tcBorders>
            <w:shd w:val="clear" w:color="auto" w:fill="auto"/>
            <w:vAlign w:val="center"/>
            <w:hideMark/>
          </w:tcPr>
          <w:p w:rsidR="00C8240D" w:rsidRPr="00617833" w:rsidRDefault="00C8240D">
            <w:pPr>
              <w:jc w:val="right"/>
              <w:rPr>
                <w:rFonts w:ascii="Verdana" w:hAnsi="Verdana" w:cs="Calibri"/>
                <w:b/>
                <w:bCs/>
                <w:color w:val="333399"/>
                <w:sz w:val="20"/>
                <w:szCs w:val="20"/>
              </w:rPr>
            </w:pPr>
            <w:r w:rsidRPr="00617833">
              <w:rPr>
                <w:rFonts w:ascii="Verdana" w:hAnsi="Verdana" w:cs="Calibri"/>
                <w:b/>
                <w:bCs/>
                <w:color w:val="333399"/>
                <w:sz w:val="20"/>
                <w:szCs w:val="20"/>
              </w:rPr>
              <w:t>7,4%</w:t>
            </w:r>
          </w:p>
        </w:tc>
        <w:tc>
          <w:tcPr>
            <w:tcW w:w="1200" w:type="dxa"/>
            <w:tcBorders>
              <w:top w:val="nil"/>
              <w:left w:val="nil"/>
              <w:bottom w:val="single" w:sz="8" w:space="0" w:color="0000FF"/>
              <w:right w:val="nil"/>
            </w:tcBorders>
            <w:shd w:val="clear" w:color="auto" w:fill="auto"/>
            <w:vAlign w:val="center"/>
            <w:hideMark/>
          </w:tcPr>
          <w:p w:rsidR="00C8240D" w:rsidRPr="00617833" w:rsidRDefault="00C8240D">
            <w:pPr>
              <w:jc w:val="right"/>
              <w:rPr>
                <w:rFonts w:ascii="Verdana" w:hAnsi="Verdana" w:cs="Calibri"/>
                <w:b/>
                <w:bCs/>
                <w:color w:val="333399"/>
                <w:sz w:val="20"/>
                <w:szCs w:val="20"/>
              </w:rPr>
            </w:pPr>
            <w:r w:rsidRPr="00617833">
              <w:rPr>
                <w:rFonts w:ascii="Verdana" w:hAnsi="Verdana" w:cs="Calibri"/>
                <w:b/>
                <w:bCs/>
                <w:color w:val="333399"/>
                <w:sz w:val="20"/>
                <w:szCs w:val="20"/>
              </w:rPr>
              <w:t>69,3%</w:t>
            </w:r>
          </w:p>
        </w:tc>
      </w:tr>
    </w:tbl>
    <w:p w:rsidR="00C8240D" w:rsidRPr="00617833" w:rsidRDefault="00C8240D" w:rsidP="004322CF">
      <w:pPr>
        <w:pStyle w:val="Textoindependiente"/>
        <w:spacing w:before="120" w:after="120"/>
        <w:ind w:firstLine="357"/>
        <w:rPr>
          <w:rFonts w:ascii="Verdana" w:hAnsi="Verdana"/>
          <w:sz w:val="20"/>
        </w:rPr>
      </w:pPr>
    </w:p>
    <w:p w:rsidR="00C8240D" w:rsidRPr="00617833" w:rsidRDefault="00C8240D" w:rsidP="004322CF">
      <w:pPr>
        <w:pStyle w:val="Textoindependiente"/>
        <w:spacing w:before="120" w:after="120"/>
        <w:ind w:firstLine="357"/>
        <w:rPr>
          <w:rFonts w:ascii="Verdana" w:hAnsi="Verdana"/>
          <w:sz w:val="20"/>
        </w:rPr>
      </w:pPr>
      <w:r w:rsidRPr="00617833">
        <w:rPr>
          <w:rFonts w:ascii="Verdana" w:hAnsi="Verdana"/>
          <w:sz w:val="20"/>
        </w:rPr>
        <w:t xml:space="preserve">Se dispone de los datos del </w:t>
      </w:r>
      <w:r w:rsidR="00DE0D53" w:rsidRPr="00617833">
        <w:rPr>
          <w:rFonts w:ascii="Verdana" w:hAnsi="Verdana"/>
          <w:sz w:val="20"/>
        </w:rPr>
        <w:t>último</w:t>
      </w:r>
      <w:r w:rsidRPr="00617833">
        <w:rPr>
          <w:rFonts w:ascii="Verdana" w:hAnsi="Verdana"/>
          <w:sz w:val="20"/>
        </w:rPr>
        <w:t xml:space="preserve"> trimestre del año para los juzgados especializados en el tratamiento de estos asuntos, con lo cual se dispone de</w:t>
      </w:r>
      <w:r w:rsidR="002F0D08" w:rsidRPr="00617833">
        <w:rPr>
          <w:rFonts w:ascii="Verdana" w:hAnsi="Verdana"/>
          <w:sz w:val="20"/>
        </w:rPr>
        <w:t xml:space="preserve"> </w:t>
      </w:r>
      <w:r w:rsidRPr="00617833">
        <w:rPr>
          <w:rFonts w:ascii="Verdana" w:hAnsi="Verdana"/>
          <w:sz w:val="20"/>
        </w:rPr>
        <w:t>la totalidad de la pendencia y de la mayor parte de la resolución y de la entrada:</w:t>
      </w:r>
    </w:p>
    <w:p w:rsidR="00C8240D" w:rsidRPr="00617833" w:rsidRDefault="00C8240D" w:rsidP="004322CF">
      <w:pPr>
        <w:pStyle w:val="Textoindependiente"/>
        <w:spacing w:before="120" w:after="120"/>
        <w:ind w:firstLine="357"/>
        <w:rPr>
          <w:rFonts w:ascii="Verdana" w:hAnsi="Verdana"/>
          <w:sz w:val="20"/>
        </w:rPr>
      </w:pPr>
    </w:p>
    <w:tbl>
      <w:tblPr>
        <w:tblW w:w="6180" w:type="dxa"/>
        <w:jc w:val="center"/>
        <w:tblInd w:w="55" w:type="dxa"/>
        <w:tblCellMar>
          <w:left w:w="70" w:type="dxa"/>
          <w:right w:w="70" w:type="dxa"/>
        </w:tblCellMar>
        <w:tblLook w:val="04A0" w:firstRow="1" w:lastRow="0" w:firstColumn="1" w:lastColumn="0" w:noHBand="0" w:noVBand="1"/>
      </w:tblPr>
      <w:tblGrid>
        <w:gridCol w:w="2380"/>
        <w:gridCol w:w="1400"/>
        <w:gridCol w:w="1200"/>
        <w:gridCol w:w="1200"/>
      </w:tblGrid>
      <w:tr w:rsidR="00C8240D" w:rsidRPr="00617833" w:rsidTr="00F60675">
        <w:trPr>
          <w:trHeight w:val="688"/>
          <w:jc w:val="center"/>
        </w:trPr>
        <w:tc>
          <w:tcPr>
            <w:tcW w:w="2380" w:type="dxa"/>
            <w:tcBorders>
              <w:top w:val="single" w:sz="8" w:space="0" w:color="auto"/>
              <w:left w:val="nil"/>
              <w:bottom w:val="single" w:sz="8" w:space="0" w:color="auto"/>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lastRenderedPageBreak/>
              <w:t> </w:t>
            </w:r>
          </w:p>
        </w:tc>
        <w:tc>
          <w:tcPr>
            <w:tcW w:w="14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Ingresados</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Resueltos</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center"/>
              <w:rPr>
                <w:rFonts w:ascii="Verdana" w:hAnsi="Verdana" w:cs="Calibri"/>
                <w:b/>
                <w:bCs/>
                <w:color w:val="000080"/>
                <w:sz w:val="18"/>
                <w:szCs w:val="18"/>
              </w:rPr>
            </w:pPr>
            <w:r w:rsidRPr="00617833">
              <w:rPr>
                <w:rFonts w:ascii="Verdana" w:hAnsi="Verdana" w:cs="Arial"/>
                <w:b/>
                <w:bCs/>
                <w:color w:val="000080"/>
                <w:sz w:val="18"/>
                <w:szCs w:val="18"/>
              </w:rPr>
              <w:t>En trámite al final del año</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Andalucía</w:t>
            </w:r>
          </w:p>
        </w:tc>
        <w:tc>
          <w:tcPr>
            <w:tcW w:w="14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31.125</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1.722</w:t>
            </w:r>
          </w:p>
        </w:tc>
        <w:tc>
          <w:tcPr>
            <w:tcW w:w="1200" w:type="dxa"/>
            <w:tcBorders>
              <w:top w:val="single" w:sz="8" w:space="0" w:color="auto"/>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31.152</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Aragón</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4.496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526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4524</w:t>
            </w:r>
          </w:p>
        </w:tc>
      </w:tr>
      <w:tr w:rsidR="00C8240D" w:rsidRPr="00617833" w:rsidTr="00F60675">
        <w:trPr>
          <w:trHeight w:val="244"/>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2.919</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1.162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2041</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Illes Balears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2.687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314</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2954</w:t>
            </w:r>
          </w:p>
        </w:tc>
      </w:tr>
      <w:tr w:rsidR="00C8240D" w:rsidRPr="00617833" w:rsidTr="00F60675">
        <w:trPr>
          <w:trHeight w:val="21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Canarias</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9.880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668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10.004</w:t>
            </w:r>
          </w:p>
        </w:tc>
      </w:tr>
      <w:tr w:rsidR="00C8240D" w:rsidRPr="00617833" w:rsidTr="00F60675">
        <w:trPr>
          <w:trHeight w:val="227"/>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Cantabria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2.450</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192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2258</w:t>
            </w:r>
          </w:p>
        </w:tc>
      </w:tr>
      <w:tr w:rsidR="00C8240D" w:rsidRPr="00617833" w:rsidTr="00F60675">
        <w:trPr>
          <w:trHeight w:val="176"/>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Castilla y León</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10.887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1.722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10.245</w:t>
            </w:r>
          </w:p>
        </w:tc>
      </w:tr>
      <w:tr w:rsidR="00C8240D" w:rsidRPr="00617833" w:rsidTr="00F60675">
        <w:trPr>
          <w:trHeight w:val="193"/>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Castilla-La Mancha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7.782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655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7.729</w:t>
            </w:r>
          </w:p>
        </w:tc>
      </w:tr>
      <w:tr w:rsidR="00C8240D" w:rsidRPr="00617833" w:rsidTr="00F60675">
        <w:trPr>
          <w:trHeight w:val="142"/>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Cataluña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18.456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735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19.113</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sidR="00C8240D" w:rsidRPr="00617833">
              <w:rPr>
                <w:rFonts w:ascii="Verdana" w:hAnsi="Verdana" w:cs="Arial"/>
                <w:color w:val="000000"/>
                <w:sz w:val="20"/>
                <w:szCs w:val="20"/>
              </w:rPr>
              <w:t xml:space="preserve"> Valenciana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11.748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1.166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11.774</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Extremadura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4.831</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513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4939</w:t>
            </w:r>
          </w:p>
        </w:tc>
      </w:tr>
      <w:tr w:rsidR="00C8240D" w:rsidRPr="00617833" w:rsidTr="00F60675">
        <w:trPr>
          <w:trHeight w:val="84"/>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Galicia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6.018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742</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5.916</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11.979</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1.148</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13.114</w:t>
            </w:r>
          </w:p>
        </w:tc>
      </w:tr>
      <w:tr w:rsidR="00C8240D" w:rsidRPr="00617833" w:rsidTr="00F60675">
        <w:trPr>
          <w:trHeight w:val="192"/>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Murcia (Región de)</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3.486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126</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3.443</w:t>
            </w:r>
          </w:p>
        </w:tc>
      </w:tr>
      <w:tr w:rsidR="00C8240D" w:rsidRPr="00617833" w:rsidTr="00F60675">
        <w:trPr>
          <w:trHeight w:val="82"/>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1.813</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237</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1796</w:t>
            </w:r>
          </w:p>
        </w:tc>
      </w:tr>
      <w:tr w:rsidR="00C8240D" w:rsidRPr="00617833" w:rsidTr="00C8240D">
        <w:trPr>
          <w:trHeight w:val="300"/>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País Vasco</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6.365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925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6.144</w:t>
            </w:r>
          </w:p>
        </w:tc>
      </w:tr>
      <w:tr w:rsidR="00C8240D" w:rsidRPr="00617833" w:rsidTr="00C8240D">
        <w:trPr>
          <w:trHeight w:val="315"/>
          <w:jc w:val="center"/>
        </w:trPr>
        <w:tc>
          <w:tcPr>
            <w:tcW w:w="2380" w:type="dxa"/>
            <w:tcBorders>
              <w:top w:val="nil"/>
              <w:left w:val="nil"/>
              <w:bottom w:val="nil"/>
              <w:right w:val="nil"/>
            </w:tcBorders>
            <w:shd w:val="clear" w:color="auto" w:fill="auto"/>
            <w:vAlign w:val="center"/>
            <w:hideMark/>
          </w:tcPr>
          <w:p w:rsidR="00C8240D" w:rsidRPr="00617833" w:rsidRDefault="00C8240D">
            <w:pPr>
              <w:rPr>
                <w:rFonts w:ascii="Verdana" w:hAnsi="Verdana" w:cs="Calibri"/>
                <w:color w:val="000000"/>
                <w:sz w:val="20"/>
                <w:szCs w:val="20"/>
              </w:rPr>
            </w:pPr>
            <w:r w:rsidRPr="00617833">
              <w:rPr>
                <w:rFonts w:ascii="Verdana" w:hAnsi="Verdana" w:cs="Arial"/>
                <w:color w:val="000000"/>
                <w:sz w:val="20"/>
                <w:szCs w:val="20"/>
              </w:rPr>
              <w:t>La Rioja</w:t>
            </w:r>
          </w:p>
        </w:tc>
        <w:tc>
          <w:tcPr>
            <w:tcW w:w="14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1111</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255</w:t>
            </w:r>
          </w:p>
        </w:tc>
        <w:tc>
          <w:tcPr>
            <w:tcW w:w="1200" w:type="dxa"/>
            <w:tcBorders>
              <w:top w:val="nil"/>
              <w:left w:val="nil"/>
              <w:bottom w:val="nil"/>
              <w:right w:val="nil"/>
            </w:tcBorders>
            <w:shd w:val="clear" w:color="auto" w:fill="auto"/>
            <w:vAlign w:val="center"/>
            <w:hideMark/>
          </w:tcPr>
          <w:p w:rsidR="00C8240D" w:rsidRPr="00617833" w:rsidRDefault="00C8240D">
            <w:pPr>
              <w:jc w:val="right"/>
              <w:rPr>
                <w:rFonts w:ascii="Verdana" w:hAnsi="Verdana" w:cs="Calibri"/>
                <w:color w:val="000000"/>
                <w:sz w:val="20"/>
                <w:szCs w:val="20"/>
              </w:rPr>
            </w:pPr>
            <w:r w:rsidRPr="00617833">
              <w:rPr>
                <w:rFonts w:ascii="Verdana" w:hAnsi="Verdana" w:cs="Calibri"/>
                <w:color w:val="000000"/>
                <w:sz w:val="20"/>
                <w:szCs w:val="20"/>
              </w:rPr>
              <w:t>956</w:t>
            </w:r>
          </w:p>
        </w:tc>
      </w:tr>
      <w:tr w:rsidR="00C8240D" w:rsidRPr="00617833" w:rsidTr="00C8240D">
        <w:trPr>
          <w:trHeight w:val="315"/>
          <w:jc w:val="center"/>
        </w:trPr>
        <w:tc>
          <w:tcPr>
            <w:tcW w:w="2380" w:type="dxa"/>
            <w:tcBorders>
              <w:top w:val="single" w:sz="8" w:space="0" w:color="auto"/>
              <w:left w:val="nil"/>
              <w:bottom w:val="single" w:sz="8" w:space="0" w:color="auto"/>
              <w:right w:val="nil"/>
            </w:tcBorders>
            <w:shd w:val="clear" w:color="auto" w:fill="auto"/>
            <w:vAlign w:val="center"/>
            <w:hideMark/>
          </w:tcPr>
          <w:p w:rsidR="00C8240D" w:rsidRPr="00617833" w:rsidRDefault="00C8240D">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4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138.033</w:t>
            </w:r>
          </w:p>
        </w:tc>
        <w:tc>
          <w:tcPr>
            <w:tcW w:w="12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12.808</w:t>
            </w:r>
          </w:p>
        </w:tc>
        <w:tc>
          <w:tcPr>
            <w:tcW w:w="1200" w:type="dxa"/>
            <w:tcBorders>
              <w:top w:val="single" w:sz="8" w:space="0" w:color="auto"/>
              <w:left w:val="nil"/>
              <w:bottom w:val="single" w:sz="8" w:space="0" w:color="auto"/>
              <w:right w:val="nil"/>
            </w:tcBorders>
            <w:shd w:val="clear" w:color="auto" w:fill="auto"/>
            <w:vAlign w:val="center"/>
            <w:hideMark/>
          </w:tcPr>
          <w:p w:rsidR="00C8240D" w:rsidRPr="00617833" w:rsidRDefault="00C8240D">
            <w:pPr>
              <w:jc w:val="right"/>
              <w:rPr>
                <w:rFonts w:ascii="Verdana" w:hAnsi="Verdana" w:cs="Calibri"/>
                <w:b/>
                <w:bCs/>
                <w:color w:val="002060"/>
                <w:sz w:val="20"/>
                <w:szCs w:val="20"/>
              </w:rPr>
            </w:pPr>
            <w:r w:rsidRPr="00617833">
              <w:rPr>
                <w:rFonts w:ascii="Verdana" w:hAnsi="Verdana" w:cs="Calibri"/>
                <w:b/>
                <w:bCs/>
                <w:color w:val="002060"/>
                <w:sz w:val="20"/>
                <w:szCs w:val="20"/>
              </w:rPr>
              <w:t>138.102</w:t>
            </w:r>
          </w:p>
        </w:tc>
      </w:tr>
    </w:tbl>
    <w:p w:rsidR="00C8240D" w:rsidRPr="00617833" w:rsidRDefault="00C8240D" w:rsidP="004322CF">
      <w:pPr>
        <w:pStyle w:val="Textoindependiente"/>
        <w:spacing w:before="120" w:after="120"/>
        <w:ind w:firstLine="357"/>
        <w:rPr>
          <w:rFonts w:ascii="Verdana" w:hAnsi="Verdana"/>
          <w:sz w:val="20"/>
        </w:rPr>
      </w:pPr>
    </w:p>
    <w:p w:rsidR="002F0D08" w:rsidRPr="00617833" w:rsidRDefault="00C8240D" w:rsidP="004322CF">
      <w:pPr>
        <w:pStyle w:val="Textoindependiente"/>
        <w:spacing w:before="120" w:after="120"/>
        <w:ind w:firstLine="357"/>
        <w:rPr>
          <w:rFonts w:ascii="Verdana" w:hAnsi="Verdana"/>
          <w:sz w:val="20"/>
        </w:rPr>
      </w:pPr>
      <w:r w:rsidRPr="00617833">
        <w:rPr>
          <w:rFonts w:ascii="Verdana" w:hAnsi="Verdana"/>
          <w:sz w:val="20"/>
        </w:rPr>
        <w:t>Si descontamos estos datos del total de ordinarios</w:t>
      </w:r>
      <w:r w:rsidR="002F0D08" w:rsidRPr="00617833">
        <w:rPr>
          <w:rFonts w:ascii="Verdana" w:hAnsi="Verdana"/>
          <w:sz w:val="20"/>
        </w:rPr>
        <w:t xml:space="preserve"> y comparamos con los datos de 2016, observamos que se habría </w:t>
      </w:r>
      <w:r w:rsidR="00DE0D53" w:rsidRPr="00617833">
        <w:rPr>
          <w:rFonts w:ascii="Verdana" w:hAnsi="Verdana"/>
          <w:sz w:val="20"/>
        </w:rPr>
        <w:t>producido</w:t>
      </w:r>
      <w:r w:rsidR="002F0D08" w:rsidRPr="00617833">
        <w:rPr>
          <w:rFonts w:ascii="Verdana" w:hAnsi="Verdana"/>
          <w:sz w:val="20"/>
        </w:rPr>
        <w:t xml:space="preserve"> una disminución del 3,3% en el ingreso y del 7,7% en la pendencia, mientras que la resolución habría </w:t>
      </w:r>
      <w:r w:rsidR="00DE0D53" w:rsidRPr="00617833">
        <w:rPr>
          <w:rFonts w:ascii="Verdana" w:hAnsi="Verdana"/>
          <w:sz w:val="20"/>
        </w:rPr>
        <w:t>aumentado</w:t>
      </w:r>
      <w:r w:rsidR="002F0D08" w:rsidRPr="00617833">
        <w:rPr>
          <w:rFonts w:ascii="Verdana" w:hAnsi="Verdana"/>
          <w:sz w:val="20"/>
        </w:rPr>
        <w:t xml:space="preserve"> un 0,7%.</w:t>
      </w:r>
    </w:p>
    <w:p w:rsidR="002F0D08" w:rsidRPr="00617833" w:rsidRDefault="002F0D08" w:rsidP="004322CF">
      <w:pPr>
        <w:pStyle w:val="Textoindependiente"/>
        <w:spacing w:before="120" w:after="120"/>
        <w:ind w:firstLine="357"/>
        <w:rPr>
          <w:rFonts w:ascii="Verdana" w:hAnsi="Verdana"/>
          <w:sz w:val="20"/>
        </w:rPr>
      </w:pPr>
      <w:r w:rsidRPr="00617833">
        <w:rPr>
          <w:rFonts w:ascii="Verdana" w:hAnsi="Verdana"/>
          <w:sz w:val="20"/>
        </w:rPr>
        <w:t>Para los juicios verbales, sin contabilizar los arrendaticios y posesorios, se observa un incremento del ingreso del 8%, del 16,2% en la pendencia, y una disminución del 6,3% en la resolución.</w:t>
      </w:r>
    </w:p>
    <w:tbl>
      <w:tblPr>
        <w:tblW w:w="6080" w:type="dxa"/>
        <w:jc w:val="center"/>
        <w:tblInd w:w="55" w:type="dxa"/>
        <w:tblCellMar>
          <w:left w:w="70" w:type="dxa"/>
          <w:right w:w="70" w:type="dxa"/>
        </w:tblCellMar>
        <w:tblLook w:val="04A0" w:firstRow="1" w:lastRow="0" w:firstColumn="1" w:lastColumn="0" w:noHBand="0" w:noVBand="1"/>
      </w:tblPr>
      <w:tblGrid>
        <w:gridCol w:w="2280"/>
        <w:gridCol w:w="1400"/>
        <w:gridCol w:w="1200"/>
        <w:gridCol w:w="1200"/>
      </w:tblGrid>
      <w:tr w:rsidR="002F0D08" w:rsidRPr="00617833" w:rsidTr="00F60675">
        <w:trPr>
          <w:trHeight w:val="647"/>
          <w:jc w:val="center"/>
        </w:trPr>
        <w:tc>
          <w:tcPr>
            <w:tcW w:w="2280" w:type="dxa"/>
            <w:tcBorders>
              <w:top w:val="single" w:sz="8" w:space="0" w:color="auto"/>
              <w:left w:val="nil"/>
              <w:bottom w:val="single" w:sz="8" w:space="0" w:color="auto"/>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w:t>
            </w:r>
          </w:p>
        </w:tc>
        <w:tc>
          <w:tcPr>
            <w:tcW w:w="14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Ingresados</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Resueltos</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En trámite al final del año</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Andalucía</w:t>
            </w:r>
          </w:p>
        </w:tc>
        <w:tc>
          <w:tcPr>
            <w:tcW w:w="14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43.780</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37.508</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33.060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Aragón</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5.541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5.081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2480</w:t>
            </w:r>
          </w:p>
        </w:tc>
      </w:tr>
      <w:tr w:rsidR="002F0D08" w:rsidRPr="00617833" w:rsidTr="00F60675">
        <w:trPr>
          <w:trHeight w:val="25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6.731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6.276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2515</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Illes Balears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6.175</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5.434</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3367</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Canarias</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12.206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9.832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8.477</w:t>
            </w:r>
          </w:p>
        </w:tc>
      </w:tr>
      <w:tr w:rsidR="002F0D08" w:rsidRPr="00617833" w:rsidTr="00F60675">
        <w:trPr>
          <w:trHeight w:val="192"/>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Cantabria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4.360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4.068</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2132</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Castilla y León</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12.124</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11.937</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6.097</w:t>
            </w:r>
          </w:p>
        </w:tc>
      </w:tr>
      <w:tr w:rsidR="002F0D08" w:rsidRPr="00617833" w:rsidTr="00F60675">
        <w:trPr>
          <w:trHeight w:val="157"/>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Castilla-La Mancha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8.402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7.106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7.043</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Cataluña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40.865</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36.383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28.793</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sidR="002F0D08" w:rsidRPr="00617833">
              <w:rPr>
                <w:rFonts w:ascii="Verdana" w:hAnsi="Verdana" w:cs="Arial"/>
                <w:color w:val="000000"/>
                <w:sz w:val="20"/>
                <w:szCs w:val="20"/>
              </w:rPr>
              <w:t xml:space="preserve"> Valenciana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27.741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25.290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19.114</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Extremadura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4.159</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3.637</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2477</w:t>
            </w:r>
          </w:p>
        </w:tc>
      </w:tr>
      <w:tr w:rsidR="002F0D08" w:rsidRPr="00617833" w:rsidTr="00F60675">
        <w:trPr>
          <w:trHeight w:val="8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Galicia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16.112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15.006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8.911</w:t>
            </w:r>
          </w:p>
        </w:tc>
      </w:tr>
      <w:tr w:rsidR="002F0D08" w:rsidRPr="00617833" w:rsidTr="00F60675">
        <w:trPr>
          <w:trHeight w:val="108"/>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31.633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31.652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21.622</w:t>
            </w:r>
          </w:p>
        </w:tc>
      </w:tr>
      <w:tr w:rsidR="002F0D08" w:rsidRPr="00617833" w:rsidTr="00F60675">
        <w:trPr>
          <w:trHeight w:val="214"/>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Murcia (Región de)</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8.225</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6.771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7.795</w:t>
            </w:r>
          </w:p>
        </w:tc>
      </w:tr>
      <w:tr w:rsidR="002F0D08" w:rsidRPr="00617833" w:rsidTr="00F60675">
        <w:trPr>
          <w:trHeight w:val="26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2.383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2.376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816</w:t>
            </w:r>
          </w:p>
        </w:tc>
      </w:tr>
      <w:tr w:rsidR="002F0D08" w:rsidRPr="00617833" w:rsidTr="00F60675">
        <w:trPr>
          <w:trHeight w:val="136"/>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País Vasco</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9.798</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9.553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4.585</w:t>
            </w:r>
          </w:p>
        </w:tc>
      </w:tr>
      <w:tr w:rsidR="002F0D08" w:rsidRPr="00617833" w:rsidTr="002F0D08">
        <w:trPr>
          <w:trHeight w:val="315"/>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La Rioja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1322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1328</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616</w:t>
            </w:r>
          </w:p>
        </w:tc>
      </w:tr>
      <w:tr w:rsidR="002F0D08" w:rsidRPr="00617833" w:rsidTr="002F0D08">
        <w:trPr>
          <w:trHeight w:val="315"/>
          <w:jc w:val="center"/>
        </w:trPr>
        <w:tc>
          <w:tcPr>
            <w:tcW w:w="2280" w:type="dxa"/>
            <w:tcBorders>
              <w:top w:val="single" w:sz="8" w:space="0" w:color="auto"/>
              <w:left w:val="nil"/>
              <w:bottom w:val="single" w:sz="8" w:space="0" w:color="auto"/>
              <w:right w:val="nil"/>
            </w:tcBorders>
            <w:shd w:val="clear" w:color="auto" w:fill="auto"/>
            <w:vAlign w:val="center"/>
            <w:hideMark/>
          </w:tcPr>
          <w:p w:rsidR="002F0D08" w:rsidRPr="00617833" w:rsidRDefault="002F0D08">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4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241.557</w:t>
            </w:r>
          </w:p>
        </w:tc>
        <w:tc>
          <w:tcPr>
            <w:tcW w:w="12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219.238</w:t>
            </w:r>
          </w:p>
        </w:tc>
        <w:tc>
          <w:tcPr>
            <w:tcW w:w="12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159.900</w:t>
            </w:r>
          </w:p>
        </w:tc>
      </w:tr>
      <w:tr w:rsidR="002F0D08" w:rsidRPr="00617833" w:rsidTr="002F0D08">
        <w:trPr>
          <w:trHeight w:val="525"/>
          <w:jc w:val="center"/>
        </w:trPr>
        <w:tc>
          <w:tcPr>
            <w:tcW w:w="2280" w:type="dxa"/>
            <w:tcBorders>
              <w:top w:val="nil"/>
              <w:left w:val="nil"/>
              <w:bottom w:val="single" w:sz="8" w:space="0" w:color="0000FF"/>
              <w:right w:val="nil"/>
            </w:tcBorders>
            <w:shd w:val="clear" w:color="auto" w:fill="auto"/>
            <w:vAlign w:val="center"/>
            <w:hideMark/>
          </w:tcPr>
          <w:p w:rsidR="002F0D08" w:rsidRPr="00617833" w:rsidRDefault="002F0D08">
            <w:pPr>
              <w:jc w:val="center"/>
              <w:rPr>
                <w:rFonts w:ascii="Verdana" w:hAnsi="Verdana" w:cs="Calibri"/>
                <w:b/>
                <w:bCs/>
                <w:color w:val="000080"/>
                <w:sz w:val="20"/>
                <w:szCs w:val="20"/>
              </w:rPr>
            </w:pPr>
            <w:r w:rsidRPr="00617833">
              <w:rPr>
                <w:rFonts w:ascii="Verdana" w:hAnsi="Verdana" w:cs="Arial"/>
                <w:b/>
                <w:bCs/>
                <w:color w:val="000080"/>
                <w:sz w:val="20"/>
                <w:szCs w:val="20"/>
              </w:rPr>
              <w:t>Variación respecto a 2016</w:t>
            </w:r>
          </w:p>
        </w:tc>
        <w:tc>
          <w:tcPr>
            <w:tcW w:w="1400" w:type="dxa"/>
            <w:tcBorders>
              <w:top w:val="nil"/>
              <w:left w:val="nil"/>
              <w:bottom w:val="single" w:sz="8" w:space="0" w:color="0000FF"/>
              <w:right w:val="nil"/>
            </w:tcBorders>
            <w:shd w:val="clear" w:color="auto" w:fill="auto"/>
            <w:vAlign w:val="center"/>
            <w:hideMark/>
          </w:tcPr>
          <w:p w:rsidR="002F0D08" w:rsidRPr="00617833" w:rsidRDefault="002F0D08">
            <w:pPr>
              <w:jc w:val="right"/>
              <w:rPr>
                <w:rFonts w:ascii="Verdana" w:hAnsi="Verdana" w:cs="Calibri"/>
                <w:b/>
                <w:bCs/>
                <w:color w:val="333399"/>
                <w:sz w:val="20"/>
                <w:szCs w:val="20"/>
              </w:rPr>
            </w:pPr>
            <w:r w:rsidRPr="00617833">
              <w:rPr>
                <w:rFonts w:ascii="Verdana" w:hAnsi="Verdana" w:cs="Calibri"/>
                <w:b/>
                <w:bCs/>
                <w:color w:val="333399"/>
                <w:sz w:val="20"/>
                <w:szCs w:val="20"/>
              </w:rPr>
              <w:t>8,0%</w:t>
            </w:r>
          </w:p>
        </w:tc>
        <w:tc>
          <w:tcPr>
            <w:tcW w:w="1200" w:type="dxa"/>
            <w:tcBorders>
              <w:top w:val="nil"/>
              <w:left w:val="nil"/>
              <w:bottom w:val="single" w:sz="8" w:space="0" w:color="0000FF"/>
              <w:right w:val="nil"/>
            </w:tcBorders>
            <w:shd w:val="clear" w:color="auto" w:fill="auto"/>
            <w:vAlign w:val="center"/>
            <w:hideMark/>
          </w:tcPr>
          <w:p w:rsidR="002F0D08" w:rsidRPr="00617833" w:rsidRDefault="002F0D08">
            <w:pPr>
              <w:jc w:val="right"/>
              <w:rPr>
                <w:rFonts w:ascii="Verdana" w:hAnsi="Verdana" w:cs="Calibri"/>
                <w:b/>
                <w:bCs/>
                <w:color w:val="333399"/>
                <w:sz w:val="20"/>
                <w:szCs w:val="20"/>
              </w:rPr>
            </w:pPr>
            <w:r w:rsidRPr="00617833">
              <w:rPr>
                <w:rFonts w:ascii="Verdana" w:hAnsi="Verdana" w:cs="Calibri"/>
                <w:b/>
                <w:bCs/>
                <w:color w:val="333399"/>
                <w:sz w:val="20"/>
                <w:szCs w:val="20"/>
              </w:rPr>
              <w:t>-6,3%</w:t>
            </w:r>
          </w:p>
        </w:tc>
        <w:tc>
          <w:tcPr>
            <w:tcW w:w="1200" w:type="dxa"/>
            <w:tcBorders>
              <w:top w:val="nil"/>
              <w:left w:val="nil"/>
              <w:bottom w:val="single" w:sz="8" w:space="0" w:color="0000FF"/>
              <w:right w:val="nil"/>
            </w:tcBorders>
            <w:shd w:val="clear" w:color="auto" w:fill="auto"/>
            <w:vAlign w:val="center"/>
            <w:hideMark/>
          </w:tcPr>
          <w:p w:rsidR="002F0D08" w:rsidRPr="00617833" w:rsidRDefault="002F0D08">
            <w:pPr>
              <w:jc w:val="right"/>
              <w:rPr>
                <w:rFonts w:ascii="Verdana" w:hAnsi="Verdana" w:cs="Calibri"/>
                <w:b/>
                <w:bCs/>
                <w:color w:val="333399"/>
                <w:sz w:val="20"/>
                <w:szCs w:val="20"/>
              </w:rPr>
            </w:pPr>
            <w:r w:rsidRPr="00617833">
              <w:rPr>
                <w:rFonts w:ascii="Verdana" w:hAnsi="Verdana" w:cs="Calibri"/>
                <w:b/>
                <w:bCs/>
                <w:color w:val="333399"/>
                <w:sz w:val="20"/>
                <w:szCs w:val="20"/>
              </w:rPr>
              <w:t>16,2%</w:t>
            </w:r>
          </w:p>
        </w:tc>
      </w:tr>
    </w:tbl>
    <w:p w:rsidR="002F0D08" w:rsidRPr="00617833" w:rsidRDefault="002F0D08" w:rsidP="004322CF">
      <w:pPr>
        <w:pStyle w:val="Textoindependiente"/>
        <w:spacing w:before="120" w:after="120"/>
        <w:ind w:firstLine="357"/>
        <w:rPr>
          <w:rFonts w:ascii="Verdana" w:hAnsi="Verdana"/>
          <w:sz w:val="20"/>
        </w:rPr>
      </w:pPr>
      <w:r w:rsidRPr="00617833">
        <w:rPr>
          <w:rFonts w:ascii="Verdana" w:hAnsi="Verdana"/>
          <w:sz w:val="20"/>
        </w:rPr>
        <w:lastRenderedPageBreak/>
        <w:t>El movimiento en el cuarto trimestre de 2016 de los juicios verbales relacionados con  las acciones individuales sobre condiciones generales de la contratación en los juzgados especializados ha sido:</w:t>
      </w:r>
    </w:p>
    <w:tbl>
      <w:tblPr>
        <w:tblW w:w="6080" w:type="dxa"/>
        <w:jc w:val="center"/>
        <w:tblInd w:w="55" w:type="dxa"/>
        <w:tblCellMar>
          <w:left w:w="70" w:type="dxa"/>
          <w:right w:w="70" w:type="dxa"/>
        </w:tblCellMar>
        <w:tblLook w:val="04A0" w:firstRow="1" w:lastRow="0" w:firstColumn="1" w:lastColumn="0" w:noHBand="0" w:noVBand="1"/>
      </w:tblPr>
      <w:tblGrid>
        <w:gridCol w:w="2280"/>
        <w:gridCol w:w="1400"/>
        <w:gridCol w:w="1200"/>
        <w:gridCol w:w="1200"/>
      </w:tblGrid>
      <w:tr w:rsidR="002F0D08" w:rsidRPr="00617833" w:rsidTr="002F0D08">
        <w:trPr>
          <w:trHeight w:val="915"/>
          <w:jc w:val="center"/>
        </w:trPr>
        <w:tc>
          <w:tcPr>
            <w:tcW w:w="2280" w:type="dxa"/>
            <w:tcBorders>
              <w:top w:val="single" w:sz="8" w:space="0" w:color="auto"/>
              <w:left w:val="nil"/>
              <w:bottom w:val="single" w:sz="8" w:space="0" w:color="auto"/>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w:t>
            </w:r>
          </w:p>
        </w:tc>
        <w:tc>
          <w:tcPr>
            <w:tcW w:w="14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Ingresados</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Resueltos</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center"/>
              <w:rPr>
                <w:rFonts w:ascii="Verdana" w:hAnsi="Verdana" w:cs="Calibri"/>
                <w:b/>
                <w:bCs/>
                <w:color w:val="000080"/>
                <w:sz w:val="18"/>
                <w:szCs w:val="18"/>
              </w:rPr>
            </w:pPr>
            <w:r w:rsidRPr="00617833">
              <w:rPr>
                <w:rFonts w:ascii="Verdana" w:hAnsi="Verdana" w:cs="Arial"/>
                <w:b/>
                <w:bCs/>
                <w:color w:val="000080"/>
                <w:sz w:val="18"/>
                <w:szCs w:val="18"/>
              </w:rPr>
              <w:t>En trámite al final del año</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Andalucía</w:t>
            </w:r>
          </w:p>
        </w:tc>
        <w:tc>
          <w:tcPr>
            <w:tcW w:w="14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w:t>
            </w:r>
          </w:p>
        </w:tc>
        <w:tc>
          <w:tcPr>
            <w:tcW w:w="1200" w:type="dxa"/>
            <w:tcBorders>
              <w:top w:val="single" w:sz="8" w:space="0" w:color="auto"/>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Aragón</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9</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Illes Balears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Canarias</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4</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9</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Cantabria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Castilla y León</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15</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Castilla-La Mancha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7</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Cataluña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sidR="002F0D08" w:rsidRPr="00617833">
              <w:rPr>
                <w:rFonts w:ascii="Verdana" w:hAnsi="Verdana" w:cs="Arial"/>
                <w:color w:val="000000"/>
                <w:sz w:val="20"/>
                <w:szCs w:val="20"/>
              </w:rPr>
              <w:t xml:space="preserve"> Valenciana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13</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Extremadura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18</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Galicia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38</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10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32</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Murcia (Región de)</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5</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3</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2</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6</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00"/>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País Vasco</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15"/>
          <w:jc w:val="center"/>
        </w:trPr>
        <w:tc>
          <w:tcPr>
            <w:tcW w:w="2280" w:type="dxa"/>
            <w:tcBorders>
              <w:top w:val="nil"/>
              <w:left w:val="nil"/>
              <w:bottom w:val="nil"/>
              <w:right w:val="nil"/>
            </w:tcBorders>
            <w:shd w:val="clear" w:color="auto" w:fill="auto"/>
            <w:vAlign w:val="center"/>
            <w:hideMark/>
          </w:tcPr>
          <w:p w:rsidR="002F0D08" w:rsidRPr="00617833" w:rsidRDefault="002F0D08">
            <w:pPr>
              <w:rPr>
                <w:rFonts w:ascii="Verdana" w:hAnsi="Verdana" w:cs="Calibri"/>
                <w:color w:val="000000"/>
                <w:sz w:val="20"/>
                <w:szCs w:val="20"/>
              </w:rPr>
            </w:pPr>
            <w:r w:rsidRPr="00617833">
              <w:rPr>
                <w:rFonts w:ascii="Verdana" w:hAnsi="Verdana" w:cs="Arial"/>
                <w:color w:val="000000"/>
                <w:sz w:val="20"/>
                <w:szCs w:val="20"/>
              </w:rPr>
              <w:t>La Rioja</w:t>
            </w:r>
          </w:p>
        </w:tc>
        <w:tc>
          <w:tcPr>
            <w:tcW w:w="14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c>
          <w:tcPr>
            <w:tcW w:w="1200" w:type="dxa"/>
            <w:tcBorders>
              <w:top w:val="nil"/>
              <w:left w:val="nil"/>
              <w:bottom w:val="nil"/>
              <w:right w:val="nil"/>
            </w:tcBorders>
            <w:shd w:val="clear" w:color="auto" w:fill="auto"/>
            <w:vAlign w:val="center"/>
            <w:hideMark/>
          </w:tcPr>
          <w:p w:rsidR="002F0D08" w:rsidRPr="00617833" w:rsidRDefault="002F0D08">
            <w:pPr>
              <w:jc w:val="right"/>
              <w:rPr>
                <w:rFonts w:ascii="Verdana" w:hAnsi="Verdana" w:cs="Calibri"/>
                <w:color w:val="000000"/>
                <w:sz w:val="20"/>
                <w:szCs w:val="20"/>
              </w:rPr>
            </w:pPr>
            <w:r w:rsidRPr="00617833">
              <w:rPr>
                <w:rFonts w:ascii="Verdana" w:hAnsi="Verdana" w:cs="Calibri"/>
                <w:color w:val="000000"/>
                <w:sz w:val="20"/>
                <w:szCs w:val="20"/>
              </w:rPr>
              <w:t>0</w:t>
            </w:r>
          </w:p>
        </w:tc>
      </w:tr>
      <w:tr w:rsidR="002F0D08" w:rsidRPr="00617833" w:rsidTr="002F0D08">
        <w:trPr>
          <w:trHeight w:val="315"/>
          <w:jc w:val="center"/>
        </w:trPr>
        <w:tc>
          <w:tcPr>
            <w:tcW w:w="2280" w:type="dxa"/>
            <w:tcBorders>
              <w:top w:val="single" w:sz="8" w:space="0" w:color="auto"/>
              <w:left w:val="nil"/>
              <w:bottom w:val="single" w:sz="8" w:space="0" w:color="auto"/>
              <w:right w:val="nil"/>
            </w:tcBorders>
            <w:shd w:val="clear" w:color="auto" w:fill="auto"/>
            <w:vAlign w:val="center"/>
            <w:hideMark/>
          </w:tcPr>
          <w:p w:rsidR="002F0D08" w:rsidRPr="00617833" w:rsidRDefault="002F0D08">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4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123</w:t>
            </w:r>
          </w:p>
        </w:tc>
        <w:tc>
          <w:tcPr>
            <w:tcW w:w="12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53</w:t>
            </w:r>
          </w:p>
        </w:tc>
        <w:tc>
          <w:tcPr>
            <w:tcW w:w="1200" w:type="dxa"/>
            <w:tcBorders>
              <w:top w:val="single" w:sz="8" w:space="0" w:color="auto"/>
              <w:left w:val="nil"/>
              <w:bottom w:val="single" w:sz="8" w:space="0" w:color="auto"/>
              <w:right w:val="nil"/>
            </w:tcBorders>
            <w:shd w:val="clear" w:color="auto" w:fill="auto"/>
            <w:vAlign w:val="center"/>
            <w:hideMark/>
          </w:tcPr>
          <w:p w:rsidR="002F0D08" w:rsidRPr="00617833" w:rsidRDefault="002F0D08">
            <w:pPr>
              <w:jc w:val="right"/>
              <w:rPr>
                <w:rFonts w:ascii="Verdana" w:hAnsi="Verdana" w:cs="Calibri"/>
                <w:b/>
                <w:bCs/>
                <w:color w:val="002060"/>
                <w:sz w:val="20"/>
                <w:szCs w:val="20"/>
              </w:rPr>
            </w:pPr>
            <w:r w:rsidRPr="00617833">
              <w:rPr>
                <w:rFonts w:ascii="Verdana" w:hAnsi="Verdana" w:cs="Calibri"/>
                <w:b/>
                <w:bCs/>
                <w:color w:val="002060"/>
                <w:sz w:val="20"/>
                <w:szCs w:val="20"/>
              </w:rPr>
              <w:t>95</w:t>
            </w:r>
          </w:p>
        </w:tc>
      </w:tr>
    </w:tbl>
    <w:p w:rsidR="002F0D08" w:rsidRPr="00617833" w:rsidRDefault="002B2774" w:rsidP="004322CF">
      <w:pPr>
        <w:pStyle w:val="Textoindependiente"/>
        <w:spacing w:before="120" w:after="120"/>
        <w:ind w:firstLine="357"/>
        <w:rPr>
          <w:rFonts w:ascii="Verdana" w:hAnsi="Verdana"/>
          <w:sz w:val="20"/>
        </w:rPr>
      </w:pPr>
      <w:r w:rsidRPr="00617833">
        <w:rPr>
          <w:rFonts w:ascii="Verdana" w:hAnsi="Verdana"/>
          <w:sz w:val="20"/>
        </w:rPr>
        <w:t xml:space="preserve">Por lo que se aprecia que su incidencia en el movimiento de juicios verbales en la primera </w:t>
      </w:r>
      <w:r w:rsidR="00DE0D53" w:rsidRPr="00617833">
        <w:rPr>
          <w:rFonts w:ascii="Verdana" w:hAnsi="Verdana"/>
          <w:sz w:val="20"/>
        </w:rPr>
        <w:t>instancia</w:t>
      </w:r>
      <w:r w:rsidRPr="00617833">
        <w:rPr>
          <w:rFonts w:ascii="Verdana" w:hAnsi="Verdana"/>
          <w:sz w:val="20"/>
        </w:rPr>
        <w:t xml:space="preserve"> civil ha sido </w:t>
      </w:r>
      <w:r w:rsidR="00DE0D53" w:rsidRPr="00617833">
        <w:rPr>
          <w:rFonts w:ascii="Verdana" w:hAnsi="Verdana"/>
          <w:sz w:val="20"/>
        </w:rPr>
        <w:t>mínima</w:t>
      </w:r>
      <w:r w:rsidRPr="00617833">
        <w:rPr>
          <w:rFonts w:ascii="Verdana" w:hAnsi="Verdana"/>
          <w:sz w:val="20"/>
        </w:rPr>
        <w:t>.</w:t>
      </w:r>
    </w:p>
    <w:p w:rsidR="002F0D08" w:rsidRPr="00617833" w:rsidRDefault="002F0D08" w:rsidP="004322CF">
      <w:pPr>
        <w:pStyle w:val="Textoindependiente"/>
        <w:spacing w:before="120" w:after="120"/>
        <w:ind w:firstLine="357"/>
        <w:rPr>
          <w:rFonts w:ascii="Verdana" w:hAnsi="Verdana"/>
          <w:sz w:val="20"/>
        </w:rPr>
      </w:pPr>
    </w:p>
    <w:p w:rsidR="00E552B4" w:rsidRPr="00617833" w:rsidRDefault="00E552B4">
      <w:pPr>
        <w:pStyle w:val="Textoindependiente"/>
        <w:spacing w:before="120" w:after="120"/>
        <w:ind w:firstLine="357"/>
        <w:rPr>
          <w:rFonts w:ascii="Verdana" w:hAnsi="Verdana"/>
          <w:sz w:val="20"/>
        </w:rPr>
      </w:pPr>
      <w:r w:rsidRPr="00617833">
        <w:rPr>
          <w:rFonts w:ascii="Verdana" w:hAnsi="Verdana"/>
          <w:sz w:val="20"/>
        </w:rPr>
        <w:t xml:space="preserve">En los juzgados de lo mercantil, el número de </w:t>
      </w:r>
      <w:r w:rsidRPr="00617833">
        <w:rPr>
          <w:rFonts w:ascii="Verdana" w:hAnsi="Verdana"/>
          <w:b/>
          <w:sz w:val="20"/>
        </w:rPr>
        <w:t>concursos</w:t>
      </w:r>
      <w:r w:rsidRPr="00617833">
        <w:rPr>
          <w:rFonts w:ascii="Verdana" w:hAnsi="Verdana"/>
          <w:sz w:val="20"/>
        </w:rPr>
        <w:t xml:space="preserve"> presentados, 5.357, es un 1,9% inferior al de los presentados en 2016.  En estos juzgados se han declarado 3.416 concursos, de ellos 3.128 voluntarios y 288 necesarios. Además, 1.091 han sido declarados concluidos según el artículo 176 bis 4 de la Ley Concursal, 8 de ellos necesarios.   </w:t>
      </w:r>
      <w:r w:rsidR="004B1A21" w:rsidRPr="00617833">
        <w:rPr>
          <w:rFonts w:ascii="Verdana" w:hAnsi="Verdana"/>
          <w:sz w:val="20"/>
        </w:rPr>
        <w:t>Se ha aperturado la fase de convenio en 578</w:t>
      </w:r>
      <w:r w:rsidRPr="00617833">
        <w:rPr>
          <w:rFonts w:ascii="Verdana" w:hAnsi="Verdana"/>
          <w:sz w:val="20"/>
        </w:rPr>
        <w:t xml:space="preserve"> concursos</w:t>
      </w:r>
      <w:r w:rsidR="004B1A21" w:rsidRPr="00617833">
        <w:rPr>
          <w:rFonts w:ascii="Verdana" w:hAnsi="Verdana"/>
          <w:sz w:val="20"/>
        </w:rPr>
        <w:t xml:space="preserve">, y se ha iniciado la liquidación en 3.086, </w:t>
      </w:r>
      <w:r w:rsidRPr="00617833">
        <w:rPr>
          <w:rFonts w:ascii="Verdana" w:hAnsi="Verdana"/>
          <w:sz w:val="20"/>
        </w:rPr>
        <w:t>un 1</w:t>
      </w:r>
      <w:r w:rsidR="004B1A21" w:rsidRPr="00617833">
        <w:rPr>
          <w:rFonts w:ascii="Verdana" w:hAnsi="Verdana"/>
          <w:sz w:val="20"/>
        </w:rPr>
        <w:t>2</w:t>
      </w:r>
      <w:r w:rsidRPr="00617833">
        <w:rPr>
          <w:rFonts w:ascii="Verdana" w:hAnsi="Verdana"/>
          <w:sz w:val="20"/>
        </w:rPr>
        <w:t>,</w:t>
      </w:r>
      <w:r w:rsidR="004B1A21" w:rsidRPr="00617833">
        <w:rPr>
          <w:rFonts w:ascii="Verdana" w:hAnsi="Verdana"/>
          <w:sz w:val="20"/>
        </w:rPr>
        <w:t>8</w:t>
      </w:r>
      <w:r w:rsidRPr="00617833">
        <w:rPr>
          <w:rFonts w:ascii="Verdana" w:hAnsi="Verdana"/>
          <w:sz w:val="20"/>
        </w:rPr>
        <w:t>% menos que el año anterio</w:t>
      </w:r>
      <w:r w:rsidR="004B1A21" w:rsidRPr="00617833">
        <w:rPr>
          <w:rFonts w:ascii="Verdana" w:hAnsi="Verdana"/>
          <w:sz w:val="20"/>
        </w:rPr>
        <w:t>r.</w:t>
      </w:r>
    </w:p>
    <w:p w:rsidR="004B1A21" w:rsidRPr="00617833" w:rsidRDefault="004B1A21" w:rsidP="004B1A21">
      <w:pPr>
        <w:pStyle w:val="Textoindependiente"/>
        <w:spacing w:before="120" w:after="120"/>
        <w:ind w:firstLine="357"/>
        <w:rPr>
          <w:rFonts w:ascii="Verdana" w:hAnsi="Verdana"/>
          <w:sz w:val="20"/>
        </w:rPr>
      </w:pPr>
      <w:r w:rsidRPr="00617833">
        <w:rPr>
          <w:rFonts w:ascii="Verdana" w:hAnsi="Verdana"/>
          <w:sz w:val="20"/>
        </w:rPr>
        <w:t>En los juzgados de primera instancia y de primera instancia e instrucción se han presentado en 2017 un total de 2.237 concursos de las personas naturales no empresarios, un 41,7% más que en 2016.  Si sumamos estos concursos a los presentados en los juzgados de lo mercantil, en conjunto, en 2017 se ha</w:t>
      </w:r>
      <w:r w:rsidR="006E6F40" w:rsidRPr="00617833">
        <w:rPr>
          <w:rFonts w:ascii="Verdana" w:hAnsi="Verdana"/>
          <w:sz w:val="20"/>
        </w:rPr>
        <w:t>n</w:t>
      </w:r>
      <w:r w:rsidRPr="00617833">
        <w:rPr>
          <w:rFonts w:ascii="Verdana" w:hAnsi="Verdana"/>
          <w:sz w:val="20"/>
        </w:rPr>
        <w:t xml:space="preserve"> presentado 7.594 concurso</w:t>
      </w:r>
      <w:r w:rsidR="006E6F40" w:rsidRPr="00617833">
        <w:rPr>
          <w:rFonts w:ascii="Verdana" w:hAnsi="Verdana"/>
          <w:sz w:val="20"/>
        </w:rPr>
        <w:t>s</w:t>
      </w:r>
      <w:r w:rsidRPr="00617833">
        <w:rPr>
          <w:rFonts w:ascii="Verdana" w:hAnsi="Verdana"/>
          <w:sz w:val="20"/>
        </w:rPr>
        <w:t>, con un incremento del 7,9% respecto al año anterior.</w:t>
      </w:r>
    </w:p>
    <w:p w:rsidR="00E72E6E" w:rsidRPr="00617833" w:rsidRDefault="00ED468B" w:rsidP="00F3443A">
      <w:pPr>
        <w:pStyle w:val="Textoindependiente"/>
        <w:spacing w:before="120" w:after="120"/>
        <w:ind w:firstLine="357"/>
        <w:rPr>
          <w:rFonts w:ascii="Verdana" w:hAnsi="Verdana"/>
          <w:sz w:val="20"/>
        </w:rPr>
      </w:pPr>
      <w:r w:rsidRPr="00617833">
        <w:rPr>
          <w:rFonts w:ascii="Verdana" w:hAnsi="Verdana"/>
          <w:sz w:val="20"/>
        </w:rPr>
        <w:t xml:space="preserve">El gráfico de evolución </w:t>
      </w:r>
      <w:r w:rsidR="004E06BE" w:rsidRPr="00617833">
        <w:rPr>
          <w:rFonts w:ascii="Verdana" w:hAnsi="Verdana"/>
          <w:sz w:val="20"/>
        </w:rPr>
        <w:t>anual</w:t>
      </w:r>
      <w:r w:rsidRPr="00617833">
        <w:rPr>
          <w:rFonts w:ascii="Verdana" w:hAnsi="Verdana"/>
          <w:sz w:val="20"/>
        </w:rPr>
        <w:t xml:space="preserve"> muestra </w:t>
      </w:r>
      <w:r w:rsidR="00E72E6E" w:rsidRPr="00617833">
        <w:rPr>
          <w:rFonts w:ascii="Verdana" w:hAnsi="Verdana"/>
          <w:sz w:val="20"/>
        </w:rPr>
        <w:t xml:space="preserve">que el </w:t>
      </w:r>
      <w:r w:rsidR="00E61263" w:rsidRPr="00617833">
        <w:rPr>
          <w:rFonts w:ascii="Verdana" w:hAnsi="Verdana"/>
          <w:sz w:val="20"/>
        </w:rPr>
        <w:t>repunte</w:t>
      </w:r>
      <w:r w:rsidR="00E72E6E" w:rsidRPr="00617833">
        <w:rPr>
          <w:rFonts w:ascii="Verdana" w:hAnsi="Verdana"/>
          <w:sz w:val="20"/>
        </w:rPr>
        <w:t xml:space="preserve"> </w:t>
      </w:r>
      <w:r w:rsidR="00DE0D53" w:rsidRPr="00617833">
        <w:rPr>
          <w:rFonts w:ascii="Verdana" w:hAnsi="Verdana"/>
          <w:sz w:val="20"/>
        </w:rPr>
        <w:t>iniciado</w:t>
      </w:r>
      <w:r w:rsidR="00E72E6E" w:rsidRPr="00617833">
        <w:rPr>
          <w:rFonts w:ascii="Verdana" w:hAnsi="Verdana"/>
          <w:sz w:val="20"/>
        </w:rPr>
        <w:t xml:space="preserve"> en 2016 a consecuencia de </w:t>
      </w:r>
      <w:r w:rsidR="00E61263" w:rsidRPr="00617833">
        <w:rPr>
          <w:rFonts w:ascii="Verdana" w:hAnsi="Verdana"/>
          <w:sz w:val="20"/>
        </w:rPr>
        <w:t xml:space="preserve">los concursos de las personas físicas no empresarios, </w:t>
      </w:r>
      <w:r w:rsidR="00E72E6E" w:rsidRPr="00617833">
        <w:rPr>
          <w:rFonts w:ascii="Verdana" w:hAnsi="Verdana"/>
          <w:sz w:val="20"/>
        </w:rPr>
        <w:t xml:space="preserve">ha continuado en 2017, aunque todavía el </w:t>
      </w:r>
      <w:r w:rsidR="00DE0D53" w:rsidRPr="00617833">
        <w:rPr>
          <w:rFonts w:ascii="Verdana" w:hAnsi="Verdana"/>
          <w:sz w:val="20"/>
        </w:rPr>
        <w:t>número</w:t>
      </w:r>
      <w:r w:rsidR="00E72E6E" w:rsidRPr="00617833">
        <w:rPr>
          <w:rFonts w:ascii="Verdana" w:hAnsi="Verdana"/>
          <w:sz w:val="20"/>
        </w:rPr>
        <w:t xml:space="preserve"> de </w:t>
      </w:r>
      <w:r w:rsidR="00DE0D53" w:rsidRPr="00617833">
        <w:rPr>
          <w:rFonts w:ascii="Verdana" w:hAnsi="Verdana"/>
          <w:sz w:val="20"/>
        </w:rPr>
        <w:t>concursos</w:t>
      </w:r>
      <w:r w:rsidR="00E72E6E" w:rsidRPr="00617833">
        <w:rPr>
          <w:rFonts w:ascii="Verdana" w:hAnsi="Verdana"/>
          <w:sz w:val="20"/>
        </w:rPr>
        <w:t xml:space="preserve"> presentados </w:t>
      </w:r>
      <w:r w:rsidR="00DE0D53" w:rsidRPr="00617833">
        <w:rPr>
          <w:rFonts w:ascii="Verdana" w:hAnsi="Verdana"/>
          <w:sz w:val="20"/>
        </w:rPr>
        <w:t>está</w:t>
      </w:r>
      <w:r w:rsidR="00E72E6E" w:rsidRPr="00617833">
        <w:rPr>
          <w:rFonts w:ascii="Verdana" w:hAnsi="Verdana"/>
          <w:sz w:val="20"/>
        </w:rPr>
        <w:t xml:space="preserve"> por debajo del nivel de 2011.</w:t>
      </w:r>
    </w:p>
    <w:p w:rsidR="00F3443A" w:rsidRPr="00617833" w:rsidRDefault="00E72E6E" w:rsidP="00F3443A">
      <w:pPr>
        <w:pStyle w:val="Textoindependiente"/>
        <w:spacing w:before="120" w:after="120"/>
        <w:ind w:firstLine="357"/>
        <w:jc w:val="center"/>
        <w:rPr>
          <w:rFonts w:ascii="Verdana" w:hAnsi="Verdana"/>
          <w:sz w:val="20"/>
        </w:rPr>
      </w:pPr>
      <w:r w:rsidRPr="00617833">
        <w:rPr>
          <w:noProof/>
        </w:rPr>
        <w:lastRenderedPageBreak/>
        <w:drawing>
          <wp:inline distT="0" distB="0" distL="0" distR="0" wp14:anchorId="75709AA5" wp14:editId="7BE9B0B6">
            <wp:extent cx="4029075" cy="2657475"/>
            <wp:effectExtent l="0" t="0" r="9525" b="9525"/>
            <wp:docPr id="1065" name="Gráfico 10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31CB" w:rsidRPr="00617833" w:rsidRDefault="00EA6C21">
      <w:pPr>
        <w:pStyle w:val="Textoindependiente"/>
        <w:spacing w:before="120" w:after="120"/>
        <w:ind w:firstLine="357"/>
        <w:rPr>
          <w:rFonts w:ascii="Verdana" w:hAnsi="Verdana"/>
          <w:sz w:val="20"/>
        </w:rPr>
      </w:pPr>
      <w:r w:rsidRPr="00617833">
        <w:rPr>
          <w:rFonts w:ascii="Verdana" w:hAnsi="Verdana"/>
          <w:sz w:val="20"/>
        </w:rPr>
        <w:t>En los juzgados de lo m</w:t>
      </w:r>
      <w:r w:rsidR="0091183A" w:rsidRPr="00617833">
        <w:rPr>
          <w:rFonts w:ascii="Verdana" w:hAnsi="Verdana"/>
          <w:sz w:val="20"/>
        </w:rPr>
        <w:t xml:space="preserve">ercantil </w:t>
      </w:r>
      <w:r w:rsidR="00E84A58" w:rsidRPr="00617833">
        <w:rPr>
          <w:rFonts w:ascii="Verdana" w:hAnsi="Verdana"/>
          <w:sz w:val="20"/>
        </w:rPr>
        <w:t>han ingresado</w:t>
      </w:r>
      <w:r w:rsidR="00B70366" w:rsidRPr="00617833">
        <w:rPr>
          <w:rFonts w:ascii="Verdana" w:hAnsi="Verdana"/>
          <w:sz w:val="20"/>
        </w:rPr>
        <w:t xml:space="preserve"> </w:t>
      </w:r>
      <w:r w:rsidR="004D249A" w:rsidRPr="00617833">
        <w:rPr>
          <w:rFonts w:ascii="Verdana" w:hAnsi="Verdana"/>
          <w:sz w:val="20"/>
        </w:rPr>
        <w:t>5</w:t>
      </w:r>
      <w:r w:rsidR="00464959" w:rsidRPr="00617833">
        <w:rPr>
          <w:rFonts w:ascii="Verdana" w:hAnsi="Verdana"/>
          <w:sz w:val="20"/>
        </w:rPr>
        <w:t>.</w:t>
      </w:r>
      <w:r w:rsidR="004D249A" w:rsidRPr="00617833">
        <w:rPr>
          <w:rFonts w:ascii="Verdana" w:hAnsi="Verdana"/>
          <w:sz w:val="20"/>
        </w:rPr>
        <w:t>684</w:t>
      </w:r>
      <w:r w:rsidR="00E84A58" w:rsidRPr="00617833">
        <w:rPr>
          <w:rFonts w:ascii="Verdana" w:hAnsi="Verdana"/>
          <w:sz w:val="20"/>
        </w:rPr>
        <w:t xml:space="preserve"> procesos monitorios</w:t>
      </w:r>
      <w:r w:rsidR="00921470" w:rsidRPr="00617833">
        <w:rPr>
          <w:rFonts w:ascii="Verdana" w:hAnsi="Verdana"/>
          <w:sz w:val="20"/>
        </w:rPr>
        <w:t xml:space="preserve">, </w:t>
      </w:r>
      <w:r w:rsidR="00B70366" w:rsidRPr="00617833">
        <w:rPr>
          <w:rFonts w:ascii="Verdana" w:hAnsi="Verdana"/>
          <w:sz w:val="20"/>
        </w:rPr>
        <w:t xml:space="preserve"> </w:t>
      </w:r>
      <w:r w:rsidR="00BD1DD8" w:rsidRPr="00617833">
        <w:rPr>
          <w:rFonts w:ascii="Verdana" w:hAnsi="Verdana"/>
          <w:sz w:val="20"/>
        </w:rPr>
        <w:t>un</w:t>
      </w:r>
      <w:r w:rsidR="00B70366" w:rsidRPr="00617833">
        <w:rPr>
          <w:rFonts w:ascii="Verdana" w:hAnsi="Verdana"/>
          <w:sz w:val="20"/>
        </w:rPr>
        <w:t xml:space="preserve"> </w:t>
      </w:r>
      <w:r w:rsidR="004D249A" w:rsidRPr="00617833">
        <w:rPr>
          <w:rFonts w:ascii="Verdana" w:hAnsi="Verdana"/>
          <w:sz w:val="20"/>
        </w:rPr>
        <w:t>2</w:t>
      </w:r>
      <w:r w:rsidR="00AE4562" w:rsidRPr="00617833">
        <w:rPr>
          <w:rFonts w:ascii="Verdana" w:hAnsi="Verdana"/>
          <w:sz w:val="20"/>
        </w:rPr>
        <w:t>3</w:t>
      </w:r>
      <w:r w:rsidR="00BD1DD8" w:rsidRPr="00617833">
        <w:rPr>
          <w:rFonts w:ascii="Verdana" w:hAnsi="Verdana"/>
          <w:sz w:val="20"/>
        </w:rPr>
        <w:t>,</w:t>
      </w:r>
      <w:r w:rsidR="00AE4562" w:rsidRPr="00617833">
        <w:rPr>
          <w:rFonts w:ascii="Verdana" w:hAnsi="Verdana"/>
          <w:sz w:val="20"/>
        </w:rPr>
        <w:t>6</w:t>
      </w:r>
      <w:r w:rsidR="00921470" w:rsidRPr="00617833">
        <w:rPr>
          <w:rFonts w:ascii="Verdana" w:hAnsi="Verdana"/>
          <w:sz w:val="20"/>
        </w:rPr>
        <w:t xml:space="preserve">% </w:t>
      </w:r>
      <w:r w:rsidR="003231CB" w:rsidRPr="00617833">
        <w:rPr>
          <w:rFonts w:ascii="Verdana" w:hAnsi="Verdana"/>
          <w:sz w:val="20"/>
        </w:rPr>
        <w:t>menos que en 201</w:t>
      </w:r>
      <w:r w:rsidR="004D249A" w:rsidRPr="00617833">
        <w:rPr>
          <w:rFonts w:ascii="Verdana" w:hAnsi="Verdana"/>
          <w:sz w:val="20"/>
        </w:rPr>
        <w:t>6</w:t>
      </w:r>
      <w:r w:rsidR="00E25BC0" w:rsidRPr="00617833">
        <w:rPr>
          <w:rFonts w:ascii="Verdana" w:hAnsi="Verdana"/>
          <w:sz w:val="20"/>
        </w:rPr>
        <w:t xml:space="preserve">.  </w:t>
      </w:r>
      <w:r w:rsidR="0045204C" w:rsidRPr="00617833">
        <w:rPr>
          <w:rFonts w:ascii="Verdana" w:hAnsi="Verdana"/>
          <w:sz w:val="20"/>
        </w:rPr>
        <w:t>El porcentaje de los que acaban en pago</w:t>
      </w:r>
      <w:r w:rsidR="0067466E" w:rsidRPr="00617833">
        <w:rPr>
          <w:rFonts w:ascii="Verdana" w:hAnsi="Verdana"/>
          <w:sz w:val="20"/>
        </w:rPr>
        <w:t xml:space="preserve"> ha </w:t>
      </w:r>
      <w:r w:rsidR="00BD1DD8" w:rsidRPr="00617833">
        <w:rPr>
          <w:rFonts w:ascii="Verdana" w:hAnsi="Verdana"/>
          <w:sz w:val="20"/>
        </w:rPr>
        <w:t xml:space="preserve">sido del </w:t>
      </w:r>
      <w:r w:rsidR="00E84A58" w:rsidRPr="00617833">
        <w:rPr>
          <w:rFonts w:ascii="Verdana" w:hAnsi="Verdana"/>
          <w:sz w:val="20"/>
        </w:rPr>
        <w:t>1</w:t>
      </w:r>
      <w:r w:rsidR="00AE4562" w:rsidRPr="00617833">
        <w:rPr>
          <w:rFonts w:ascii="Verdana" w:hAnsi="Verdana"/>
          <w:sz w:val="20"/>
        </w:rPr>
        <w:t>6</w:t>
      </w:r>
      <w:r w:rsidR="00BD1DD8" w:rsidRPr="00617833">
        <w:rPr>
          <w:rFonts w:ascii="Verdana" w:hAnsi="Verdana"/>
          <w:sz w:val="20"/>
        </w:rPr>
        <w:t>,</w:t>
      </w:r>
      <w:r w:rsidR="00AE4562" w:rsidRPr="00617833">
        <w:rPr>
          <w:rFonts w:ascii="Verdana" w:hAnsi="Verdana"/>
          <w:sz w:val="20"/>
        </w:rPr>
        <w:t>5</w:t>
      </w:r>
      <w:r w:rsidR="00BD1DD8" w:rsidRPr="00617833">
        <w:rPr>
          <w:rFonts w:ascii="Verdana" w:hAnsi="Verdana"/>
          <w:sz w:val="20"/>
        </w:rPr>
        <w:t xml:space="preserve">%, </w:t>
      </w:r>
      <w:r w:rsidR="003231CB" w:rsidRPr="00617833">
        <w:rPr>
          <w:rFonts w:ascii="Verdana" w:hAnsi="Verdana"/>
          <w:sz w:val="20"/>
        </w:rPr>
        <w:t>superior al 1</w:t>
      </w:r>
      <w:r w:rsidR="00AE4562" w:rsidRPr="00617833">
        <w:rPr>
          <w:rFonts w:ascii="Verdana" w:hAnsi="Verdana"/>
          <w:sz w:val="20"/>
        </w:rPr>
        <w:t>4,8</w:t>
      </w:r>
      <w:r w:rsidR="003231CB" w:rsidRPr="00617833">
        <w:rPr>
          <w:rFonts w:ascii="Verdana" w:hAnsi="Verdana"/>
          <w:sz w:val="20"/>
        </w:rPr>
        <w:t xml:space="preserve">% de los terminados </w:t>
      </w:r>
      <w:r w:rsidR="00AE4562" w:rsidRPr="00617833">
        <w:rPr>
          <w:rFonts w:ascii="Verdana" w:hAnsi="Verdana"/>
          <w:sz w:val="20"/>
        </w:rPr>
        <w:t xml:space="preserve">en pago </w:t>
      </w:r>
      <w:r w:rsidR="003231CB" w:rsidRPr="00617833">
        <w:rPr>
          <w:rFonts w:ascii="Verdana" w:hAnsi="Verdana"/>
          <w:sz w:val="20"/>
        </w:rPr>
        <w:t>en 201</w:t>
      </w:r>
      <w:r w:rsidR="00AE4562" w:rsidRPr="00617833">
        <w:rPr>
          <w:rFonts w:ascii="Verdana" w:hAnsi="Verdana"/>
          <w:sz w:val="20"/>
        </w:rPr>
        <w:t>6</w:t>
      </w:r>
      <w:r w:rsidR="003231CB" w:rsidRPr="00617833">
        <w:rPr>
          <w:rFonts w:ascii="Verdana" w:hAnsi="Verdana"/>
          <w:sz w:val="20"/>
        </w:rPr>
        <w:t>.</w:t>
      </w:r>
    </w:p>
    <w:p w:rsidR="00A421B3" w:rsidRPr="00617833" w:rsidRDefault="000C7226">
      <w:pPr>
        <w:pStyle w:val="Textoindependiente"/>
        <w:spacing w:before="120" w:after="120"/>
        <w:ind w:firstLine="357"/>
        <w:rPr>
          <w:rFonts w:ascii="Verdana" w:hAnsi="Verdana"/>
          <w:sz w:val="20"/>
        </w:rPr>
      </w:pPr>
      <w:r w:rsidRPr="00617833">
        <w:rPr>
          <w:rFonts w:ascii="Verdana" w:hAnsi="Verdana"/>
          <w:sz w:val="20"/>
        </w:rPr>
        <w:t>Además, en 2017 se ha producido un incremento muy importante en las acciones ejercitadas ante los juzgados mercantiles en materia de transporte</w:t>
      </w:r>
      <w:r w:rsidR="00126CB3" w:rsidRPr="00617833">
        <w:rPr>
          <w:rFonts w:ascii="Verdana" w:hAnsi="Verdana"/>
          <w:sz w:val="20"/>
        </w:rPr>
        <w:t xml:space="preserve"> (50,3%)</w:t>
      </w:r>
      <w:r w:rsidR="00883E44" w:rsidRPr="00617833">
        <w:rPr>
          <w:rFonts w:ascii="Verdana" w:hAnsi="Verdana"/>
          <w:sz w:val="20"/>
        </w:rPr>
        <w:t xml:space="preserve">; se trata  </w:t>
      </w:r>
      <w:r w:rsidRPr="00617833">
        <w:rPr>
          <w:rFonts w:ascii="Verdana" w:hAnsi="Verdana"/>
          <w:sz w:val="20"/>
        </w:rPr>
        <w:t xml:space="preserve">de reclamaciones de usuarios contra </w:t>
      </w:r>
      <w:r w:rsidR="00750DCB" w:rsidRPr="00617833">
        <w:rPr>
          <w:rFonts w:ascii="Verdana" w:hAnsi="Verdana"/>
          <w:sz w:val="20"/>
        </w:rPr>
        <w:t>compañías</w:t>
      </w:r>
      <w:r w:rsidRPr="00617833">
        <w:rPr>
          <w:rFonts w:ascii="Verdana" w:hAnsi="Verdana"/>
          <w:sz w:val="20"/>
        </w:rPr>
        <w:t xml:space="preserve"> a</w:t>
      </w:r>
      <w:r w:rsidR="00126CB3" w:rsidRPr="00617833">
        <w:rPr>
          <w:rFonts w:ascii="Verdana" w:hAnsi="Verdana"/>
          <w:sz w:val="20"/>
        </w:rPr>
        <w:t>éreas, y</w:t>
      </w:r>
      <w:r w:rsidRPr="00617833">
        <w:rPr>
          <w:rFonts w:ascii="Verdana" w:hAnsi="Verdana"/>
          <w:sz w:val="20"/>
        </w:rPr>
        <w:t xml:space="preserve"> el incremento es especialmente importante en Extremadura, Madrid e Illes Balears.</w:t>
      </w:r>
    </w:p>
    <w:p w:rsidR="002D4542" w:rsidRPr="00617833" w:rsidRDefault="001905F7" w:rsidP="00FA6665">
      <w:pPr>
        <w:pStyle w:val="Textoindependiente"/>
        <w:spacing w:before="120" w:after="120"/>
        <w:ind w:firstLine="357"/>
        <w:rPr>
          <w:rFonts w:ascii="Verdana" w:hAnsi="Verdana"/>
          <w:sz w:val="20"/>
        </w:rPr>
      </w:pPr>
      <w:r w:rsidRPr="00617833">
        <w:rPr>
          <w:rFonts w:ascii="Verdana" w:hAnsi="Verdana"/>
          <w:sz w:val="20"/>
        </w:rPr>
        <w:t xml:space="preserve">El número de demandas </w:t>
      </w:r>
      <w:r w:rsidR="002D4542" w:rsidRPr="00617833">
        <w:rPr>
          <w:rFonts w:ascii="Verdana" w:hAnsi="Verdana"/>
          <w:sz w:val="20"/>
        </w:rPr>
        <w:t xml:space="preserve">para la disolución de los matrimonios, </w:t>
      </w:r>
      <w:r w:rsidRPr="00617833">
        <w:rPr>
          <w:rFonts w:ascii="Verdana" w:hAnsi="Verdana"/>
          <w:b/>
          <w:sz w:val="20"/>
        </w:rPr>
        <w:t xml:space="preserve">separaciones </w:t>
      </w:r>
      <w:r w:rsidR="00C90B01" w:rsidRPr="00617833">
        <w:rPr>
          <w:rFonts w:ascii="Verdana" w:hAnsi="Verdana"/>
          <w:b/>
          <w:sz w:val="20"/>
        </w:rPr>
        <w:t>y</w:t>
      </w:r>
      <w:r w:rsidR="002D4542" w:rsidRPr="00617833">
        <w:rPr>
          <w:rFonts w:ascii="Verdana" w:hAnsi="Verdana"/>
          <w:b/>
          <w:sz w:val="20"/>
        </w:rPr>
        <w:t xml:space="preserve"> </w:t>
      </w:r>
      <w:r w:rsidRPr="00617833">
        <w:rPr>
          <w:rFonts w:ascii="Verdana" w:hAnsi="Verdana"/>
          <w:b/>
          <w:sz w:val="20"/>
        </w:rPr>
        <w:t>divorcios</w:t>
      </w:r>
      <w:r w:rsidRPr="00617833">
        <w:rPr>
          <w:rFonts w:ascii="Verdana" w:hAnsi="Verdana"/>
          <w:sz w:val="20"/>
        </w:rPr>
        <w:t xml:space="preserve">, de mutuo acuerdo </w:t>
      </w:r>
      <w:r w:rsidR="00C90B01" w:rsidRPr="00617833">
        <w:rPr>
          <w:rFonts w:ascii="Verdana" w:hAnsi="Verdana"/>
          <w:sz w:val="20"/>
        </w:rPr>
        <w:t>y</w:t>
      </w:r>
      <w:r w:rsidRPr="00617833">
        <w:rPr>
          <w:rFonts w:ascii="Verdana" w:hAnsi="Verdana"/>
          <w:sz w:val="20"/>
        </w:rPr>
        <w:t xml:space="preserve"> contenciosas, </w:t>
      </w:r>
      <w:r w:rsidR="002D4542" w:rsidRPr="00617833">
        <w:rPr>
          <w:rFonts w:ascii="Verdana" w:hAnsi="Verdana"/>
          <w:sz w:val="20"/>
        </w:rPr>
        <w:t>ha</w:t>
      </w:r>
      <w:r w:rsidR="003231CB" w:rsidRPr="00617833">
        <w:rPr>
          <w:rFonts w:ascii="Verdana" w:hAnsi="Verdana"/>
          <w:sz w:val="20"/>
        </w:rPr>
        <w:t xml:space="preserve"> </w:t>
      </w:r>
      <w:r w:rsidR="002A2DC6" w:rsidRPr="00617833">
        <w:rPr>
          <w:rFonts w:ascii="Verdana" w:hAnsi="Verdana"/>
          <w:sz w:val="20"/>
        </w:rPr>
        <w:t>disminuido</w:t>
      </w:r>
      <w:r w:rsidR="002D4542" w:rsidRPr="00617833">
        <w:rPr>
          <w:rFonts w:ascii="Verdana" w:hAnsi="Verdana"/>
          <w:sz w:val="20"/>
        </w:rPr>
        <w:t xml:space="preserve"> en 201</w:t>
      </w:r>
      <w:r w:rsidR="002A2DC6" w:rsidRPr="00617833">
        <w:rPr>
          <w:rFonts w:ascii="Verdana" w:hAnsi="Verdana"/>
          <w:sz w:val="20"/>
        </w:rPr>
        <w:t>7</w:t>
      </w:r>
      <w:r w:rsidR="002D4542" w:rsidRPr="00617833">
        <w:rPr>
          <w:rFonts w:ascii="Verdana" w:hAnsi="Verdana"/>
          <w:sz w:val="20"/>
        </w:rPr>
        <w:t>.</w:t>
      </w:r>
    </w:p>
    <w:tbl>
      <w:tblPr>
        <w:tblW w:w="9943" w:type="dxa"/>
        <w:jc w:val="right"/>
        <w:tblInd w:w="148" w:type="dxa"/>
        <w:tblCellMar>
          <w:left w:w="70" w:type="dxa"/>
          <w:right w:w="70" w:type="dxa"/>
        </w:tblCellMar>
        <w:tblLook w:val="04A0" w:firstRow="1" w:lastRow="0" w:firstColumn="1" w:lastColumn="0" w:noHBand="0" w:noVBand="1"/>
      </w:tblPr>
      <w:tblGrid>
        <w:gridCol w:w="2068"/>
        <w:gridCol w:w="1596"/>
        <w:gridCol w:w="1564"/>
        <w:gridCol w:w="1597"/>
        <w:gridCol w:w="1527"/>
        <w:gridCol w:w="1591"/>
      </w:tblGrid>
      <w:tr w:rsidR="00AA5435" w:rsidRPr="00617833" w:rsidTr="009562AF">
        <w:trPr>
          <w:trHeight w:val="740"/>
          <w:jc w:val="right"/>
        </w:trPr>
        <w:tc>
          <w:tcPr>
            <w:tcW w:w="2068" w:type="dxa"/>
            <w:tcBorders>
              <w:top w:val="single" w:sz="8" w:space="0" w:color="auto"/>
              <w:left w:val="nil"/>
              <w:bottom w:val="single" w:sz="8" w:space="0" w:color="auto"/>
              <w:right w:val="nil"/>
            </w:tcBorders>
            <w:shd w:val="clear" w:color="000000" w:fill="FFFFFF"/>
            <w:vAlign w:val="center"/>
            <w:hideMark/>
          </w:tcPr>
          <w:p w:rsidR="00AA5435" w:rsidRPr="00617833" w:rsidRDefault="00AA5435">
            <w:pPr>
              <w:rPr>
                <w:rFonts w:ascii="Verdana" w:hAnsi="Verdana" w:cs="Calibri"/>
                <w:color w:val="000080"/>
                <w:sz w:val="20"/>
                <w:szCs w:val="20"/>
              </w:rPr>
            </w:pPr>
            <w:r w:rsidRPr="00617833">
              <w:rPr>
                <w:rFonts w:ascii="Verdana" w:hAnsi="Verdana" w:cs="Arial"/>
                <w:color w:val="000080"/>
                <w:sz w:val="20"/>
                <w:szCs w:val="20"/>
              </w:rPr>
              <w:t> </w:t>
            </w:r>
          </w:p>
        </w:tc>
        <w:tc>
          <w:tcPr>
            <w:tcW w:w="1596" w:type="dxa"/>
            <w:tcBorders>
              <w:top w:val="single" w:sz="8" w:space="0" w:color="auto"/>
              <w:left w:val="nil"/>
              <w:bottom w:val="nil"/>
              <w:right w:val="nil"/>
            </w:tcBorders>
            <w:shd w:val="clear" w:color="auto" w:fill="auto"/>
            <w:vAlign w:val="center"/>
            <w:hideMark/>
          </w:tcPr>
          <w:p w:rsidR="00AA5435" w:rsidRPr="00617833" w:rsidRDefault="00AA5435">
            <w:pPr>
              <w:jc w:val="center"/>
              <w:rPr>
                <w:rFonts w:ascii="Verdana" w:hAnsi="Verdana" w:cs="Calibri"/>
                <w:b/>
                <w:bCs/>
                <w:color w:val="000080"/>
                <w:sz w:val="18"/>
                <w:szCs w:val="18"/>
              </w:rPr>
            </w:pPr>
            <w:r w:rsidRPr="00617833">
              <w:rPr>
                <w:rFonts w:ascii="Verdana" w:hAnsi="Verdana" w:cs="Calibri"/>
                <w:b/>
                <w:bCs/>
                <w:color w:val="000080"/>
                <w:sz w:val="18"/>
                <w:szCs w:val="18"/>
              </w:rPr>
              <w:t>Nulidades matrimoniales</w:t>
            </w:r>
          </w:p>
        </w:tc>
        <w:tc>
          <w:tcPr>
            <w:tcW w:w="1564" w:type="dxa"/>
            <w:tcBorders>
              <w:top w:val="single" w:sz="8" w:space="0" w:color="auto"/>
              <w:left w:val="nil"/>
              <w:bottom w:val="nil"/>
              <w:right w:val="nil"/>
            </w:tcBorders>
            <w:shd w:val="clear" w:color="auto" w:fill="auto"/>
            <w:vAlign w:val="center"/>
            <w:hideMark/>
          </w:tcPr>
          <w:p w:rsidR="00AA5435" w:rsidRPr="00617833" w:rsidRDefault="00AA5435">
            <w:pPr>
              <w:jc w:val="center"/>
              <w:rPr>
                <w:rFonts w:ascii="Verdana" w:hAnsi="Verdana" w:cs="Calibri"/>
                <w:b/>
                <w:bCs/>
                <w:color w:val="000080"/>
                <w:sz w:val="18"/>
                <w:szCs w:val="18"/>
              </w:rPr>
            </w:pPr>
            <w:r w:rsidRPr="00617833">
              <w:rPr>
                <w:rFonts w:ascii="Verdana" w:hAnsi="Verdana" w:cs="Calibri"/>
                <w:b/>
                <w:bCs/>
                <w:color w:val="000080"/>
                <w:sz w:val="18"/>
                <w:szCs w:val="18"/>
              </w:rPr>
              <w:t>Divorcios consensuados</w:t>
            </w:r>
          </w:p>
        </w:tc>
        <w:tc>
          <w:tcPr>
            <w:tcW w:w="1597" w:type="dxa"/>
            <w:tcBorders>
              <w:top w:val="single" w:sz="8" w:space="0" w:color="auto"/>
              <w:left w:val="nil"/>
              <w:bottom w:val="nil"/>
              <w:right w:val="nil"/>
            </w:tcBorders>
            <w:shd w:val="clear" w:color="auto" w:fill="auto"/>
            <w:vAlign w:val="center"/>
            <w:hideMark/>
          </w:tcPr>
          <w:p w:rsidR="00AA5435" w:rsidRPr="00617833" w:rsidRDefault="00AA5435">
            <w:pPr>
              <w:jc w:val="center"/>
              <w:rPr>
                <w:rFonts w:ascii="Verdana" w:hAnsi="Verdana" w:cs="Calibri"/>
                <w:b/>
                <w:bCs/>
                <w:color w:val="000080"/>
                <w:sz w:val="18"/>
                <w:szCs w:val="18"/>
              </w:rPr>
            </w:pPr>
            <w:r w:rsidRPr="00617833">
              <w:rPr>
                <w:rFonts w:ascii="Verdana" w:hAnsi="Verdana" w:cs="Calibri"/>
                <w:b/>
                <w:bCs/>
                <w:color w:val="000080"/>
                <w:sz w:val="18"/>
                <w:szCs w:val="18"/>
              </w:rPr>
              <w:t>Divorcios no consensuados</w:t>
            </w:r>
          </w:p>
        </w:tc>
        <w:tc>
          <w:tcPr>
            <w:tcW w:w="1527" w:type="dxa"/>
            <w:tcBorders>
              <w:top w:val="single" w:sz="8" w:space="0" w:color="auto"/>
              <w:left w:val="nil"/>
              <w:bottom w:val="nil"/>
              <w:right w:val="nil"/>
            </w:tcBorders>
            <w:shd w:val="clear" w:color="auto" w:fill="auto"/>
            <w:vAlign w:val="center"/>
            <w:hideMark/>
          </w:tcPr>
          <w:p w:rsidR="00AA5435" w:rsidRPr="00617833" w:rsidRDefault="00AA5435">
            <w:pPr>
              <w:jc w:val="center"/>
              <w:rPr>
                <w:rFonts w:ascii="Verdana" w:hAnsi="Verdana" w:cs="Calibri"/>
                <w:b/>
                <w:bCs/>
                <w:color w:val="000080"/>
                <w:sz w:val="18"/>
                <w:szCs w:val="18"/>
              </w:rPr>
            </w:pPr>
            <w:r w:rsidRPr="00617833">
              <w:rPr>
                <w:rFonts w:ascii="Verdana" w:hAnsi="Verdana" w:cs="Calibri"/>
                <w:b/>
                <w:bCs/>
                <w:color w:val="000080"/>
                <w:sz w:val="18"/>
                <w:szCs w:val="18"/>
              </w:rPr>
              <w:t>Separaciones mutuo acuerdo</w:t>
            </w:r>
          </w:p>
        </w:tc>
        <w:tc>
          <w:tcPr>
            <w:tcW w:w="1591" w:type="dxa"/>
            <w:tcBorders>
              <w:top w:val="single" w:sz="8" w:space="0" w:color="auto"/>
              <w:left w:val="nil"/>
              <w:bottom w:val="nil"/>
              <w:right w:val="nil"/>
            </w:tcBorders>
            <w:shd w:val="clear" w:color="auto" w:fill="auto"/>
            <w:vAlign w:val="center"/>
            <w:hideMark/>
          </w:tcPr>
          <w:p w:rsidR="00AA5435" w:rsidRPr="00617833" w:rsidRDefault="00AA5435">
            <w:pPr>
              <w:jc w:val="center"/>
              <w:rPr>
                <w:rFonts w:ascii="Verdana" w:hAnsi="Verdana" w:cs="Calibri"/>
                <w:b/>
                <w:bCs/>
                <w:color w:val="000080"/>
                <w:sz w:val="18"/>
                <w:szCs w:val="18"/>
              </w:rPr>
            </w:pPr>
            <w:r w:rsidRPr="00617833">
              <w:rPr>
                <w:rFonts w:ascii="Verdana" w:hAnsi="Verdana" w:cs="Calibri"/>
                <w:b/>
                <w:bCs/>
                <w:color w:val="000080"/>
                <w:sz w:val="18"/>
                <w:szCs w:val="18"/>
              </w:rPr>
              <w:t>Separaciones contenciosas</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Andalucía</w:t>
            </w:r>
          </w:p>
        </w:tc>
        <w:tc>
          <w:tcPr>
            <w:tcW w:w="1596" w:type="dxa"/>
            <w:tcBorders>
              <w:top w:val="single" w:sz="8" w:space="0" w:color="auto"/>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28</w:t>
            </w:r>
          </w:p>
        </w:tc>
        <w:tc>
          <w:tcPr>
            <w:tcW w:w="1564" w:type="dxa"/>
            <w:tcBorders>
              <w:top w:val="single" w:sz="8" w:space="0" w:color="auto"/>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10.699</w:t>
            </w:r>
          </w:p>
        </w:tc>
        <w:tc>
          <w:tcPr>
            <w:tcW w:w="1597" w:type="dxa"/>
            <w:tcBorders>
              <w:top w:val="single" w:sz="8" w:space="0" w:color="auto"/>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10.304</w:t>
            </w:r>
          </w:p>
        </w:tc>
        <w:tc>
          <w:tcPr>
            <w:tcW w:w="1527" w:type="dxa"/>
            <w:tcBorders>
              <w:top w:val="single" w:sz="8" w:space="0" w:color="auto"/>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747</w:t>
            </w:r>
          </w:p>
        </w:tc>
        <w:tc>
          <w:tcPr>
            <w:tcW w:w="1591" w:type="dxa"/>
            <w:tcBorders>
              <w:top w:val="single" w:sz="8" w:space="0" w:color="auto"/>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474</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Aragón</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1.697</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913</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103</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28</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1.515</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948</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94</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38</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Balears (Illes)</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1.879</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1010</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85</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27</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Canarias</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3.038</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2.638</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120</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77</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Cantabria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863</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551</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58</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29</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Castilla y León</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2.653</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1.723</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186</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74</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Castilla-La Mancha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2.456</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1.943</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149</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70</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Cataluña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33</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12.434</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6.338</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655</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226</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883E44">
            <w:pPr>
              <w:rPr>
                <w:rFonts w:ascii="Verdana" w:hAnsi="Verdana" w:cs="Calibri"/>
                <w:color w:val="000000"/>
                <w:sz w:val="20"/>
                <w:szCs w:val="20"/>
              </w:rPr>
            </w:pPr>
            <w:r w:rsidRPr="00617833">
              <w:rPr>
                <w:rFonts w:ascii="Verdana" w:hAnsi="Verdana" w:cs="Arial"/>
                <w:color w:val="000000"/>
                <w:sz w:val="20"/>
                <w:szCs w:val="20"/>
              </w:rPr>
              <w:t>C. Valenciana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28</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8.017</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5.159</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401</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242</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Extremadura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1.260</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958</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110</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60</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Galicia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3.300</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2.585</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166</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81</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14</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8.281</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5.999</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491</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191</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 xml:space="preserve">Murcia </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1.856</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1.538</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104</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44</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0</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828</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522</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66</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22</w:t>
            </w:r>
          </w:p>
        </w:tc>
      </w:tr>
      <w:tr w:rsidR="00AA5435" w:rsidRPr="00617833" w:rsidTr="009562AF">
        <w:trPr>
          <w:trHeight w:val="300"/>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País Vasco</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2.843</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1.615</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117</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68</w:t>
            </w:r>
          </w:p>
        </w:tc>
      </w:tr>
      <w:tr w:rsidR="00AA5435" w:rsidRPr="00617833" w:rsidTr="009562AF">
        <w:trPr>
          <w:trHeight w:val="315"/>
          <w:jc w:val="right"/>
        </w:trPr>
        <w:tc>
          <w:tcPr>
            <w:tcW w:w="2068" w:type="dxa"/>
            <w:tcBorders>
              <w:top w:val="nil"/>
              <w:left w:val="nil"/>
              <w:bottom w:val="nil"/>
              <w:right w:val="nil"/>
            </w:tcBorders>
            <w:shd w:val="clear" w:color="auto" w:fill="auto"/>
            <w:vAlign w:val="center"/>
            <w:hideMark/>
          </w:tcPr>
          <w:p w:rsidR="00AA5435" w:rsidRPr="00617833" w:rsidRDefault="00AA5435">
            <w:pPr>
              <w:rPr>
                <w:rFonts w:ascii="Verdana" w:hAnsi="Verdana" w:cs="Calibri"/>
                <w:color w:val="000000"/>
                <w:sz w:val="20"/>
                <w:szCs w:val="20"/>
              </w:rPr>
            </w:pPr>
            <w:r w:rsidRPr="00617833">
              <w:rPr>
                <w:rFonts w:ascii="Verdana" w:hAnsi="Verdana" w:cs="Arial"/>
                <w:color w:val="000000"/>
                <w:sz w:val="20"/>
                <w:szCs w:val="20"/>
              </w:rPr>
              <w:t>Rioja (La)</w:t>
            </w:r>
          </w:p>
        </w:tc>
        <w:tc>
          <w:tcPr>
            <w:tcW w:w="1596"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5</w:t>
            </w:r>
          </w:p>
        </w:tc>
        <w:tc>
          <w:tcPr>
            <w:tcW w:w="1564"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405</w:t>
            </w:r>
          </w:p>
        </w:tc>
        <w:tc>
          <w:tcPr>
            <w:tcW w:w="159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275</w:t>
            </w:r>
          </w:p>
        </w:tc>
        <w:tc>
          <w:tcPr>
            <w:tcW w:w="1527"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35</w:t>
            </w:r>
          </w:p>
        </w:tc>
        <w:tc>
          <w:tcPr>
            <w:tcW w:w="1591" w:type="dxa"/>
            <w:tcBorders>
              <w:top w:val="nil"/>
              <w:left w:val="nil"/>
              <w:bottom w:val="nil"/>
              <w:right w:val="nil"/>
            </w:tcBorders>
            <w:shd w:val="clear" w:color="auto" w:fill="auto"/>
            <w:vAlign w:val="center"/>
            <w:hideMark/>
          </w:tcPr>
          <w:p w:rsidR="00AA5435" w:rsidRPr="00617833" w:rsidRDefault="00AA5435">
            <w:pPr>
              <w:jc w:val="right"/>
              <w:rPr>
                <w:rFonts w:ascii="Verdana" w:hAnsi="Verdana" w:cs="Calibri"/>
                <w:color w:val="000000"/>
                <w:sz w:val="20"/>
                <w:szCs w:val="20"/>
              </w:rPr>
            </w:pPr>
            <w:r w:rsidRPr="00617833">
              <w:rPr>
                <w:rFonts w:ascii="Verdana" w:hAnsi="Verdana" w:cs="Calibri"/>
                <w:color w:val="000000"/>
                <w:sz w:val="20"/>
                <w:szCs w:val="20"/>
              </w:rPr>
              <w:t>10</w:t>
            </w:r>
          </w:p>
        </w:tc>
      </w:tr>
      <w:tr w:rsidR="00AA5435" w:rsidRPr="00617833" w:rsidTr="009562AF">
        <w:trPr>
          <w:trHeight w:val="315"/>
          <w:jc w:val="right"/>
        </w:trPr>
        <w:tc>
          <w:tcPr>
            <w:tcW w:w="2068" w:type="dxa"/>
            <w:tcBorders>
              <w:top w:val="single" w:sz="8" w:space="0" w:color="auto"/>
              <w:left w:val="nil"/>
              <w:bottom w:val="single" w:sz="8" w:space="0" w:color="auto"/>
              <w:right w:val="nil"/>
            </w:tcBorders>
            <w:shd w:val="clear" w:color="auto" w:fill="auto"/>
            <w:vAlign w:val="center"/>
            <w:hideMark/>
          </w:tcPr>
          <w:p w:rsidR="00AA5435" w:rsidRPr="00617833" w:rsidRDefault="00AA5435">
            <w:pPr>
              <w:rPr>
                <w:rFonts w:ascii="Verdana" w:hAnsi="Verdana" w:cs="Calibri"/>
                <w:b/>
                <w:bCs/>
                <w:color w:val="000080"/>
                <w:sz w:val="20"/>
                <w:szCs w:val="20"/>
              </w:rPr>
            </w:pPr>
            <w:r w:rsidRPr="00617833">
              <w:rPr>
                <w:rFonts w:ascii="Verdana" w:hAnsi="Verdana" w:cs="Arial"/>
                <w:b/>
                <w:bCs/>
                <w:color w:val="000080"/>
                <w:sz w:val="20"/>
                <w:szCs w:val="20"/>
              </w:rPr>
              <w:t>Total</w:t>
            </w:r>
          </w:p>
        </w:tc>
        <w:tc>
          <w:tcPr>
            <w:tcW w:w="1596" w:type="dxa"/>
            <w:tcBorders>
              <w:top w:val="single" w:sz="8" w:space="0" w:color="auto"/>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142</w:t>
            </w:r>
          </w:p>
        </w:tc>
        <w:tc>
          <w:tcPr>
            <w:tcW w:w="1564" w:type="dxa"/>
            <w:tcBorders>
              <w:top w:val="single" w:sz="8" w:space="0" w:color="auto"/>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64.024</w:t>
            </w:r>
          </w:p>
        </w:tc>
        <w:tc>
          <w:tcPr>
            <w:tcW w:w="1597" w:type="dxa"/>
            <w:tcBorders>
              <w:top w:val="single" w:sz="8" w:space="0" w:color="auto"/>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45.019</w:t>
            </w:r>
          </w:p>
        </w:tc>
        <w:tc>
          <w:tcPr>
            <w:tcW w:w="1527" w:type="dxa"/>
            <w:tcBorders>
              <w:top w:val="single" w:sz="8" w:space="0" w:color="auto"/>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3.687</w:t>
            </w:r>
          </w:p>
        </w:tc>
        <w:tc>
          <w:tcPr>
            <w:tcW w:w="1591" w:type="dxa"/>
            <w:tcBorders>
              <w:top w:val="single" w:sz="8" w:space="0" w:color="auto"/>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1.761</w:t>
            </w:r>
          </w:p>
        </w:tc>
      </w:tr>
      <w:tr w:rsidR="00AA5435" w:rsidRPr="00617833" w:rsidTr="009562AF">
        <w:trPr>
          <w:trHeight w:val="525"/>
          <w:jc w:val="right"/>
        </w:trPr>
        <w:tc>
          <w:tcPr>
            <w:tcW w:w="2068" w:type="dxa"/>
            <w:tcBorders>
              <w:top w:val="nil"/>
              <w:left w:val="nil"/>
              <w:bottom w:val="single" w:sz="8" w:space="0" w:color="auto"/>
              <w:right w:val="nil"/>
            </w:tcBorders>
            <w:shd w:val="clear" w:color="auto" w:fill="auto"/>
            <w:vAlign w:val="center"/>
            <w:hideMark/>
          </w:tcPr>
          <w:p w:rsidR="00AA5435" w:rsidRPr="00617833" w:rsidRDefault="00AA5435">
            <w:pPr>
              <w:rPr>
                <w:rFonts w:ascii="Verdana" w:hAnsi="Verdana" w:cs="Calibri"/>
                <w:b/>
                <w:bCs/>
                <w:color w:val="000080"/>
                <w:sz w:val="20"/>
                <w:szCs w:val="20"/>
              </w:rPr>
            </w:pPr>
            <w:r w:rsidRPr="00617833">
              <w:rPr>
                <w:rFonts w:ascii="Verdana" w:hAnsi="Verdana" w:cs="Calibri"/>
                <w:b/>
                <w:bCs/>
                <w:color w:val="000080"/>
                <w:sz w:val="20"/>
                <w:szCs w:val="20"/>
              </w:rPr>
              <w:t>Evolución 2016/2017</w:t>
            </w:r>
          </w:p>
        </w:tc>
        <w:tc>
          <w:tcPr>
            <w:tcW w:w="1596" w:type="dxa"/>
            <w:tcBorders>
              <w:top w:val="nil"/>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-10,7%</w:t>
            </w:r>
          </w:p>
        </w:tc>
        <w:tc>
          <w:tcPr>
            <w:tcW w:w="1564" w:type="dxa"/>
            <w:tcBorders>
              <w:top w:val="nil"/>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-4,7%</w:t>
            </w:r>
          </w:p>
        </w:tc>
        <w:tc>
          <w:tcPr>
            <w:tcW w:w="1597" w:type="dxa"/>
            <w:tcBorders>
              <w:top w:val="nil"/>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-3,9%</w:t>
            </w:r>
          </w:p>
        </w:tc>
        <w:tc>
          <w:tcPr>
            <w:tcW w:w="1527" w:type="dxa"/>
            <w:tcBorders>
              <w:top w:val="nil"/>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-5,8%</w:t>
            </w:r>
          </w:p>
        </w:tc>
        <w:tc>
          <w:tcPr>
            <w:tcW w:w="1591" w:type="dxa"/>
            <w:tcBorders>
              <w:top w:val="nil"/>
              <w:left w:val="nil"/>
              <w:bottom w:val="single" w:sz="8" w:space="0" w:color="auto"/>
              <w:right w:val="nil"/>
            </w:tcBorders>
            <w:shd w:val="clear" w:color="auto" w:fill="auto"/>
            <w:vAlign w:val="center"/>
            <w:hideMark/>
          </w:tcPr>
          <w:p w:rsidR="00AA5435" w:rsidRPr="00617833" w:rsidRDefault="00AA5435">
            <w:pPr>
              <w:jc w:val="right"/>
              <w:rPr>
                <w:rFonts w:ascii="Verdana" w:hAnsi="Verdana" w:cs="Calibri"/>
                <w:b/>
                <w:bCs/>
                <w:color w:val="002060"/>
                <w:sz w:val="20"/>
                <w:szCs w:val="20"/>
              </w:rPr>
            </w:pPr>
            <w:r w:rsidRPr="00617833">
              <w:rPr>
                <w:rFonts w:ascii="Verdana" w:hAnsi="Verdana" w:cs="Calibri"/>
                <w:b/>
                <w:bCs/>
                <w:color w:val="002060"/>
                <w:sz w:val="20"/>
                <w:szCs w:val="20"/>
              </w:rPr>
              <w:t>-8,7%</w:t>
            </w:r>
          </w:p>
        </w:tc>
      </w:tr>
    </w:tbl>
    <w:p w:rsidR="00B64809" w:rsidRPr="00617833" w:rsidRDefault="00B64809" w:rsidP="006E6F40">
      <w:pPr>
        <w:pStyle w:val="Textoindependiente"/>
        <w:spacing w:before="120" w:after="120"/>
        <w:ind w:firstLine="357"/>
        <w:rPr>
          <w:rFonts w:ascii="Verdana" w:hAnsi="Verdana"/>
          <w:sz w:val="20"/>
        </w:rPr>
      </w:pPr>
      <w:r w:rsidRPr="00617833">
        <w:rPr>
          <w:rFonts w:ascii="Verdana" w:hAnsi="Verdana"/>
          <w:sz w:val="20"/>
        </w:rPr>
        <w:t xml:space="preserve">El número de procedimientos en derecho de familia ha disminuido en 2017 un 2,6% respecto a 2016, descenso más acusado si el análisis se centra en las demandas </w:t>
      </w:r>
      <w:r w:rsidRPr="00617833">
        <w:rPr>
          <w:rFonts w:ascii="Verdana" w:hAnsi="Verdana"/>
          <w:sz w:val="20"/>
        </w:rPr>
        <w:lastRenderedPageBreak/>
        <w:t>de</w:t>
      </w:r>
      <w:r w:rsidR="00735CB9" w:rsidRPr="00617833">
        <w:rPr>
          <w:rFonts w:ascii="Verdana" w:hAnsi="Verdana"/>
          <w:sz w:val="20"/>
        </w:rPr>
        <w:t xml:space="preserve"> divorcio consensuado (4,7 </w:t>
      </w:r>
      <w:r w:rsidRPr="00617833">
        <w:rPr>
          <w:rFonts w:ascii="Verdana" w:hAnsi="Verdana"/>
          <w:sz w:val="20"/>
        </w:rPr>
        <w:t xml:space="preserve">%). Se trata del efecto de la reforma producida por la Ley 15/2015 de la Jurisdicción Voluntaria, que estableció por primera vez en la legislación española el divorcio notarial para casos de procedimientos </w:t>
      </w:r>
      <w:r w:rsidR="00735CB9" w:rsidRPr="00617833">
        <w:rPr>
          <w:rFonts w:ascii="Verdana" w:hAnsi="Verdana"/>
          <w:sz w:val="20"/>
        </w:rPr>
        <w:t>consensuados sin hijos menores o</w:t>
      </w:r>
      <w:r w:rsidRPr="00617833">
        <w:rPr>
          <w:rFonts w:ascii="Verdana" w:hAnsi="Verdana"/>
          <w:sz w:val="20"/>
        </w:rPr>
        <w:t xml:space="preserve"> con la capacidad modificada judicialmente (y, por lo tanto, sin intervención del Ministerio Fiscal); como esta reforma entró en vigor el 23 de julio de 2015, es conveniente que la comparación se refiera a ese año:</w:t>
      </w:r>
    </w:p>
    <w:tbl>
      <w:tblPr>
        <w:tblW w:w="8216" w:type="dxa"/>
        <w:jc w:val="right"/>
        <w:tblInd w:w="212" w:type="dxa"/>
        <w:tblCellMar>
          <w:left w:w="70" w:type="dxa"/>
          <w:right w:w="70" w:type="dxa"/>
        </w:tblCellMar>
        <w:tblLook w:val="04A0" w:firstRow="1" w:lastRow="0" w:firstColumn="1" w:lastColumn="0" w:noHBand="0" w:noVBand="1"/>
      </w:tblPr>
      <w:tblGrid>
        <w:gridCol w:w="2227"/>
        <w:gridCol w:w="1459"/>
        <w:gridCol w:w="2409"/>
        <w:gridCol w:w="2121"/>
      </w:tblGrid>
      <w:tr w:rsidR="00B64809" w:rsidRPr="00617833" w:rsidTr="00F60675">
        <w:trPr>
          <w:trHeight w:val="613"/>
          <w:jc w:val="right"/>
        </w:trPr>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809" w:rsidRPr="00617833" w:rsidRDefault="00B64809" w:rsidP="00B64809">
            <w:pPr>
              <w:rPr>
                <w:rFonts w:ascii="Verdana" w:hAnsi="Verdana" w:cs="Calibri"/>
                <w:sz w:val="20"/>
                <w:szCs w:val="20"/>
                <w:lang w:val="es-ES"/>
              </w:rPr>
            </w:pPr>
            <w:r w:rsidRPr="00617833">
              <w:rPr>
                <w:rFonts w:ascii="Verdana" w:hAnsi="Verdana" w:cs="Calibri"/>
                <w:sz w:val="20"/>
                <w:szCs w:val="20"/>
                <w:lang w:val="es-ES"/>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64809" w:rsidRPr="00617833" w:rsidRDefault="00B64809" w:rsidP="00B64809">
            <w:pPr>
              <w:rPr>
                <w:rFonts w:ascii="Verdana" w:hAnsi="Verdana" w:cs="Calibri"/>
                <w:sz w:val="20"/>
                <w:szCs w:val="20"/>
                <w:lang w:val="es-ES"/>
              </w:rPr>
            </w:pPr>
            <w:r w:rsidRPr="00617833">
              <w:rPr>
                <w:rFonts w:ascii="Verdana" w:hAnsi="Verdana" w:cs="Calibri"/>
                <w:sz w:val="20"/>
                <w:szCs w:val="20"/>
                <w:lang w:val="es-ES"/>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64809" w:rsidRPr="00617833" w:rsidRDefault="00B64809" w:rsidP="006E6F40">
            <w:pPr>
              <w:jc w:val="center"/>
              <w:rPr>
                <w:rFonts w:ascii="Verdana" w:hAnsi="Verdana" w:cs="Calibri"/>
                <w:sz w:val="20"/>
                <w:szCs w:val="20"/>
                <w:lang w:val="es-ES"/>
              </w:rPr>
            </w:pPr>
            <w:r w:rsidRPr="00617833">
              <w:rPr>
                <w:rFonts w:ascii="Verdana" w:hAnsi="Verdana" w:cs="Calibri"/>
                <w:sz w:val="20"/>
                <w:szCs w:val="20"/>
                <w:lang w:val="es-ES"/>
              </w:rPr>
              <w:t>P</w:t>
            </w:r>
            <w:r w:rsidR="006E6F40" w:rsidRPr="00617833">
              <w:rPr>
                <w:rFonts w:ascii="Verdana" w:hAnsi="Verdana" w:cs="Calibri"/>
                <w:sz w:val="20"/>
                <w:szCs w:val="20"/>
                <w:lang w:val="es-ES"/>
              </w:rPr>
              <w:t>rocesos relativos al Derecho de Familia</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B64809" w:rsidRPr="00617833" w:rsidRDefault="00B64809" w:rsidP="006E6F40">
            <w:pPr>
              <w:jc w:val="center"/>
              <w:rPr>
                <w:rFonts w:ascii="Verdana" w:hAnsi="Verdana" w:cs="Calibri"/>
                <w:sz w:val="20"/>
                <w:szCs w:val="20"/>
                <w:lang w:val="es-ES"/>
              </w:rPr>
            </w:pPr>
            <w:r w:rsidRPr="00617833">
              <w:rPr>
                <w:rFonts w:ascii="Verdana" w:hAnsi="Verdana" w:cs="Calibri"/>
                <w:sz w:val="20"/>
                <w:szCs w:val="20"/>
                <w:lang w:val="es-ES"/>
              </w:rPr>
              <w:t>D</w:t>
            </w:r>
            <w:r w:rsidR="006E6F40" w:rsidRPr="00617833">
              <w:rPr>
                <w:rFonts w:ascii="Verdana" w:hAnsi="Verdana" w:cs="Calibri"/>
                <w:sz w:val="20"/>
                <w:szCs w:val="20"/>
                <w:lang w:val="es-ES"/>
              </w:rPr>
              <w:t>ivorcios consensuados</w:t>
            </w:r>
          </w:p>
        </w:tc>
      </w:tr>
      <w:tr w:rsidR="009E2933" w:rsidRPr="00617833" w:rsidTr="00F60675">
        <w:trPr>
          <w:trHeight w:val="281"/>
          <w:jc w:val="right"/>
        </w:trPr>
        <w:tc>
          <w:tcPr>
            <w:tcW w:w="22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933" w:rsidRPr="00617833" w:rsidRDefault="006E6F40" w:rsidP="00B64809">
            <w:pPr>
              <w:jc w:val="center"/>
              <w:rPr>
                <w:rFonts w:ascii="Verdana" w:hAnsi="Verdana" w:cs="Calibri"/>
                <w:sz w:val="20"/>
                <w:szCs w:val="20"/>
                <w:lang w:val="es-ES"/>
              </w:rPr>
            </w:pPr>
            <w:r w:rsidRPr="00617833">
              <w:rPr>
                <w:rFonts w:ascii="Verdana" w:hAnsi="Verdana" w:cs="Calibri"/>
                <w:sz w:val="20"/>
                <w:szCs w:val="20"/>
                <w:lang w:val="es-ES"/>
              </w:rPr>
              <w:t>Ingresados</w:t>
            </w: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2015</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224</w:t>
            </w:r>
            <w:r w:rsidR="006E6F40" w:rsidRPr="00617833">
              <w:rPr>
                <w:rFonts w:ascii="Verdana" w:hAnsi="Verdana" w:cs="Calibri"/>
                <w:sz w:val="20"/>
                <w:szCs w:val="20"/>
                <w:lang w:val="es-ES"/>
              </w:rPr>
              <w:t>.</w:t>
            </w:r>
            <w:r w:rsidRPr="00617833">
              <w:rPr>
                <w:rFonts w:ascii="Verdana" w:hAnsi="Verdana" w:cs="Calibri"/>
                <w:sz w:val="20"/>
                <w:szCs w:val="20"/>
                <w:lang w:val="es-ES"/>
              </w:rPr>
              <w:t>795</w:t>
            </w:r>
          </w:p>
        </w:tc>
        <w:tc>
          <w:tcPr>
            <w:tcW w:w="2121"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72</w:t>
            </w:r>
            <w:r w:rsidR="006E6F40" w:rsidRPr="00617833">
              <w:rPr>
                <w:rFonts w:ascii="Verdana" w:hAnsi="Verdana" w:cs="Calibri"/>
                <w:sz w:val="20"/>
                <w:szCs w:val="20"/>
                <w:lang w:val="es-ES"/>
              </w:rPr>
              <w:t>.</w:t>
            </w:r>
            <w:r w:rsidRPr="00617833">
              <w:rPr>
                <w:rFonts w:ascii="Verdana" w:hAnsi="Verdana" w:cs="Calibri"/>
                <w:sz w:val="20"/>
                <w:szCs w:val="20"/>
                <w:lang w:val="es-ES"/>
              </w:rPr>
              <w:t>863</w:t>
            </w:r>
          </w:p>
        </w:tc>
      </w:tr>
      <w:tr w:rsidR="009E2933" w:rsidRPr="00617833" w:rsidTr="009562AF">
        <w:trPr>
          <w:trHeight w:val="336"/>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2016</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210</w:t>
            </w:r>
            <w:r w:rsidR="006E6F40" w:rsidRPr="00617833">
              <w:rPr>
                <w:rFonts w:ascii="Verdana" w:hAnsi="Verdana" w:cs="Calibri"/>
                <w:sz w:val="20"/>
                <w:szCs w:val="20"/>
                <w:lang w:val="es-ES"/>
              </w:rPr>
              <w:t>.</w:t>
            </w:r>
            <w:r w:rsidRPr="00617833">
              <w:rPr>
                <w:rFonts w:ascii="Verdana" w:hAnsi="Verdana" w:cs="Calibri"/>
                <w:sz w:val="20"/>
                <w:szCs w:val="20"/>
                <w:lang w:val="es-ES"/>
              </w:rPr>
              <w:t>719</w:t>
            </w:r>
          </w:p>
        </w:tc>
        <w:tc>
          <w:tcPr>
            <w:tcW w:w="2121"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66</w:t>
            </w:r>
            <w:r w:rsidR="006E6F40" w:rsidRPr="00617833">
              <w:rPr>
                <w:rFonts w:ascii="Verdana" w:hAnsi="Verdana" w:cs="Calibri"/>
                <w:sz w:val="20"/>
                <w:szCs w:val="20"/>
                <w:lang w:val="es-ES"/>
              </w:rPr>
              <w:t>.</w:t>
            </w:r>
            <w:r w:rsidRPr="00617833">
              <w:rPr>
                <w:rFonts w:ascii="Verdana" w:hAnsi="Verdana" w:cs="Calibri"/>
                <w:sz w:val="20"/>
                <w:szCs w:val="20"/>
                <w:lang w:val="es-ES"/>
              </w:rPr>
              <w:t>532</w:t>
            </w:r>
          </w:p>
        </w:tc>
      </w:tr>
      <w:tr w:rsidR="009E2933" w:rsidRPr="00617833" w:rsidTr="00F60675">
        <w:trPr>
          <w:trHeight w:val="264"/>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2017</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205</w:t>
            </w:r>
            <w:r w:rsidR="006E6F40" w:rsidRPr="00617833">
              <w:rPr>
                <w:rFonts w:ascii="Verdana" w:hAnsi="Verdana" w:cs="Calibri"/>
                <w:sz w:val="20"/>
                <w:szCs w:val="20"/>
                <w:lang w:val="es-ES"/>
              </w:rPr>
              <w:t>.</w:t>
            </w:r>
            <w:r w:rsidRPr="00617833">
              <w:rPr>
                <w:rFonts w:ascii="Verdana" w:hAnsi="Verdana" w:cs="Calibri"/>
                <w:sz w:val="20"/>
                <w:szCs w:val="20"/>
                <w:lang w:val="es-ES"/>
              </w:rPr>
              <w:t>192</w:t>
            </w:r>
          </w:p>
        </w:tc>
        <w:tc>
          <w:tcPr>
            <w:tcW w:w="2121"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63</w:t>
            </w:r>
            <w:r w:rsidR="006E6F40" w:rsidRPr="00617833">
              <w:rPr>
                <w:rFonts w:ascii="Verdana" w:hAnsi="Verdana" w:cs="Calibri"/>
                <w:sz w:val="20"/>
                <w:szCs w:val="20"/>
                <w:lang w:val="es-ES"/>
              </w:rPr>
              <w:t>.</w:t>
            </w:r>
            <w:r w:rsidRPr="00617833">
              <w:rPr>
                <w:rFonts w:ascii="Verdana" w:hAnsi="Verdana" w:cs="Calibri"/>
                <w:sz w:val="20"/>
                <w:szCs w:val="20"/>
                <w:lang w:val="es-ES"/>
              </w:rPr>
              <w:t>401</w:t>
            </w:r>
          </w:p>
        </w:tc>
      </w:tr>
      <w:tr w:rsidR="009E2933" w:rsidRPr="00617833" w:rsidTr="001378B8">
        <w:trPr>
          <w:trHeight w:val="450"/>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E</w:t>
            </w:r>
            <w:r w:rsidR="006E6F40" w:rsidRPr="00617833">
              <w:rPr>
                <w:rFonts w:ascii="Verdana" w:hAnsi="Verdana" w:cs="Calibri"/>
                <w:sz w:val="20"/>
                <w:szCs w:val="20"/>
                <w:lang w:val="es-ES"/>
              </w:rPr>
              <w:t xml:space="preserve">volución </w:t>
            </w:r>
            <w:r w:rsidRPr="00617833">
              <w:rPr>
                <w:rFonts w:ascii="Verdana" w:hAnsi="Verdana" w:cs="Calibri"/>
                <w:sz w:val="20"/>
                <w:szCs w:val="20"/>
                <w:lang w:val="es-ES"/>
              </w:rPr>
              <w:t xml:space="preserve"> 2015/2017</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-8,7%</w:t>
            </w:r>
          </w:p>
        </w:tc>
        <w:tc>
          <w:tcPr>
            <w:tcW w:w="2121"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-13,0%</w:t>
            </w:r>
          </w:p>
        </w:tc>
      </w:tr>
      <w:tr w:rsidR="009E2933" w:rsidRPr="00617833" w:rsidTr="009562AF">
        <w:trPr>
          <w:trHeight w:val="268"/>
          <w:jc w:val="right"/>
        </w:trPr>
        <w:tc>
          <w:tcPr>
            <w:tcW w:w="22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933" w:rsidRPr="00617833" w:rsidRDefault="006E6F40" w:rsidP="006E6F40">
            <w:pPr>
              <w:jc w:val="center"/>
              <w:rPr>
                <w:rFonts w:ascii="Verdana" w:hAnsi="Verdana" w:cs="Calibri"/>
                <w:sz w:val="20"/>
                <w:szCs w:val="20"/>
                <w:lang w:val="es-ES"/>
              </w:rPr>
            </w:pPr>
            <w:r w:rsidRPr="00617833">
              <w:rPr>
                <w:rFonts w:ascii="Verdana" w:hAnsi="Verdana" w:cs="Calibri"/>
                <w:sz w:val="20"/>
                <w:szCs w:val="20"/>
                <w:lang w:val="es-ES"/>
              </w:rPr>
              <w:t>Resueltos</w:t>
            </w: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2015</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219</w:t>
            </w:r>
            <w:r w:rsidR="006E6F40" w:rsidRPr="00617833">
              <w:rPr>
                <w:rFonts w:ascii="Verdana" w:hAnsi="Verdana" w:cs="Calibri"/>
                <w:sz w:val="20"/>
                <w:szCs w:val="20"/>
                <w:lang w:val="es-ES"/>
              </w:rPr>
              <w:t>.</w:t>
            </w:r>
            <w:r w:rsidRPr="00617833">
              <w:rPr>
                <w:rFonts w:ascii="Verdana" w:hAnsi="Verdana" w:cs="Calibri"/>
                <w:sz w:val="20"/>
                <w:szCs w:val="20"/>
                <w:lang w:val="es-ES"/>
              </w:rPr>
              <w:t>208</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72</w:t>
            </w:r>
            <w:r w:rsidR="006E6F40" w:rsidRPr="00617833">
              <w:rPr>
                <w:rFonts w:ascii="Verdana" w:hAnsi="Verdana" w:cs="Calibri"/>
                <w:sz w:val="20"/>
                <w:szCs w:val="20"/>
                <w:lang w:val="es-ES"/>
              </w:rPr>
              <w:t>.</w:t>
            </w:r>
            <w:r w:rsidRPr="00617833">
              <w:rPr>
                <w:rFonts w:ascii="Verdana" w:hAnsi="Verdana" w:cs="Calibri"/>
                <w:sz w:val="20"/>
                <w:szCs w:val="20"/>
                <w:lang w:val="es-ES"/>
              </w:rPr>
              <w:t>530</w:t>
            </w:r>
          </w:p>
        </w:tc>
      </w:tr>
      <w:tr w:rsidR="009E2933" w:rsidRPr="00617833" w:rsidTr="00F60675">
        <w:trPr>
          <w:trHeight w:val="266"/>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2016</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206</w:t>
            </w:r>
            <w:r w:rsidR="006E6F40" w:rsidRPr="00617833">
              <w:rPr>
                <w:rFonts w:ascii="Verdana" w:hAnsi="Verdana" w:cs="Calibri"/>
                <w:sz w:val="20"/>
                <w:szCs w:val="20"/>
                <w:lang w:val="es-ES"/>
              </w:rPr>
              <w:t>.</w:t>
            </w:r>
            <w:r w:rsidRPr="00617833">
              <w:rPr>
                <w:rFonts w:ascii="Verdana" w:hAnsi="Verdana" w:cs="Calibri"/>
                <w:sz w:val="20"/>
                <w:szCs w:val="20"/>
                <w:lang w:val="es-ES"/>
              </w:rPr>
              <w:t>298</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66</w:t>
            </w:r>
            <w:r w:rsidR="006E6F40" w:rsidRPr="00617833">
              <w:rPr>
                <w:rFonts w:ascii="Verdana" w:hAnsi="Verdana" w:cs="Calibri"/>
                <w:sz w:val="20"/>
                <w:szCs w:val="20"/>
                <w:lang w:val="es-ES"/>
              </w:rPr>
              <w:t>.</w:t>
            </w:r>
            <w:r w:rsidRPr="00617833">
              <w:rPr>
                <w:rFonts w:ascii="Verdana" w:hAnsi="Verdana" w:cs="Calibri"/>
                <w:sz w:val="20"/>
                <w:szCs w:val="20"/>
                <w:lang w:val="es-ES"/>
              </w:rPr>
              <w:t>811</w:t>
            </w:r>
          </w:p>
        </w:tc>
      </w:tr>
      <w:tr w:rsidR="009E2933" w:rsidRPr="00617833" w:rsidTr="00F60675">
        <w:trPr>
          <w:trHeight w:val="269"/>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2017</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205</w:t>
            </w:r>
            <w:r w:rsidR="006E6F40" w:rsidRPr="00617833">
              <w:rPr>
                <w:rFonts w:ascii="Verdana" w:hAnsi="Verdana" w:cs="Calibri"/>
                <w:sz w:val="20"/>
                <w:szCs w:val="20"/>
                <w:lang w:val="es-ES"/>
              </w:rPr>
              <w:t>.</w:t>
            </w:r>
            <w:r w:rsidRPr="00617833">
              <w:rPr>
                <w:rFonts w:ascii="Verdana" w:hAnsi="Verdana" w:cs="Calibri"/>
                <w:sz w:val="20"/>
                <w:szCs w:val="20"/>
                <w:lang w:val="es-ES"/>
              </w:rPr>
              <w:t>440</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64</w:t>
            </w:r>
            <w:r w:rsidR="006E6F40" w:rsidRPr="00617833">
              <w:rPr>
                <w:rFonts w:ascii="Verdana" w:hAnsi="Verdana" w:cs="Calibri"/>
                <w:sz w:val="20"/>
                <w:szCs w:val="20"/>
                <w:lang w:val="es-ES"/>
              </w:rPr>
              <w:t>.</w:t>
            </w:r>
            <w:r w:rsidRPr="00617833">
              <w:rPr>
                <w:rFonts w:ascii="Verdana" w:hAnsi="Verdana" w:cs="Calibri"/>
                <w:sz w:val="20"/>
                <w:szCs w:val="20"/>
                <w:lang w:val="es-ES"/>
              </w:rPr>
              <w:t>685</w:t>
            </w:r>
          </w:p>
        </w:tc>
      </w:tr>
      <w:tr w:rsidR="009E2933" w:rsidRPr="00617833" w:rsidTr="001378B8">
        <w:trPr>
          <w:trHeight w:val="420"/>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vAlign w:val="center"/>
            <w:hideMark/>
          </w:tcPr>
          <w:p w:rsidR="009E2933" w:rsidRPr="00617833" w:rsidRDefault="006E6F40" w:rsidP="001378B8">
            <w:pPr>
              <w:jc w:val="center"/>
              <w:rPr>
                <w:rFonts w:ascii="Verdana" w:hAnsi="Verdana" w:cs="Calibri"/>
                <w:sz w:val="20"/>
                <w:szCs w:val="20"/>
                <w:lang w:val="es-ES"/>
              </w:rPr>
            </w:pPr>
            <w:r w:rsidRPr="00617833">
              <w:rPr>
                <w:rFonts w:ascii="Verdana" w:hAnsi="Verdana" w:cs="Calibri"/>
                <w:sz w:val="20"/>
                <w:szCs w:val="20"/>
                <w:lang w:val="es-ES"/>
              </w:rPr>
              <w:t>Evolución  2015/2017</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-6,3%</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-10,8%</w:t>
            </w:r>
          </w:p>
        </w:tc>
      </w:tr>
      <w:tr w:rsidR="009E2933" w:rsidRPr="00617833" w:rsidTr="009562AF">
        <w:trPr>
          <w:trHeight w:val="274"/>
          <w:jc w:val="right"/>
        </w:trPr>
        <w:tc>
          <w:tcPr>
            <w:tcW w:w="2227" w:type="dxa"/>
            <w:vMerge w:val="restart"/>
            <w:tcBorders>
              <w:top w:val="nil"/>
              <w:left w:val="single" w:sz="4" w:space="0" w:color="auto"/>
              <w:bottom w:val="single" w:sz="4" w:space="0" w:color="auto"/>
              <w:right w:val="single" w:sz="4" w:space="0" w:color="auto"/>
            </w:tcBorders>
            <w:shd w:val="clear" w:color="auto" w:fill="auto"/>
            <w:vAlign w:val="center"/>
            <w:hideMark/>
          </w:tcPr>
          <w:p w:rsidR="009E2933" w:rsidRPr="00617833" w:rsidRDefault="006E6F40" w:rsidP="006E6F40">
            <w:pPr>
              <w:jc w:val="center"/>
              <w:rPr>
                <w:rFonts w:ascii="Verdana" w:hAnsi="Verdana" w:cs="Calibri"/>
                <w:sz w:val="20"/>
                <w:szCs w:val="20"/>
                <w:lang w:val="es-ES"/>
              </w:rPr>
            </w:pPr>
            <w:r w:rsidRPr="00617833">
              <w:rPr>
                <w:rFonts w:ascii="Verdana" w:hAnsi="Verdana" w:cs="Calibri"/>
                <w:sz w:val="20"/>
                <w:szCs w:val="20"/>
                <w:lang w:val="es-ES"/>
              </w:rPr>
              <w:t>En trámite al final del año</w:t>
            </w: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2015</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111</w:t>
            </w:r>
            <w:r w:rsidR="006E6F40" w:rsidRPr="00617833">
              <w:rPr>
                <w:rFonts w:ascii="Verdana" w:hAnsi="Verdana" w:cs="Calibri"/>
                <w:sz w:val="20"/>
                <w:szCs w:val="20"/>
                <w:lang w:val="es-ES"/>
              </w:rPr>
              <w:t>.</w:t>
            </w:r>
            <w:r w:rsidRPr="00617833">
              <w:rPr>
                <w:rFonts w:ascii="Verdana" w:hAnsi="Verdana" w:cs="Calibri"/>
                <w:sz w:val="20"/>
                <w:szCs w:val="20"/>
                <w:lang w:val="es-ES"/>
              </w:rPr>
              <w:t>039</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w:t>
            </w:r>
            <w:r w:rsidR="006E6F40" w:rsidRPr="00617833">
              <w:rPr>
                <w:rFonts w:ascii="Verdana" w:hAnsi="Verdana" w:cs="Calibri"/>
                <w:sz w:val="20"/>
                <w:szCs w:val="20"/>
                <w:lang w:val="es-ES"/>
              </w:rPr>
              <w:t>.</w:t>
            </w:r>
            <w:r w:rsidRPr="00617833">
              <w:rPr>
                <w:rFonts w:ascii="Verdana" w:hAnsi="Verdana" w:cs="Calibri"/>
                <w:sz w:val="20"/>
                <w:szCs w:val="20"/>
                <w:lang w:val="es-ES"/>
              </w:rPr>
              <w:t>916</w:t>
            </w:r>
          </w:p>
        </w:tc>
      </w:tr>
      <w:tr w:rsidR="009E2933" w:rsidRPr="00617833" w:rsidTr="00F60675">
        <w:trPr>
          <w:trHeight w:val="271"/>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2016</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110</w:t>
            </w:r>
            <w:r w:rsidR="006E6F40" w:rsidRPr="00617833">
              <w:rPr>
                <w:rFonts w:ascii="Verdana" w:hAnsi="Verdana" w:cs="Calibri"/>
                <w:sz w:val="20"/>
                <w:szCs w:val="20"/>
                <w:lang w:val="es-ES"/>
              </w:rPr>
              <w:t>.</w:t>
            </w:r>
            <w:r w:rsidRPr="00617833">
              <w:rPr>
                <w:rFonts w:ascii="Verdana" w:hAnsi="Verdana" w:cs="Calibri"/>
                <w:sz w:val="20"/>
                <w:szCs w:val="20"/>
                <w:lang w:val="es-ES"/>
              </w:rPr>
              <w:t>783</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w:t>
            </w:r>
            <w:r w:rsidR="006E6F40" w:rsidRPr="00617833">
              <w:rPr>
                <w:rFonts w:ascii="Verdana" w:hAnsi="Verdana" w:cs="Calibri"/>
                <w:sz w:val="20"/>
                <w:szCs w:val="20"/>
                <w:lang w:val="es-ES"/>
              </w:rPr>
              <w:t>.</w:t>
            </w:r>
            <w:r w:rsidRPr="00617833">
              <w:rPr>
                <w:rFonts w:ascii="Verdana" w:hAnsi="Verdana" w:cs="Calibri"/>
                <w:sz w:val="20"/>
                <w:szCs w:val="20"/>
                <w:lang w:val="es-ES"/>
              </w:rPr>
              <w:t>582</w:t>
            </w:r>
          </w:p>
        </w:tc>
      </w:tr>
      <w:tr w:rsidR="009E2933" w:rsidRPr="00617833" w:rsidTr="00F60675">
        <w:trPr>
          <w:trHeight w:val="262"/>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1378B8">
            <w:pPr>
              <w:jc w:val="center"/>
              <w:rPr>
                <w:rFonts w:ascii="Verdana" w:hAnsi="Verdana" w:cs="Calibri"/>
                <w:sz w:val="20"/>
                <w:szCs w:val="20"/>
                <w:lang w:val="es-ES"/>
              </w:rPr>
            </w:pPr>
            <w:r w:rsidRPr="00617833">
              <w:rPr>
                <w:rFonts w:ascii="Verdana" w:hAnsi="Verdana" w:cs="Calibri"/>
                <w:sz w:val="20"/>
                <w:szCs w:val="20"/>
                <w:lang w:val="es-ES"/>
              </w:rPr>
              <w:t>2017</w:t>
            </w:r>
          </w:p>
        </w:tc>
        <w:tc>
          <w:tcPr>
            <w:tcW w:w="2409" w:type="dxa"/>
            <w:tcBorders>
              <w:top w:val="nil"/>
              <w:left w:val="nil"/>
              <w:bottom w:val="single" w:sz="4" w:space="0" w:color="auto"/>
              <w:right w:val="single" w:sz="4" w:space="0" w:color="auto"/>
            </w:tcBorders>
            <w:shd w:val="clear" w:color="auto" w:fill="auto"/>
            <w:noWrap/>
            <w:vAlign w:val="center"/>
            <w:hideMark/>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110</w:t>
            </w:r>
            <w:r w:rsidR="006E6F40" w:rsidRPr="00617833">
              <w:rPr>
                <w:rFonts w:ascii="Verdana" w:hAnsi="Verdana" w:cs="Calibri"/>
                <w:sz w:val="20"/>
                <w:szCs w:val="20"/>
                <w:lang w:val="es-ES"/>
              </w:rPr>
              <w:t>.</w:t>
            </w:r>
            <w:r w:rsidRPr="00617833">
              <w:rPr>
                <w:rFonts w:ascii="Verdana" w:hAnsi="Verdana" w:cs="Calibri"/>
                <w:sz w:val="20"/>
                <w:szCs w:val="20"/>
                <w:lang w:val="es-ES"/>
              </w:rPr>
              <w:t>044</w:t>
            </w:r>
          </w:p>
        </w:tc>
        <w:tc>
          <w:tcPr>
            <w:tcW w:w="2121" w:type="dxa"/>
            <w:tcBorders>
              <w:top w:val="nil"/>
              <w:left w:val="nil"/>
              <w:bottom w:val="single" w:sz="4" w:space="0" w:color="auto"/>
              <w:right w:val="single" w:sz="4" w:space="0" w:color="auto"/>
            </w:tcBorders>
            <w:shd w:val="clear" w:color="auto" w:fill="auto"/>
            <w:noWrap/>
            <w:vAlign w:val="center"/>
          </w:tcPr>
          <w:p w:rsidR="009E2933" w:rsidRPr="00617833" w:rsidRDefault="009E2933" w:rsidP="006E6F40">
            <w:pPr>
              <w:jc w:val="right"/>
              <w:rPr>
                <w:rFonts w:ascii="Verdana" w:hAnsi="Verdana" w:cs="Calibri"/>
                <w:sz w:val="20"/>
                <w:szCs w:val="20"/>
                <w:lang w:val="es-ES"/>
              </w:rPr>
            </w:pPr>
            <w:r w:rsidRPr="00617833">
              <w:rPr>
                <w:rFonts w:ascii="Verdana" w:hAnsi="Verdana" w:cs="Calibri"/>
                <w:sz w:val="20"/>
                <w:szCs w:val="20"/>
                <w:lang w:val="es-ES"/>
              </w:rPr>
              <w:t>11</w:t>
            </w:r>
            <w:r w:rsidR="006E6F40" w:rsidRPr="00617833">
              <w:rPr>
                <w:rFonts w:ascii="Verdana" w:hAnsi="Verdana" w:cs="Calibri"/>
                <w:sz w:val="20"/>
                <w:szCs w:val="20"/>
                <w:lang w:val="es-ES"/>
              </w:rPr>
              <w:t>.</w:t>
            </w:r>
            <w:r w:rsidRPr="00617833">
              <w:rPr>
                <w:rFonts w:ascii="Verdana" w:hAnsi="Verdana" w:cs="Calibri"/>
                <w:sz w:val="20"/>
                <w:szCs w:val="20"/>
                <w:lang w:val="es-ES"/>
              </w:rPr>
              <w:t>025</w:t>
            </w:r>
          </w:p>
        </w:tc>
      </w:tr>
      <w:tr w:rsidR="009E2933" w:rsidRPr="00617833" w:rsidTr="009562AF">
        <w:trPr>
          <w:trHeight w:val="357"/>
          <w:jc w:val="right"/>
        </w:trPr>
        <w:tc>
          <w:tcPr>
            <w:tcW w:w="2227" w:type="dxa"/>
            <w:vMerge/>
            <w:tcBorders>
              <w:top w:val="nil"/>
              <w:left w:val="single" w:sz="4" w:space="0" w:color="auto"/>
              <w:bottom w:val="single" w:sz="4" w:space="0" w:color="auto"/>
              <w:right w:val="single" w:sz="4" w:space="0" w:color="auto"/>
            </w:tcBorders>
            <w:vAlign w:val="center"/>
            <w:hideMark/>
          </w:tcPr>
          <w:p w:rsidR="009E2933" w:rsidRPr="00617833" w:rsidRDefault="009E2933" w:rsidP="00B64809">
            <w:pPr>
              <w:rPr>
                <w:rFonts w:ascii="Verdana" w:hAnsi="Verdana" w:cs="Calibri"/>
                <w:sz w:val="20"/>
                <w:szCs w:val="20"/>
                <w:lang w:val="es-ES"/>
              </w:rPr>
            </w:pPr>
          </w:p>
        </w:tc>
        <w:tc>
          <w:tcPr>
            <w:tcW w:w="1459" w:type="dxa"/>
            <w:tcBorders>
              <w:top w:val="nil"/>
              <w:left w:val="nil"/>
              <w:bottom w:val="single" w:sz="4" w:space="0" w:color="auto"/>
              <w:right w:val="single" w:sz="4" w:space="0" w:color="auto"/>
            </w:tcBorders>
            <w:shd w:val="clear" w:color="auto" w:fill="auto"/>
            <w:vAlign w:val="center"/>
            <w:hideMark/>
          </w:tcPr>
          <w:p w:rsidR="009E2933" w:rsidRPr="00617833" w:rsidRDefault="006E6F40" w:rsidP="001378B8">
            <w:pPr>
              <w:jc w:val="center"/>
              <w:rPr>
                <w:rFonts w:ascii="Verdana" w:hAnsi="Verdana" w:cs="Calibri"/>
                <w:sz w:val="20"/>
                <w:szCs w:val="20"/>
                <w:lang w:val="es-ES"/>
              </w:rPr>
            </w:pPr>
            <w:r w:rsidRPr="00617833">
              <w:rPr>
                <w:rFonts w:ascii="Verdana" w:hAnsi="Verdana" w:cs="Calibri"/>
                <w:sz w:val="20"/>
                <w:szCs w:val="20"/>
                <w:lang w:val="es-ES"/>
              </w:rPr>
              <w:t>Evolución  2015/2017</w:t>
            </w:r>
          </w:p>
        </w:tc>
        <w:tc>
          <w:tcPr>
            <w:tcW w:w="2409" w:type="dxa"/>
            <w:tcBorders>
              <w:top w:val="nil"/>
              <w:left w:val="nil"/>
              <w:bottom w:val="single" w:sz="4" w:space="0" w:color="auto"/>
              <w:right w:val="single" w:sz="4" w:space="0" w:color="auto"/>
            </w:tcBorders>
            <w:shd w:val="clear" w:color="auto" w:fill="auto"/>
            <w:noWrap/>
            <w:vAlign w:val="bottom"/>
            <w:hideMark/>
          </w:tcPr>
          <w:p w:rsidR="009E2933" w:rsidRPr="00617833" w:rsidRDefault="009E2933" w:rsidP="00B64809">
            <w:pPr>
              <w:jc w:val="right"/>
              <w:rPr>
                <w:rFonts w:ascii="Verdana" w:hAnsi="Verdana" w:cs="Calibri"/>
                <w:sz w:val="20"/>
                <w:szCs w:val="20"/>
                <w:lang w:val="es-ES"/>
              </w:rPr>
            </w:pPr>
            <w:r w:rsidRPr="00617833">
              <w:rPr>
                <w:rFonts w:ascii="Verdana" w:hAnsi="Verdana" w:cs="Calibri"/>
                <w:sz w:val="20"/>
                <w:szCs w:val="20"/>
                <w:lang w:val="es-ES"/>
              </w:rPr>
              <w:t>-0,9%</w:t>
            </w:r>
          </w:p>
        </w:tc>
        <w:tc>
          <w:tcPr>
            <w:tcW w:w="2121" w:type="dxa"/>
            <w:tcBorders>
              <w:top w:val="nil"/>
              <w:left w:val="nil"/>
              <w:bottom w:val="single" w:sz="4" w:space="0" w:color="auto"/>
              <w:right w:val="single" w:sz="4" w:space="0" w:color="auto"/>
            </w:tcBorders>
            <w:shd w:val="clear" w:color="auto" w:fill="auto"/>
            <w:noWrap/>
            <w:vAlign w:val="bottom"/>
          </w:tcPr>
          <w:p w:rsidR="009E2933" w:rsidRPr="00617833" w:rsidRDefault="009E2933">
            <w:pPr>
              <w:jc w:val="right"/>
              <w:rPr>
                <w:rFonts w:ascii="Verdana" w:hAnsi="Verdana" w:cs="Calibri"/>
                <w:sz w:val="20"/>
                <w:szCs w:val="20"/>
                <w:lang w:val="es-ES"/>
              </w:rPr>
            </w:pPr>
            <w:r w:rsidRPr="00617833">
              <w:rPr>
                <w:rFonts w:ascii="Verdana" w:hAnsi="Verdana" w:cs="Calibri"/>
                <w:sz w:val="20"/>
                <w:szCs w:val="20"/>
                <w:lang w:val="es-ES"/>
              </w:rPr>
              <w:t>-7,5%</w:t>
            </w:r>
          </w:p>
        </w:tc>
      </w:tr>
    </w:tbl>
    <w:p w:rsidR="00B64809" w:rsidRPr="00617833" w:rsidRDefault="00B64809">
      <w:pPr>
        <w:pStyle w:val="Textoindependiente"/>
        <w:spacing w:before="120" w:after="120"/>
        <w:ind w:firstLine="357"/>
        <w:rPr>
          <w:rFonts w:ascii="Verdana" w:hAnsi="Verdana"/>
          <w:sz w:val="20"/>
        </w:rPr>
      </w:pPr>
    </w:p>
    <w:p w:rsidR="002D4542" w:rsidRPr="00617833" w:rsidRDefault="001E1C47">
      <w:pPr>
        <w:pStyle w:val="Textoindependiente"/>
        <w:spacing w:before="120" w:after="120"/>
        <w:ind w:firstLine="357"/>
        <w:rPr>
          <w:rFonts w:ascii="Verdana" w:hAnsi="Verdana"/>
          <w:sz w:val="20"/>
        </w:rPr>
      </w:pPr>
      <w:r w:rsidRPr="00617833">
        <w:rPr>
          <w:rFonts w:ascii="Verdana" w:hAnsi="Verdana"/>
          <w:sz w:val="20"/>
        </w:rPr>
        <w:t>Respecto a l</w:t>
      </w:r>
      <w:r w:rsidR="002D4542" w:rsidRPr="00617833">
        <w:rPr>
          <w:rFonts w:ascii="Verdana" w:hAnsi="Verdana"/>
          <w:sz w:val="20"/>
        </w:rPr>
        <w:t xml:space="preserve">as </w:t>
      </w:r>
      <w:r w:rsidR="00153564" w:rsidRPr="00617833">
        <w:rPr>
          <w:rFonts w:ascii="Verdana" w:hAnsi="Verdana"/>
          <w:sz w:val="20"/>
        </w:rPr>
        <w:t xml:space="preserve">demandas de modificación de </w:t>
      </w:r>
      <w:r w:rsidR="002D4542" w:rsidRPr="00617833">
        <w:rPr>
          <w:rFonts w:ascii="Verdana" w:hAnsi="Verdana"/>
          <w:sz w:val="20"/>
        </w:rPr>
        <w:t xml:space="preserve">medidas matrimoniales y las de guarda y custodia no matrimoniales, </w:t>
      </w:r>
      <w:r w:rsidRPr="00617833">
        <w:rPr>
          <w:rFonts w:ascii="Verdana" w:hAnsi="Verdana"/>
          <w:sz w:val="20"/>
        </w:rPr>
        <w:t xml:space="preserve">se </w:t>
      </w:r>
      <w:r w:rsidR="00DE0D53" w:rsidRPr="00617833">
        <w:rPr>
          <w:rFonts w:ascii="Verdana" w:hAnsi="Verdana"/>
          <w:sz w:val="20"/>
        </w:rPr>
        <w:t>observa</w:t>
      </w:r>
      <w:r w:rsidRPr="00617833">
        <w:rPr>
          <w:rFonts w:ascii="Verdana" w:hAnsi="Verdana"/>
          <w:sz w:val="20"/>
        </w:rPr>
        <w:t xml:space="preserve"> que se mantiene el crecimiento, aunque cada vez más suave, </w:t>
      </w:r>
      <w:r w:rsidR="00F81198" w:rsidRPr="00617833">
        <w:rPr>
          <w:rFonts w:ascii="Verdana" w:hAnsi="Verdana"/>
          <w:sz w:val="20"/>
        </w:rPr>
        <w:t>de las consensuadas. Las no consensuadas o bien se estabilizan o se reducen levemente.</w:t>
      </w:r>
    </w:p>
    <w:tbl>
      <w:tblPr>
        <w:tblW w:w="9029" w:type="dxa"/>
        <w:tblInd w:w="-214" w:type="dxa"/>
        <w:tblCellMar>
          <w:left w:w="70" w:type="dxa"/>
          <w:right w:w="70" w:type="dxa"/>
        </w:tblCellMar>
        <w:tblLook w:val="04A0" w:firstRow="1" w:lastRow="0" w:firstColumn="1" w:lastColumn="0" w:noHBand="0" w:noVBand="1"/>
      </w:tblPr>
      <w:tblGrid>
        <w:gridCol w:w="2249"/>
        <w:gridCol w:w="1720"/>
        <w:gridCol w:w="1760"/>
        <w:gridCol w:w="1680"/>
        <w:gridCol w:w="1620"/>
      </w:tblGrid>
      <w:tr w:rsidR="00C74B89" w:rsidRPr="00617833" w:rsidTr="00F60675">
        <w:trPr>
          <w:trHeight w:val="915"/>
        </w:trPr>
        <w:tc>
          <w:tcPr>
            <w:tcW w:w="2249" w:type="dxa"/>
            <w:tcBorders>
              <w:top w:val="nil"/>
              <w:left w:val="nil"/>
              <w:bottom w:val="nil"/>
              <w:right w:val="nil"/>
            </w:tcBorders>
            <w:shd w:val="clear" w:color="auto" w:fill="auto"/>
            <w:vAlign w:val="center"/>
            <w:hideMark/>
          </w:tcPr>
          <w:p w:rsidR="00C74B89" w:rsidRPr="00617833" w:rsidRDefault="00C74B89">
            <w:pPr>
              <w:rPr>
                <w:color w:val="000000"/>
                <w:sz w:val="20"/>
                <w:szCs w:val="20"/>
              </w:rPr>
            </w:pPr>
          </w:p>
        </w:tc>
        <w:tc>
          <w:tcPr>
            <w:tcW w:w="172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center"/>
              <w:rPr>
                <w:rFonts w:ascii="Verdana" w:hAnsi="Verdana" w:cs="Calibri"/>
                <w:b/>
                <w:bCs/>
                <w:color w:val="000080"/>
                <w:sz w:val="18"/>
                <w:szCs w:val="18"/>
              </w:rPr>
            </w:pPr>
            <w:r w:rsidRPr="00617833">
              <w:rPr>
                <w:rFonts w:ascii="Verdana" w:hAnsi="Verdana" w:cs="Arial"/>
                <w:b/>
                <w:bCs/>
                <w:color w:val="000080"/>
                <w:sz w:val="18"/>
                <w:szCs w:val="18"/>
              </w:rPr>
              <w:t> Modificación medidas  consensuadas</w:t>
            </w:r>
          </w:p>
        </w:tc>
        <w:tc>
          <w:tcPr>
            <w:tcW w:w="176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center"/>
              <w:rPr>
                <w:rFonts w:ascii="Verdana" w:hAnsi="Verdana" w:cs="Calibri"/>
                <w:b/>
                <w:bCs/>
                <w:color w:val="000080"/>
                <w:sz w:val="18"/>
                <w:szCs w:val="18"/>
              </w:rPr>
            </w:pPr>
            <w:r w:rsidRPr="00617833">
              <w:rPr>
                <w:rFonts w:ascii="Verdana" w:hAnsi="Verdana" w:cs="Arial"/>
                <w:b/>
                <w:bCs/>
                <w:color w:val="000080"/>
                <w:sz w:val="18"/>
                <w:szCs w:val="18"/>
              </w:rPr>
              <w:t> Modificación medidas no consensuadas</w:t>
            </w:r>
          </w:p>
        </w:tc>
        <w:tc>
          <w:tcPr>
            <w:tcW w:w="168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center"/>
              <w:rPr>
                <w:rFonts w:ascii="Verdana" w:hAnsi="Verdana" w:cs="Calibri"/>
                <w:b/>
                <w:bCs/>
                <w:color w:val="000080"/>
                <w:sz w:val="18"/>
                <w:szCs w:val="18"/>
              </w:rPr>
            </w:pPr>
            <w:r w:rsidRPr="00617833">
              <w:rPr>
                <w:rFonts w:ascii="Verdana" w:hAnsi="Verdana" w:cs="Arial"/>
                <w:b/>
                <w:bCs/>
                <w:color w:val="000080"/>
                <w:sz w:val="18"/>
                <w:szCs w:val="18"/>
              </w:rPr>
              <w:t> Guarda, custodia o alimentos consensuados</w:t>
            </w:r>
          </w:p>
        </w:tc>
        <w:tc>
          <w:tcPr>
            <w:tcW w:w="162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center"/>
              <w:rPr>
                <w:rFonts w:ascii="Verdana" w:hAnsi="Verdana" w:cs="Calibri"/>
                <w:b/>
                <w:bCs/>
                <w:color w:val="000080"/>
                <w:sz w:val="18"/>
                <w:szCs w:val="18"/>
              </w:rPr>
            </w:pPr>
            <w:r w:rsidRPr="00617833">
              <w:rPr>
                <w:rFonts w:ascii="Verdana" w:hAnsi="Verdana" w:cs="Arial"/>
                <w:b/>
                <w:bCs/>
                <w:color w:val="000080"/>
                <w:sz w:val="18"/>
                <w:szCs w:val="18"/>
              </w:rPr>
              <w:t> Guarda, custodia o alimentos no consensuados</w:t>
            </w:r>
          </w:p>
        </w:tc>
      </w:tr>
      <w:tr w:rsidR="00C74B89" w:rsidRPr="00617833" w:rsidTr="00F60675">
        <w:trPr>
          <w:trHeight w:val="286"/>
        </w:trPr>
        <w:tc>
          <w:tcPr>
            <w:tcW w:w="2249" w:type="dxa"/>
            <w:tcBorders>
              <w:top w:val="single" w:sz="8" w:space="0" w:color="0000FF"/>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Andalucía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1.708</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7.214</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3.296</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6.830</w:t>
            </w:r>
          </w:p>
        </w:tc>
      </w:tr>
      <w:tr w:rsidR="00C74B89" w:rsidRPr="00617833" w:rsidTr="00F60675">
        <w:trPr>
          <w:trHeight w:val="254"/>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Aragón</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297</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806</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402</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526</w:t>
            </w:r>
          </w:p>
        </w:tc>
      </w:tr>
      <w:tr w:rsidR="00C74B89" w:rsidRPr="00617833" w:rsidTr="00F60675">
        <w:trPr>
          <w:trHeight w:val="158"/>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Asturias</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312</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970</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413</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444</w:t>
            </w:r>
          </w:p>
        </w:tc>
      </w:tr>
      <w:tr w:rsidR="00C74B89" w:rsidRPr="00617833" w:rsidTr="00F60675">
        <w:trPr>
          <w:trHeight w:val="8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Illes Balears</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422</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867</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670</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747</w:t>
            </w:r>
          </w:p>
        </w:tc>
      </w:tr>
      <w:tr w:rsidR="00C74B89" w:rsidRPr="00617833" w:rsidTr="00F60675">
        <w:trPr>
          <w:trHeight w:val="30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Canarias</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565</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1.996</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1424</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2.139</w:t>
            </w:r>
          </w:p>
        </w:tc>
      </w:tr>
      <w:tr w:rsidR="00C74B89" w:rsidRPr="00617833" w:rsidTr="00F60675">
        <w:trPr>
          <w:trHeight w:val="30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Cantabria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154</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450</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202</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230</w:t>
            </w:r>
          </w:p>
        </w:tc>
      </w:tr>
      <w:tr w:rsidR="00C74B89" w:rsidRPr="00617833" w:rsidTr="00F60675">
        <w:trPr>
          <w:trHeight w:val="16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Castilla y León</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442</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1.526</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573</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918</w:t>
            </w:r>
          </w:p>
        </w:tc>
      </w:tr>
      <w:tr w:rsidR="00C74B89" w:rsidRPr="00617833" w:rsidTr="00F60675">
        <w:trPr>
          <w:trHeight w:val="277"/>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Castilla-La Mancha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348</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1361</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593</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1015</w:t>
            </w:r>
          </w:p>
        </w:tc>
      </w:tr>
      <w:tr w:rsidR="00C74B89" w:rsidRPr="00617833" w:rsidTr="00F60675">
        <w:trPr>
          <w:trHeight w:val="30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Cataluña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2.332</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4.829</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3.824</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3.886</w:t>
            </w:r>
          </w:p>
        </w:tc>
      </w:tr>
      <w:tr w:rsidR="00C74B89" w:rsidRPr="00617833" w:rsidTr="00F60675">
        <w:trPr>
          <w:trHeight w:val="203"/>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C. Valenciana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1220</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4.311</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1.805</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2.749</w:t>
            </w:r>
          </w:p>
        </w:tc>
      </w:tr>
      <w:tr w:rsidR="00C74B89" w:rsidRPr="00617833" w:rsidTr="00F60675">
        <w:trPr>
          <w:trHeight w:val="236"/>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Extremadura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168</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704</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411</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561</w:t>
            </w:r>
          </w:p>
        </w:tc>
      </w:tr>
      <w:tr w:rsidR="00C74B89" w:rsidRPr="00617833" w:rsidTr="00F60675">
        <w:trPr>
          <w:trHeight w:val="14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Galicia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544</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1.848</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964</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1320</w:t>
            </w:r>
          </w:p>
        </w:tc>
      </w:tr>
      <w:tr w:rsidR="00C74B89" w:rsidRPr="00617833" w:rsidTr="00F60675">
        <w:trPr>
          <w:trHeight w:val="167"/>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Madrid</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1039</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4.299</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2.043</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3.804</w:t>
            </w:r>
          </w:p>
        </w:tc>
      </w:tr>
      <w:tr w:rsidR="00C74B89" w:rsidRPr="00617833" w:rsidTr="00F60675">
        <w:trPr>
          <w:trHeight w:val="80"/>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Murcia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281</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967</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609</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1119</w:t>
            </w:r>
          </w:p>
        </w:tc>
      </w:tr>
      <w:tr w:rsidR="00C74B89" w:rsidRPr="00617833" w:rsidTr="00F60675">
        <w:trPr>
          <w:trHeight w:val="122"/>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Navarra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124</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378</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246</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356</w:t>
            </w:r>
          </w:p>
        </w:tc>
      </w:tr>
      <w:tr w:rsidR="00C74B89" w:rsidRPr="00617833" w:rsidTr="00F60675">
        <w:trPr>
          <w:trHeight w:val="168"/>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País Vasco</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614</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1370</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928</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1217</w:t>
            </w:r>
          </w:p>
        </w:tc>
      </w:tr>
      <w:tr w:rsidR="00C74B89" w:rsidRPr="00617833" w:rsidTr="00F60675">
        <w:trPr>
          <w:trHeight w:val="315"/>
        </w:trPr>
        <w:tc>
          <w:tcPr>
            <w:tcW w:w="2249" w:type="dxa"/>
            <w:tcBorders>
              <w:top w:val="nil"/>
              <w:left w:val="nil"/>
              <w:bottom w:val="nil"/>
              <w:right w:val="nil"/>
            </w:tcBorders>
            <w:shd w:val="clear" w:color="auto" w:fill="auto"/>
            <w:vAlign w:val="center"/>
            <w:hideMark/>
          </w:tcPr>
          <w:p w:rsidR="00C74B89" w:rsidRPr="00617833" w:rsidRDefault="00C74B89">
            <w:pPr>
              <w:jc w:val="both"/>
              <w:rPr>
                <w:rFonts w:ascii="Verdana" w:hAnsi="Verdana" w:cs="Calibri"/>
                <w:color w:val="000000"/>
                <w:sz w:val="20"/>
                <w:szCs w:val="20"/>
              </w:rPr>
            </w:pPr>
            <w:r w:rsidRPr="00617833">
              <w:rPr>
                <w:rFonts w:ascii="Verdana" w:hAnsi="Verdana" w:cs="Arial"/>
                <w:color w:val="000000"/>
                <w:sz w:val="20"/>
                <w:szCs w:val="20"/>
              </w:rPr>
              <w:t> La Rioja</w:t>
            </w:r>
          </w:p>
        </w:tc>
        <w:tc>
          <w:tcPr>
            <w:tcW w:w="17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47</w:t>
            </w:r>
          </w:p>
        </w:tc>
        <w:tc>
          <w:tcPr>
            <w:tcW w:w="176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203</w:t>
            </w:r>
          </w:p>
        </w:tc>
        <w:tc>
          <w:tcPr>
            <w:tcW w:w="168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89</w:t>
            </w:r>
          </w:p>
        </w:tc>
        <w:tc>
          <w:tcPr>
            <w:tcW w:w="1620" w:type="dxa"/>
            <w:tcBorders>
              <w:top w:val="nil"/>
              <w:left w:val="nil"/>
              <w:bottom w:val="nil"/>
              <w:right w:val="nil"/>
            </w:tcBorders>
            <w:shd w:val="clear" w:color="auto" w:fill="auto"/>
            <w:vAlign w:val="center"/>
            <w:hideMark/>
          </w:tcPr>
          <w:p w:rsidR="00C74B89" w:rsidRPr="00617833" w:rsidRDefault="00C74B89">
            <w:pPr>
              <w:jc w:val="right"/>
              <w:rPr>
                <w:rFonts w:ascii="Verdana" w:hAnsi="Verdana" w:cs="Calibri"/>
                <w:color w:val="000000"/>
                <w:sz w:val="20"/>
                <w:szCs w:val="20"/>
              </w:rPr>
            </w:pPr>
            <w:r w:rsidRPr="00617833">
              <w:rPr>
                <w:rFonts w:ascii="Verdana" w:hAnsi="Verdana" w:cs="Calibri"/>
                <w:color w:val="000000"/>
                <w:sz w:val="20"/>
                <w:szCs w:val="20"/>
              </w:rPr>
              <w:t>150</w:t>
            </w:r>
          </w:p>
        </w:tc>
      </w:tr>
      <w:tr w:rsidR="00C74B89" w:rsidRPr="00617833" w:rsidTr="00F60675">
        <w:trPr>
          <w:trHeight w:val="315"/>
        </w:trPr>
        <w:tc>
          <w:tcPr>
            <w:tcW w:w="2249"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rPr>
                <w:rFonts w:ascii="Verdana" w:hAnsi="Verdana" w:cs="Calibri"/>
                <w:b/>
                <w:bCs/>
                <w:color w:val="000080"/>
                <w:sz w:val="20"/>
                <w:szCs w:val="20"/>
              </w:rPr>
            </w:pPr>
            <w:r w:rsidRPr="00617833">
              <w:rPr>
                <w:rFonts w:ascii="Verdana" w:hAnsi="Verdana" w:cs="Arial"/>
                <w:b/>
                <w:bCs/>
                <w:color w:val="000080"/>
                <w:sz w:val="20"/>
                <w:szCs w:val="20"/>
              </w:rPr>
              <w:t>Total</w:t>
            </w:r>
          </w:p>
        </w:tc>
        <w:tc>
          <w:tcPr>
            <w:tcW w:w="172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002060"/>
                <w:sz w:val="20"/>
                <w:szCs w:val="20"/>
              </w:rPr>
            </w:pPr>
            <w:r w:rsidRPr="00617833">
              <w:rPr>
                <w:rFonts w:ascii="Verdana" w:hAnsi="Verdana" w:cs="Calibri"/>
                <w:b/>
                <w:bCs/>
                <w:color w:val="002060"/>
                <w:sz w:val="20"/>
                <w:szCs w:val="20"/>
              </w:rPr>
              <w:t>10.617</w:t>
            </w:r>
          </w:p>
        </w:tc>
        <w:tc>
          <w:tcPr>
            <w:tcW w:w="176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002060"/>
                <w:sz w:val="20"/>
                <w:szCs w:val="20"/>
              </w:rPr>
            </w:pPr>
            <w:r w:rsidRPr="00617833">
              <w:rPr>
                <w:rFonts w:ascii="Verdana" w:hAnsi="Verdana" w:cs="Calibri"/>
                <w:b/>
                <w:bCs/>
                <w:color w:val="002060"/>
                <w:sz w:val="20"/>
                <w:szCs w:val="20"/>
              </w:rPr>
              <w:t>34.099</w:t>
            </w:r>
          </w:p>
        </w:tc>
        <w:tc>
          <w:tcPr>
            <w:tcW w:w="168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002060"/>
                <w:sz w:val="20"/>
                <w:szCs w:val="20"/>
              </w:rPr>
            </w:pPr>
            <w:r w:rsidRPr="00617833">
              <w:rPr>
                <w:rFonts w:ascii="Verdana" w:hAnsi="Verdana" w:cs="Calibri"/>
                <w:b/>
                <w:bCs/>
                <w:color w:val="002060"/>
                <w:sz w:val="20"/>
                <w:szCs w:val="20"/>
              </w:rPr>
              <w:t>18.492</w:t>
            </w:r>
          </w:p>
        </w:tc>
        <w:tc>
          <w:tcPr>
            <w:tcW w:w="1620" w:type="dxa"/>
            <w:tcBorders>
              <w:top w:val="single" w:sz="8" w:space="0" w:color="0000FF"/>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002060"/>
                <w:sz w:val="20"/>
                <w:szCs w:val="20"/>
              </w:rPr>
            </w:pPr>
            <w:r w:rsidRPr="00617833">
              <w:rPr>
                <w:rFonts w:ascii="Verdana" w:hAnsi="Verdana" w:cs="Calibri"/>
                <w:b/>
                <w:bCs/>
                <w:color w:val="002060"/>
                <w:sz w:val="20"/>
                <w:szCs w:val="20"/>
              </w:rPr>
              <w:t>28.011</w:t>
            </w:r>
          </w:p>
        </w:tc>
      </w:tr>
      <w:tr w:rsidR="00C74B89" w:rsidRPr="00617833" w:rsidTr="009562AF">
        <w:trPr>
          <w:trHeight w:val="263"/>
        </w:trPr>
        <w:tc>
          <w:tcPr>
            <w:tcW w:w="2249" w:type="dxa"/>
            <w:tcBorders>
              <w:top w:val="nil"/>
              <w:left w:val="nil"/>
              <w:bottom w:val="single" w:sz="8" w:space="0" w:color="0000FF"/>
              <w:right w:val="nil"/>
            </w:tcBorders>
            <w:shd w:val="clear" w:color="auto" w:fill="auto"/>
            <w:vAlign w:val="center"/>
            <w:hideMark/>
          </w:tcPr>
          <w:p w:rsidR="00C74B89" w:rsidRPr="00617833" w:rsidRDefault="00C74B89">
            <w:pPr>
              <w:jc w:val="center"/>
              <w:rPr>
                <w:rFonts w:ascii="Verdana" w:hAnsi="Verdana" w:cs="Calibri"/>
                <w:b/>
                <w:bCs/>
                <w:color w:val="000080"/>
                <w:sz w:val="20"/>
                <w:szCs w:val="20"/>
              </w:rPr>
            </w:pPr>
            <w:r w:rsidRPr="00617833">
              <w:rPr>
                <w:rFonts w:ascii="Verdana" w:hAnsi="Verdana" w:cs="Arial"/>
                <w:b/>
                <w:bCs/>
                <w:color w:val="000080"/>
                <w:sz w:val="20"/>
                <w:szCs w:val="20"/>
              </w:rPr>
              <w:t>Variación respecto a 2016</w:t>
            </w:r>
          </w:p>
        </w:tc>
        <w:tc>
          <w:tcPr>
            <w:tcW w:w="1720" w:type="dxa"/>
            <w:tcBorders>
              <w:top w:val="nil"/>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333399"/>
                <w:sz w:val="20"/>
                <w:szCs w:val="20"/>
              </w:rPr>
            </w:pPr>
            <w:r w:rsidRPr="00617833">
              <w:rPr>
                <w:rFonts w:ascii="Verdana" w:hAnsi="Verdana" w:cs="Calibri"/>
                <w:b/>
                <w:bCs/>
                <w:color w:val="333399"/>
                <w:sz w:val="20"/>
                <w:szCs w:val="20"/>
              </w:rPr>
              <w:t>3,9%</w:t>
            </w:r>
          </w:p>
        </w:tc>
        <w:tc>
          <w:tcPr>
            <w:tcW w:w="1760" w:type="dxa"/>
            <w:tcBorders>
              <w:top w:val="nil"/>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333399"/>
                <w:sz w:val="20"/>
                <w:szCs w:val="20"/>
              </w:rPr>
            </w:pPr>
            <w:r w:rsidRPr="00617833">
              <w:rPr>
                <w:rFonts w:ascii="Verdana" w:hAnsi="Verdana" w:cs="Calibri"/>
                <w:b/>
                <w:bCs/>
                <w:color w:val="333399"/>
                <w:sz w:val="20"/>
                <w:szCs w:val="20"/>
              </w:rPr>
              <w:t>0,2%</w:t>
            </w:r>
          </w:p>
        </w:tc>
        <w:tc>
          <w:tcPr>
            <w:tcW w:w="1680" w:type="dxa"/>
            <w:tcBorders>
              <w:top w:val="nil"/>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333399"/>
                <w:sz w:val="20"/>
                <w:szCs w:val="20"/>
              </w:rPr>
            </w:pPr>
            <w:r w:rsidRPr="00617833">
              <w:rPr>
                <w:rFonts w:ascii="Verdana" w:hAnsi="Verdana" w:cs="Calibri"/>
                <w:b/>
                <w:bCs/>
                <w:color w:val="333399"/>
                <w:sz w:val="20"/>
                <w:szCs w:val="20"/>
              </w:rPr>
              <w:t>1,5%</w:t>
            </w:r>
          </w:p>
        </w:tc>
        <w:tc>
          <w:tcPr>
            <w:tcW w:w="1620" w:type="dxa"/>
            <w:tcBorders>
              <w:top w:val="nil"/>
              <w:left w:val="nil"/>
              <w:bottom w:val="single" w:sz="8" w:space="0" w:color="0000FF"/>
              <w:right w:val="nil"/>
            </w:tcBorders>
            <w:shd w:val="clear" w:color="auto" w:fill="auto"/>
            <w:vAlign w:val="center"/>
            <w:hideMark/>
          </w:tcPr>
          <w:p w:rsidR="00C74B89" w:rsidRPr="00617833" w:rsidRDefault="00C74B89">
            <w:pPr>
              <w:jc w:val="right"/>
              <w:rPr>
                <w:rFonts w:ascii="Verdana" w:hAnsi="Verdana" w:cs="Calibri"/>
                <w:b/>
                <w:bCs/>
                <w:color w:val="333399"/>
                <w:sz w:val="20"/>
                <w:szCs w:val="20"/>
              </w:rPr>
            </w:pPr>
            <w:r w:rsidRPr="00617833">
              <w:rPr>
                <w:rFonts w:ascii="Verdana" w:hAnsi="Verdana" w:cs="Calibri"/>
                <w:b/>
                <w:bCs/>
                <w:color w:val="333399"/>
                <w:sz w:val="20"/>
                <w:szCs w:val="20"/>
              </w:rPr>
              <w:t>-1,4%</w:t>
            </w:r>
          </w:p>
        </w:tc>
      </w:tr>
    </w:tbl>
    <w:p w:rsidR="008C50D7" w:rsidRPr="00617833" w:rsidRDefault="00063296">
      <w:pPr>
        <w:pStyle w:val="Textoindependiente"/>
        <w:spacing w:before="120" w:after="120"/>
        <w:ind w:firstLine="357"/>
        <w:rPr>
          <w:rFonts w:ascii="Verdana" w:hAnsi="Verdana"/>
          <w:sz w:val="20"/>
        </w:rPr>
      </w:pPr>
      <w:r w:rsidRPr="00617833">
        <w:rPr>
          <w:rFonts w:ascii="Verdana" w:hAnsi="Verdana"/>
          <w:sz w:val="20"/>
        </w:rPr>
        <w:lastRenderedPageBreak/>
        <w:t>L</w:t>
      </w:r>
      <w:r w:rsidR="00DF71DD" w:rsidRPr="00617833">
        <w:rPr>
          <w:rFonts w:ascii="Verdana" w:hAnsi="Verdana"/>
          <w:sz w:val="20"/>
        </w:rPr>
        <w:t xml:space="preserve">os asuntos </w:t>
      </w:r>
      <w:r w:rsidRPr="00617833">
        <w:rPr>
          <w:rFonts w:ascii="Verdana" w:hAnsi="Verdana"/>
          <w:sz w:val="20"/>
        </w:rPr>
        <w:t xml:space="preserve">ingresados </w:t>
      </w:r>
      <w:r w:rsidR="00DF71DD" w:rsidRPr="00617833">
        <w:rPr>
          <w:rFonts w:ascii="Verdana" w:hAnsi="Verdana"/>
          <w:sz w:val="20"/>
        </w:rPr>
        <w:t xml:space="preserve">de </w:t>
      </w:r>
      <w:r w:rsidR="00DF71DD" w:rsidRPr="00617833">
        <w:rPr>
          <w:rFonts w:ascii="Verdana" w:hAnsi="Verdana"/>
          <w:b/>
          <w:sz w:val="20"/>
        </w:rPr>
        <w:t>jurisdicción voluntaria</w:t>
      </w:r>
      <w:r w:rsidR="00DF71DD" w:rsidRPr="00617833">
        <w:rPr>
          <w:rFonts w:ascii="Verdana" w:hAnsi="Verdana"/>
          <w:sz w:val="20"/>
        </w:rPr>
        <w:t xml:space="preserve"> han tenido un</w:t>
      </w:r>
      <w:r w:rsidRPr="00617833">
        <w:rPr>
          <w:rFonts w:ascii="Verdana" w:hAnsi="Verdana"/>
          <w:sz w:val="20"/>
        </w:rPr>
        <w:t xml:space="preserve"> incremento del </w:t>
      </w:r>
      <w:r w:rsidR="00436D93" w:rsidRPr="00617833">
        <w:rPr>
          <w:rFonts w:ascii="Verdana" w:hAnsi="Verdana"/>
          <w:sz w:val="20"/>
        </w:rPr>
        <w:t>1</w:t>
      </w:r>
      <w:r w:rsidRPr="00617833">
        <w:rPr>
          <w:rFonts w:ascii="Verdana" w:hAnsi="Verdana"/>
          <w:sz w:val="20"/>
        </w:rPr>
        <w:t>3</w:t>
      </w:r>
      <w:r w:rsidR="00436D93" w:rsidRPr="00617833">
        <w:rPr>
          <w:rFonts w:ascii="Verdana" w:hAnsi="Verdana"/>
          <w:sz w:val="20"/>
        </w:rPr>
        <w:t>,</w:t>
      </w:r>
      <w:r w:rsidRPr="00617833">
        <w:rPr>
          <w:rFonts w:ascii="Verdana" w:hAnsi="Verdana"/>
          <w:sz w:val="20"/>
        </w:rPr>
        <w:t>2</w:t>
      </w:r>
      <w:r w:rsidR="00154DD7" w:rsidRPr="00617833">
        <w:rPr>
          <w:rFonts w:ascii="Verdana" w:hAnsi="Verdana"/>
          <w:sz w:val="20"/>
        </w:rPr>
        <w:t xml:space="preserve">%, </w:t>
      </w:r>
      <w:r w:rsidR="00436D93" w:rsidRPr="00617833">
        <w:rPr>
          <w:rFonts w:ascii="Verdana" w:hAnsi="Verdana"/>
          <w:sz w:val="20"/>
        </w:rPr>
        <w:t>respecto a 201</w:t>
      </w:r>
      <w:r w:rsidRPr="00617833">
        <w:rPr>
          <w:rFonts w:ascii="Verdana" w:hAnsi="Verdana"/>
          <w:sz w:val="20"/>
        </w:rPr>
        <w:t>6</w:t>
      </w:r>
      <w:r w:rsidR="002B69EB" w:rsidRPr="00617833">
        <w:rPr>
          <w:rFonts w:ascii="Verdana" w:hAnsi="Verdana"/>
          <w:sz w:val="20"/>
        </w:rPr>
        <w:t xml:space="preserve"> </w:t>
      </w:r>
      <w:r w:rsidR="00EA6C21" w:rsidRPr="00617833">
        <w:rPr>
          <w:rFonts w:ascii="Verdana" w:hAnsi="Verdana"/>
          <w:sz w:val="20"/>
        </w:rPr>
        <w:t>en el conjunto de los juzgados de primera instancia, primera instancia e i</w:t>
      </w:r>
      <w:r w:rsidR="00C9447B" w:rsidRPr="00617833">
        <w:rPr>
          <w:rFonts w:ascii="Verdana" w:hAnsi="Verdana"/>
          <w:sz w:val="20"/>
        </w:rPr>
        <w:t xml:space="preserve">nstrucción y </w:t>
      </w:r>
      <w:r w:rsidR="00EA6C21" w:rsidRPr="00617833">
        <w:rPr>
          <w:rFonts w:ascii="Verdana" w:hAnsi="Verdana"/>
          <w:sz w:val="20"/>
        </w:rPr>
        <w:t>m</w:t>
      </w:r>
      <w:r w:rsidR="00436D93" w:rsidRPr="00617833">
        <w:rPr>
          <w:rFonts w:ascii="Verdana" w:hAnsi="Verdana"/>
          <w:sz w:val="20"/>
        </w:rPr>
        <w:t>ercantiles</w:t>
      </w:r>
      <w:r w:rsidR="00C9447B" w:rsidRPr="00617833">
        <w:rPr>
          <w:rFonts w:ascii="Verdana" w:hAnsi="Verdana"/>
          <w:sz w:val="20"/>
        </w:rPr>
        <w:t xml:space="preserve">: </w:t>
      </w:r>
    </w:p>
    <w:p w:rsidR="00436D93" w:rsidRPr="00617833" w:rsidRDefault="00436D93" w:rsidP="0007333C">
      <w:pPr>
        <w:pStyle w:val="Textoindependiente"/>
        <w:spacing w:before="120" w:after="120"/>
        <w:ind w:firstLine="357"/>
        <w:rPr>
          <w:rFonts w:ascii="Verdana" w:hAnsi="Verdana"/>
          <w:sz w:val="20"/>
        </w:rPr>
      </w:pPr>
    </w:p>
    <w:tbl>
      <w:tblPr>
        <w:tblW w:w="6520" w:type="dxa"/>
        <w:jc w:val="center"/>
        <w:tblInd w:w="55" w:type="dxa"/>
        <w:tblCellMar>
          <w:left w:w="70" w:type="dxa"/>
          <w:right w:w="70" w:type="dxa"/>
        </w:tblCellMar>
        <w:tblLook w:val="04A0" w:firstRow="1" w:lastRow="0" w:firstColumn="1" w:lastColumn="0" w:noHBand="0" w:noVBand="1"/>
      </w:tblPr>
      <w:tblGrid>
        <w:gridCol w:w="1632"/>
        <w:gridCol w:w="1285"/>
        <w:gridCol w:w="1191"/>
        <w:gridCol w:w="1164"/>
        <w:gridCol w:w="1248"/>
      </w:tblGrid>
      <w:tr w:rsidR="00063296" w:rsidRPr="00617833" w:rsidTr="00063296">
        <w:trPr>
          <w:trHeight w:val="1140"/>
          <w:jc w:val="center"/>
        </w:trPr>
        <w:tc>
          <w:tcPr>
            <w:tcW w:w="1660" w:type="dxa"/>
            <w:tcBorders>
              <w:top w:val="single" w:sz="8" w:space="0" w:color="auto"/>
              <w:left w:val="nil"/>
              <w:bottom w:val="single" w:sz="8" w:space="0" w:color="auto"/>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 </w:t>
            </w:r>
          </w:p>
        </w:tc>
        <w:tc>
          <w:tcPr>
            <w:tcW w:w="1260" w:type="dxa"/>
            <w:tcBorders>
              <w:top w:val="single" w:sz="8" w:space="0" w:color="auto"/>
              <w:left w:val="nil"/>
              <w:bottom w:val="nil"/>
              <w:right w:val="nil"/>
            </w:tcBorders>
            <w:shd w:val="clear" w:color="auto" w:fill="auto"/>
            <w:vAlign w:val="center"/>
            <w:hideMark/>
          </w:tcPr>
          <w:p w:rsidR="00063296" w:rsidRPr="00617833" w:rsidRDefault="00063296">
            <w:pPr>
              <w:jc w:val="center"/>
              <w:rPr>
                <w:rFonts w:ascii="Verdana" w:hAnsi="Verdana" w:cs="Calibri"/>
                <w:b/>
                <w:bCs/>
                <w:color w:val="000080"/>
                <w:sz w:val="18"/>
                <w:szCs w:val="18"/>
              </w:rPr>
            </w:pPr>
            <w:r w:rsidRPr="00617833">
              <w:rPr>
                <w:rFonts w:ascii="Verdana" w:hAnsi="Verdana" w:cs="Arial"/>
                <w:b/>
                <w:bCs/>
                <w:color w:val="000080"/>
                <w:sz w:val="18"/>
                <w:szCs w:val="18"/>
              </w:rPr>
              <w:t>Ingresados</w:t>
            </w:r>
          </w:p>
        </w:tc>
        <w:tc>
          <w:tcPr>
            <w:tcW w:w="1200" w:type="dxa"/>
            <w:tcBorders>
              <w:top w:val="single" w:sz="8" w:space="0" w:color="auto"/>
              <w:left w:val="nil"/>
              <w:bottom w:val="nil"/>
              <w:right w:val="nil"/>
            </w:tcBorders>
            <w:shd w:val="clear" w:color="auto" w:fill="auto"/>
            <w:vAlign w:val="center"/>
            <w:hideMark/>
          </w:tcPr>
          <w:p w:rsidR="00063296" w:rsidRPr="00617833" w:rsidRDefault="00063296">
            <w:pPr>
              <w:jc w:val="center"/>
              <w:rPr>
                <w:rFonts w:ascii="Verdana" w:hAnsi="Verdana" w:cs="Calibri"/>
                <w:b/>
                <w:bCs/>
                <w:color w:val="000080"/>
                <w:sz w:val="18"/>
                <w:szCs w:val="18"/>
              </w:rPr>
            </w:pPr>
            <w:r w:rsidRPr="00617833">
              <w:rPr>
                <w:rFonts w:ascii="Verdana" w:hAnsi="Verdana" w:cs="Arial"/>
                <w:b/>
                <w:bCs/>
                <w:color w:val="000080"/>
                <w:sz w:val="18"/>
                <w:szCs w:val="18"/>
              </w:rPr>
              <w:t>Resueltos</w:t>
            </w:r>
          </w:p>
        </w:tc>
        <w:tc>
          <w:tcPr>
            <w:tcW w:w="1200" w:type="dxa"/>
            <w:tcBorders>
              <w:top w:val="single" w:sz="8" w:space="0" w:color="auto"/>
              <w:left w:val="nil"/>
              <w:bottom w:val="nil"/>
              <w:right w:val="nil"/>
            </w:tcBorders>
            <w:shd w:val="clear" w:color="auto" w:fill="auto"/>
            <w:vAlign w:val="center"/>
            <w:hideMark/>
          </w:tcPr>
          <w:p w:rsidR="00063296" w:rsidRPr="00617833" w:rsidRDefault="00063296">
            <w:pPr>
              <w:jc w:val="center"/>
              <w:rPr>
                <w:rFonts w:ascii="Verdana" w:hAnsi="Verdana" w:cs="Calibri"/>
                <w:b/>
                <w:bCs/>
                <w:color w:val="000080"/>
                <w:sz w:val="18"/>
                <w:szCs w:val="18"/>
              </w:rPr>
            </w:pPr>
            <w:r w:rsidRPr="00617833">
              <w:rPr>
                <w:rFonts w:ascii="Verdana" w:hAnsi="Verdana" w:cs="Arial"/>
                <w:b/>
                <w:bCs/>
                <w:color w:val="000080"/>
                <w:sz w:val="18"/>
                <w:szCs w:val="18"/>
              </w:rPr>
              <w:t>En trámite al final del año</w:t>
            </w:r>
          </w:p>
        </w:tc>
        <w:tc>
          <w:tcPr>
            <w:tcW w:w="1200" w:type="dxa"/>
            <w:tcBorders>
              <w:top w:val="single" w:sz="8" w:space="0" w:color="auto"/>
              <w:left w:val="nil"/>
              <w:bottom w:val="single" w:sz="8" w:space="0" w:color="auto"/>
              <w:right w:val="nil"/>
            </w:tcBorders>
            <w:shd w:val="clear" w:color="auto" w:fill="auto"/>
            <w:vAlign w:val="center"/>
            <w:hideMark/>
          </w:tcPr>
          <w:p w:rsidR="00063296" w:rsidRPr="00617833" w:rsidRDefault="00063296">
            <w:pPr>
              <w:jc w:val="center"/>
              <w:rPr>
                <w:rFonts w:ascii="Verdana" w:hAnsi="Verdana" w:cs="Calibri"/>
                <w:b/>
                <w:bCs/>
                <w:color w:val="000080"/>
                <w:sz w:val="18"/>
                <w:szCs w:val="18"/>
              </w:rPr>
            </w:pPr>
            <w:r w:rsidRPr="00617833">
              <w:rPr>
                <w:rFonts w:ascii="Verdana" w:hAnsi="Verdana" w:cs="Arial"/>
                <w:b/>
                <w:bCs/>
                <w:color w:val="000080"/>
                <w:sz w:val="18"/>
                <w:szCs w:val="18"/>
              </w:rPr>
              <w:t>Variación ingresados respecto a 2016</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Andalucía</w:t>
            </w:r>
          </w:p>
        </w:tc>
        <w:tc>
          <w:tcPr>
            <w:tcW w:w="1260" w:type="dxa"/>
            <w:tcBorders>
              <w:top w:val="single" w:sz="8" w:space="0" w:color="auto"/>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18.610</w:t>
            </w:r>
          </w:p>
        </w:tc>
        <w:tc>
          <w:tcPr>
            <w:tcW w:w="1200" w:type="dxa"/>
            <w:tcBorders>
              <w:top w:val="single" w:sz="8" w:space="0" w:color="auto"/>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18.824</w:t>
            </w:r>
          </w:p>
        </w:tc>
        <w:tc>
          <w:tcPr>
            <w:tcW w:w="1200" w:type="dxa"/>
            <w:tcBorders>
              <w:top w:val="single" w:sz="8" w:space="0" w:color="auto"/>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7.455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7,2%</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Aragón</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2.958</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2.914</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823</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6,8%</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 xml:space="preserve">Asturias </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5.376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5.339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1056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24,7%</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 xml:space="preserve">Illes Balears </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2.772</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2.876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918</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10,8%</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Canarias</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4.294</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4.236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1.969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25,3%</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Cantabria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3.545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3.677</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515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-10,7%</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Castilla y León</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7.930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8.126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2.617</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1,8%</w:t>
            </w:r>
          </w:p>
        </w:tc>
      </w:tr>
      <w:tr w:rsidR="00063296" w:rsidRPr="00617833" w:rsidTr="00063296">
        <w:trPr>
          <w:trHeight w:val="51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Castilla-La Mancha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4.030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4.154</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2.013</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10,5%</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Cataluña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27.247</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22.419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11.426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65,6%</w:t>
            </w:r>
          </w:p>
        </w:tc>
      </w:tr>
      <w:tr w:rsidR="00063296" w:rsidRPr="00617833" w:rsidTr="00063296">
        <w:trPr>
          <w:trHeight w:val="510"/>
          <w:jc w:val="center"/>
        </w:trPr>
        <w:tc>
          <w:tcPr>
            <w:tcW w:w="1660" w:type="dxa"/>
            <w:tcBorders>
              <w:top w:val="nil"/>
              <w:left w:val="nil"/>
              <w:bottom w:val="nil"/>
              <w:right w:val="nil"/>
            </w:tcBorders>
            <w:shd w:val="clear" w:color="auto" w:fill="auto"/>
            <w:vAlign w:val="center"/>
            <w:hideMark/>
          </w:tcPr>
          <w:p w:rsidR="00063296"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sidR="00063296" w:rsidRPr="00617833">
              <w:rPr>
                <w:rFonts w:ascii="Verdana" w:hAnsi="Verdana" w:cs="Arial"/>
                <w:color w:val="000000"/>
                <w:sz w:val="20"/>
                <w:szCs w:val="20"/>
              </w:rPr>
              <w:t xml:space="preserve"> Valenciana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11.901</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12.016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4.241</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-1,4%</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Extremadura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2.314</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2.249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779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6,4%</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Galicia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10.660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10.615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3.580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3,2%</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 xml:space="preserve">Madrid </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15.767</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16.329</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5.505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-5,1%</w:t>
            </w:r>
          </w:p>
        </w:tc>
      </w:tr>
      <w:tr w:rsidR="00063296" w:rsidRPr="00617833" w:rsidTr="00063296">
        <w:trPr>
          <w:trHeight w:val="51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Murcia (Región de)</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4.475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5.016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2.072</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-6,8%</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 xml:space="preserve">Navarra </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1.362</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1.510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214</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3,0%</w:t>
            </w:r>
          </w:p>
        </w:tc>
      </w:tr>
      <w:tr w:rsidR="00063296" w:rsidRPr="00617833" w:rsidTr="00063296">
        <w:trPr>
          <w:trHeight w:val="300"/>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País Vasco</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8.416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8.575</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1.568</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27,7%</w:t>
            </w:r>
          </w:p>
        </w:tc>
      </w:tr>
      <w:tr w:rsidR="00063296" w:rsidRPr="00617833" w:rsidTr="00063296">
        <w:trPr>
          <w:trHeight w:val="315"/>
          <w:jc w:val="center"/>
        </w:trPr>
        <w:tc>
          <w:tcPr>
            <w:tcW w:w="1660" w:type="dxa"/>
            <w:tcBorders>
              <w:top w:val="nil"/>
              <w:left w:val="nil"/>
              <w:bottom w:val="nil"/>
              <w:right w:val="nil"/>
            </w:tcBorders>
            <w:shd w:val="clear" w:color="auto" w:fill="auto"/>
            <w:vAlign w:val="center"/>
            <w:hideMark/>
          </w:tcPr>
          <w:p w:rsidR="00063296" w:rsidRPr="00617833" w:rsidRDefault="00063296">
            <w:pPr>
              <w:rPr>
                <w:rFonts w:ascii="Verdana" w:hAnsi="Verdana" w:cs="Calibri"/>
                <w:color w:val="000000"/>
                <w:sz w:val="20"/>
                <w:szCs w:val="20"/>
              </w:rPr>
            </w:pPr>
            <w:r w:rsidRPr="00617833">
              <w:rPr>
                <w:rFonts w:ascii="Verdana" w:hAnsi="Verdana" w:cs="Arial"/>
                <w:color w:val="000000"/>
                <w:sz w:val="20"/>
                <w:szCs w:val="20"/>
              </w:rPr>
              <w:t>La Rioja</w:t>
            </w:r>
          </w:p>
        </w:tc>
        <w:tc>
          <w:tcPr>
            <w:tcW w:w="126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730</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806</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231</w:t>
            </w:r>
          </w:p>
        </w:tc>
        <w:tc>
          <w:tcPr>
            <w:tcW w:w="1200" w:type="dxa"/>
            <w:tcBorders>
              <w:top w:val="nil"/>
              <w:left w:val="nil"/>
              <w:bottom w:val="nil"/>
              <w:right w:val="nil"/>
            </w:tcBorders>
            <w:shd w:val="clear" w:color="auto" w:fill="auto"/>
            <w:vAlign w:val="center"/>
            <w:hideMark/>
          </w:tcPr>
          <w:p w:rsidR="00063296" w:rsidRPr="00617833" w:rsidRDefault="00063296">
            <w:pPr>
              <w:jc w:val="right"/>
              <w:rPr>
                <w:rFonts w:ascii="Verdana" w:hAnsi="Verdana" w:cs="Calibri"/>
                <w:color w:val="000000"/>
                <w:sz w:val="20"/>
                <w:szCs w:val="20"/>
              </w:rPr>
            </w:pPr>
            <w:r w:rsidRPr="00617833">
              <w:rPr>
                <w:rFonts w:ascii="Verdana" w:hAnsi="Verdana" w:cs="Calibri"/>
                <w:color w:val="000000"/>
                <w:sz w:val="20"/>
                <w:szCs w:val="20"/>
              </w:rPr>
              <w:t>-10,8%</w:t>
            </w:r>
          </w:p>
        </w:tc>
      </w:tr>
      <w:tr w:rsidR="00063296" w:rsidRPr="00617833" w:rsidTr="00063296">
        <w:trPr>
          <w:trHeight w:val="315"/>
          <w:jc w:val="center"/>
        </w:trPr>
        <w:tc>
          <w:tcPr>
            <w:tcW w:w="1660" w:type="dxa"/>
            <w:tcBorders>
              <w:top w:val="single" w:sz="8" w:space="0" w:color="auto"/>
              <w:left w:val="nil"/>
              <w:bottom w:val="single" w:sz="8" w:space="0" w:color="auto"/>
              <w:right w:val="nil"/>
            </w:tcBorders>
            <w:shd w:val="clear" w:color="auto" w:fill="auto"/>
            <w:vAlign w:val="center"/>
            <w:hideMark/>
          </w:tcPr>
          <w:p w:rsidR="00063296" w:rsidRPr="00617833" w:rsidRDefault="00063296">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260" w:type="dxa"/>
            <w:tcBorders>
              <w:top w:val="single" w:sz="8" w:space="0" w:color="auto"/>
              <w:left w:val="nil"/>
              <w:bottom w:val="single" w:sz="8" w:space="0" w:color="auto"/>
              <w:right w:val="nil"/>
            </w:tcBorders>
            <w:shd w:val="clear" w:color="auto" w:fill="auto"/>
            <w:vAlign w:val="center"/>
            <w:hideMark/>
          </w:tcPr>
          <w:p w:rsidR="00063296" w:rsidRPr="00617833" w:rsidRDefault="00063296">
            <w:pPr>
              <w:jc w:val="right"/>
              <w:rPr>
                <w:rFonts w:ascii="Verdana" w:hAnsi="Verdana" w:cs="Calibri"/>
                <w:b/>
                <w:bCs/>
                <w:color w:val="002060"/>
                <w:sz w:val="20"/>
                <w:szCs w:val="20"/>
              </w:rPr>
            </w:pPr>
            <w:r w:rsidRPr="00617833">
              <w:rPr>
                <w:rFonts w:ascii="Verdana" w:hAnsi="Verdana" w:cs="Calibri"/>
                <w:b/>
                <w:bCs/>
                <w:color w:val="002060"/>
                <w:sz w:val="20"/>
                <w:szCs w:val="20"/>
              </w:rPr>
              <w:t>132.387</w:t>
            </w:r>
          </w:p>
        </w:tc>
        <w:tc>
          <w:tcPr>
            <w:tcW w:w="1200" w:type="dxa"/>
            <w:tcBorders>
              <w:top w:val="single" w:sz="8" w:space="0" w:color="auto"/>
              <w:left w:val="nil"/>
              <w:bottom w:val="single" w:sz="8" w:space="0" w:color="auto"/>
              <w:right w:val="nil"/>
            </w:tcBorders>
            <w:shd w:val="clear" w:color="auto" w:fill="auto"/>
            <w:vAlign w:val="center"/>
            <w:hideMark/>
          </w:tcPr>
          <w:p w:rsidR="00063296" w:rsidRPr="00617833" w:rsidRDefault="00063296">
            <w:pPr>
              <w:jc w:val="right"/>
              <w:rPr>
                <w:rFonts w:ascii="Verdana" w:hAnsi="Verdana" w:cs="Calibri"/>
                <w:b/>
                <w:bCs/>
                <w:color w:val="002060"/>
                <w:sz w:val="20"/>
                <w:szCs w:val="20"/>
              </w:rPr>
            </w:pPr>
            <w:r w:rsidRPr="00617833">
              <w:rPr>
                <w:rFonts w:ascii="Verdana" w:hAnsi="Verdana" w:cs="Calibri"/>
                <w:b/>
                <w:bCs/>
                <w:color w:val="002060"/>
                <w:sz w:val="20"/>
                <w:szCs w:val="20"/>
              </w:rPr>
              <w:t>129.681</w:t>
            </w:r>
          </w:p>
        </w:tc>
        <w:tc>
          <w:tcPr>
            <w:tcW w:w="1200" w:type="dxa"/>
            <w:tcBorders>
              <w:top w:val="single" w:sz="8" w:space="0" w:color="auto"/>
              <w:left w:val="nil"/>
              <w:bottom w:val="single" w:sz="8" w:space="0" w:color="auto"/>
              <w:right w:val="nil"/>
            </w:tcBorders>
            <w:shd w:val="clear" w:color="auto" w:fill="auto"/>
            <w:vAlign w:val="center"/>
            <w:hideMark/>
          </w:tcPr>
          <w:p w:rsidR="00063296" w:rsidRPr="00617833" w:rsidRDefault="00063296">
            <w:pPr>
              <w:jc w:val="right"/>
              <w:rPr>
                <w:rFonts w:ascii="Verdana" w:hAnsi="Verdana" w:cs="Calibri"/>
                <w:b/>
                <w:bCs/>
                <w:color w:val="002060"/>
                <w:sz w:val="20"/>
                <w:szCs w:val="20"/>
              </w:rPr>
            </w:pPr>
            <w:r w:rsidRPr="00617833">
              <w:rPr>
                <w:rFonts w:ascii="Verdana" w:hAnsi="Verdana" w:cs="Calibri"/>
                <w:b/>
                <w:bCs/>
                <w:color w:val="002060"/>
                <w:sz w:val="20"/>
                <w:szCs w:val="20"/>
              </w:rPr>
              <w:t>46.982</w:t>
            </w:r>
          </w:p>
        </w:tc>
        <w:tc>
          <w:tcPr>
            <w:tcW w:w="1200" w:type="dxa"/>
            <w:tcBorders>
              <w:top w:val="single" w:sz="8" w:space="0" w:color="auto"/>
              <w:left w:val="nil"/>
              <w:bottom w:val="single" w:sz="8" w:space="0" w:color="auto"/>
              <w:right w:val="nil"/>
            </w:tcBorders>
            <w:shd w:val="clear" w:color="auto" w:fill="auto"/>
            <w:vAlign w:val="center"/>
            <w:hideMark/>
          </w:tcPr>
          <w:p w:rsidR="00063296" w:rsidRPr="00617833" w:rsidRDefault="00063296">
            <w:pPr>
              <w:jc w:val="right"/>
              <w:rPr>
                <w:rFonts w:ascii="Verdana" w:hAnsi="Verdana" w:cs="Calibri"/>
                <w:b/>
                <w:bCs/>
                <w:color w:val="002060"/>
                <w:sz w:val="20"/>
                <w:szCs w:val="20"/>
              </w:rPr>
            </w:pPr>
            <w:r w:rsidRPr="00617833">
              <w:rPr>
                <w:rFonts w:ascii="Verdana" w:hAnsi="Verdana" w:cs="Calibri"/>
                <w:b/>
                <w:bCs/>
                <w:color w:val="002060"/>
                <w:sz w:val="20"/>
                <w:szCs w:val="20"/>
              </w:rPr>
              <w:t>13,2%</w:t>
            </w:r>
          </w:p>
        </w:tc>
      </w:tr>
    </w:tbl>
    <w:p w:rsidR="005432E3" w:rsidRPr="00617833" w:rsidRDefault="005432E3" w:rsidP="0007333C">
      <w:pPr>
        <w:pStyle w:val="Textoindependiente"/>
        <w:spacing w:before="120" w:after="120"/>
        <w:ind w:firstLine="357"/>
        <w:rPr>
          <w:rFonts w:ascii="Verdana" w:hAnsi="Verdana"/>
          <w:sz w:val="20"/>
        </w:rPr>
      </w:pPr>
      <w:r w:rsidRPr="00617833">
        <w:rPr>
          <w:rFonts w:ascii="Verdana" w:hAnsi="Verdana"/>
          <w:sz w:val="20"/>
        </w:rPr>
        <w:t xml:space="preserve">En los juzgados de primera instancia y de primera instancia e instrucción, el </w:t>
      </w:r>
      <w:r w:rsidR="007A5651" w:rsidRPr="00617833">
        <w:rPr>
          <w:rFonts w:ascii="Verdana" w:hAnsi="Verdana"/>
          <w:sz w:val="20"/>
        </w:rPr>
        <w:t>número</w:t>
      </w:r>
      <w:r w:rsidRPr="00617833">
        <w:rPr>
          <w:rFonts w:ascii="Verdana" w:hAnsi="Verdana"/>
          <w:sz w:val="20"/>
        </w:rPr>
        <w:t xml:space="preserve"> de ingresados </w:t>
      </w:r>
      <w:r w:rsidR="00DD4FB4" w:rsidRPr="00617833">
        <w:rPr>
          <w:rFonts w:ascii="Verdana" w:hAnsi="Verdana"/>
          <w:sz w:val="20"/>
        </w:rPr>
        <w:t xml:space="preserve">en jurisdicción voluntaria </w:t>
      </w:r>
      <w:r w:rsidRPr="00617833">
        <w:rPr>
          <w:rFonts w:ascii="Verdana" w:hAnsi="Verdana"/>
          <w:sz w:val="20"/>
        </w:rPr>
        <w:t>en 201</w:t>
      </w:r>
      <w:r w:rsidR="008E722B" w:rsidRPr="00617833">
        <w:rPr>
          <w:rFonts w:ascii="Verdana" w:hAnsi="Verdana"/>
          <w:sz w:val="20"/>
        </w:rPr>
        <w:t>7</w:t>
      </w:r>
      <w:r w:rsidRPr="00617833">
        <w:rPr>
          <w:rFonts w:ascii="Verdana" w:hAnsi="Verdana"/>
          <w:sz w:val="20"/>
        </w:rPr>
        <w:t xml:space="preserve"> y la evolución del ingreso respecto a 201</w:t>
      </w:r>
      <w:r w:rsidR="008E722B" w:rsidRPr="00617833">
        <w:rPr>
          <w:rFonts w:ascii="Verdana" w:hAnsi="Verdana"/>
          <w:sz w:val="20"/>
        </w:rPr>
        <w:t>6</w:t>
      </w:r>
      <w:r w:rsidRPr="00617833">
        <w:rPr>
          <w:rFonts w:ascii="Verdana" w:hAnsi="Verdana"/>
          <w:sz w:val="20"/>
        </w:rPr>
        <w:t xml:space="preserve"> se puede desglosar:</w:t>
      </w:r>
    </w:p>
    <w:tbl>
      <w:tblPr>
        <w:tblW w:w="6800" w:type="dxa"/>
        <w:jc w:val="center"/>
        <w:tblInd w:w="55" w:type="dxa"/>
        <w:tblCellMar>
          <w:left w:w="70" w:type="dxa"/>
          <w:right w:w="70" w:type="dxa"/>
        </w:tblCellMar>
        <w:tblLook w:val="04A0" w:firstRow="1" w:lastRow="0" w:firstColumn="1" w:lastColumn="0" w:noHBand="0" w:noVBand="1"/>
      </w:tblPr>
      <w:tblGrid>
        <w:gridCol w:w="4060"/>
        <w:gridCol w:w="1300"/>
        <w:gridCol w:w="1440"/>
      </w:tblGrid>
      <w:tr w:rsidR="008E722B" w:rsidRPr="00617833" w:rsidTr="008E722B">
        <w:trPr>
          <w:trHeight w:val="690"/>
          <w:jc w:val="center"/>
        </w:trPr>
        <w:tc>
          <w:tcPr>
            <w:tcW w:w="4060" w:type="dxa"/>
            <w:tcBorders>
              <w:top w:val="single" w:sz="8" w:space="0" w:color="auto"/>
              <w:left w:val="nil"/>
              <w:bottom w:val="single" w:sz="8" w:space="0" w:color="auto"/>
              <w:right w:val="nil"/>
            </w:tcBorders>
            <w:shd w:val="clear" w:color="auto" w:fill="auto"/>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 </w:t>
            </w:r>
          </w:p>
        </w:tc>
        <w:tc>
          <w:tcPr>
            <w:tcW w:w="1300" w:type="dxa"/>
            <w:tcBorders>
              <w:top w:val="single" w:sz="8" w:space="0" w:color="auto"/>
              <w:left w:val="nil"/>
              <w:bottom w:val="single" w:sz="8" w:space="0" w:color="auto"/>
              <w:right w:val="nil"/>
            </w:tcBorders>
            <w:shd w:val="clear" w:color="auto" w:fill="auto"/>
            <w:vAlign w:val="center"/>
            <w:hideMark/>
          </w:tcPr>
          <w:p w:rsidR="008E722B" w:rsidRPr="00617833" w:rsidRDefault="008E722B">
            <w:pPr>
              <w:jc w:val="center"/>
              <w:rPr>
                <w:rFonts w:ascii="Verdana" w:hAnsi="Verdana" w:cs="Calibri"/>
                <w:b/>
                <w:bCs/>
                <w:color w:val="000080"/>
                <w:sz w:val="18"/>
                <w:szCs w:val="18"/>
              </w:rPr>
            </w:pPr>
            <w:r w:rsidRPr="00617833">
              <w:rPr>
                <w:rFonts w:ascii="Verdana" w:hAnsi="Verdana" w:cs="Calibri"/>
                <w:b/>
                <w:bCs/>
                <w:color w:val="000080"/>
                <w:sz w:val="18"/>
                <w:szCs w:val="18"/>
              </w:rPr>
              <w:t>Ingresados</w:t>
            </w:r>
          </w:p>
        </w:tc>
        <w:tc>
          <w:tcPr>
            <w:tcW w:w="1440" w:type="dxa"/>
            <w:tcBorders>
              <w:top w:val="single" w:sz="8" w:space="0" w:color="auto"/>
              <w:left w:val="nil"/>
              <w:bottom w:val="single" w:sz="8" w:space="0" w:color="auto"/>
              <w:right w:val="nil"/>
            </w:tcBorders>
            <w:shd w:val="clear" w:color="auto" w:fill="auto"/>
            <w:vAlign w:val="center"/>
            <w:hideMark/>
          </w:tcPr>
          <w:p w:rsidR="008E722B" w:rsidRPr="00617833" w:rsidRDefault="008E722B">
            <w:pPr>
              <w:jc w:val="center"/>
              <w:rPr>
                <w:rFonts w:ascii="Verdana" w:hAnsi="Verdana" w:cs="Calibri"/>
                <w:b/>
                <w:bCs/>
                <w:color w:val="000080"/>
                <w:sz w:val="18"/>
                <w:szCs w:val="18"/>
              </w:rPr>
            </w:pPr>
            <w:r w:rsidRPr="00617833">
              <w:rPr>
                <w:rFonts w:ascii="Verdana" w:hAnsi="Verdana" w:cs="Calibri"/>
                <w:b/>
                <w:bCs/>
                <w:color w:val="000080"/>
                <w:sz w:val="18"/>
                <w:szCs w:val="18"/>
              </w:rPr>
              <w:t>Evolución respecto a 2016</w:t>
            </w:r>
          </w:p>
        </w:tc>
      </w:tr>
      <w:tr w:rsidR="008E722B" w:rsidRPr="00617833" w:rsidTr="008E722B">
        <w:trPr>
          <w:trHeight w:val="300"/>
          <w:jc w:val="center"/>
        </w:trPr>
        <w:tc>
          <w:tcPr>
            <w:tcW w:w="4060" w:type="dxa"/>
            <w:tcBorders>
              <w:top w:val="nil"/>
              <w:left w:val="nil"/>
              <w:bottom w:val="nil"/>
              <w:right w:val="nil"/>
            </w:tcBorders>
            <w:shd w:val="clear" w:color="auto" w:fill="auto"/>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 xml:space="preserve">Adopciones </w:t>
            </w:r>
          </w:p>
        </w:tc>
        <w:tc>
          <w:tcPr>
            <w:tcW w:w="1300" w:type="dxa"/>
            <w:tcBorders>
              <w:top w:val="nil"/>
              <w:left w:val="nil"/>
              <w:bottom w:val="nil"/>
              <w:right w:val="nil"/>
            </w:tcBorders>
            <w:shd w:val="clear" w:color="auto" w:fill="auto"/>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2.461</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5,6%</w:t>
            </w:r>
          </w:p>
        </w:tc>
      </w:tr>
      <w:tr w:rsidR="008E722B" w:rsidRPr="00617833" w:rsidTr="008E722B">
        <w:trPr>
          <w:trHeight w:val="300"/>
          <w:jc w:val="center"/>
        </w:trPr>
        <w:tc>
          <w:tcPr>
            <w:tcW w:w="4060" w:type="dxa"/>
            <w:tcBorders>
              <w:top w:val="nil"/>
              <w:left w:val="nil"/>
              <w:bottom w:val="nil"/>
              <w:right w:val="nil"/>
            </w:tcBorders>
            <w:shd w:val="clear" w:color="auto" w:fill="auto"/>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 xml:space="preserve">Acogimientos </w:t>
            </w:r>
          </w:p>
        </w:tc>
        <w:tc>
          <w:tcPr>
            <w:tcW w:w="1300" w:type="dxa"/>
            <w:tcBorders>
              <w:top w:val="nil"/>
              <w:left w:val="nil"/>
              <w:bottom w:val="nil"/>
              <w:right w:val="nil"/>
            </w:tcBorders>
            <w:shd w:val="clear" w:color="auto" w:fill="auto"/>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107</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-19,5%</w:t>
            </w:r>
          </w:p>
        </w:tc>
      </w:tr>
      <w:tr w:rsidR="008E722B" w:rsidRPr="00617833" w:rsidTr="008E722B">
        <w:trPr>
          <w:trHeight w:val="510"/>
          <w:jc w:val="center"/>
        </w:trPr>
        <w:tc>
          <w:tcPr>
            <w:tcW w:w="4060" w:type="dxa"/>
            <w:tcBorders>
              <w:top w:val="nil"/>
              <w:left w:val="nil"/>
              <w:bottom w:val="nil"/>
              <w:right w:val="nil"/>
            </w:tcBorders>
            <w:shd w:val="clear" w:color="auto" w:fill="auto"/>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Procesos Esterilización Incapaces (Art. 156 C.P)</w:t>
            </w:r>
          </w:p>
        </w:tc>
        <w:tc>
          <w:tcPr>
            <w:tcW w:w="1300" w:type="dxa"/>
            <w:tcBorders>
              <w:top w:val="nil"/>
              <w:left w:val="nil"/>
              <w:bottom w:val="nil"/>
              <w:right w:val="nil"/>
            </w:tcBorders>
            <w:shd w:val="clear" w:color="auto" w:fill="auto"/>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0</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-100,0%</w:t>
            </w:r>
          </w:p>
        </w:tc>
      </w:tr>
      <w:tr w:rsidR="008E722B" w:rsidRPr="00617833" w:rsidTr="008E722B">
        <w:trPr>
          <w:trHeight w:val="300"/>
          <w:jc w:val="center"/>
        </w:trPr>
        <w:tc>
          <w:tcPr>
            <w:tcW w:w="4060" w:type="dxa"/>
            <w:tcBorders>
              <w:top w:val="nil"/>
              <w:left w:val="nil"/>
              <w:bottom w:val="nil"/>
              <w:right w:val="nil"/>
            </w:tcBorders>
            <w:shd w:val="clear" w:color="auto" w:fill="auto"/>
            <w:noWrap/>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Declaraciones de herederos abintestato</w:t>
            </w:r>
          </w:p>
        </w:tc>
        <w:tc>
          <w:tcPr>
            <w:tcW w:w="130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243</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-54,7%</w:t>
            </w:r>
          </w:p>
        </w:tc>
      </w:tr>
      <w:tr w:rsidR="008E722B" w:rsidRPr="00617833" w:rsidTr="008E722B">
        <w:trPr>
          <w:trHeight w:val="300"/>
          <w:jc w:val="center"/>
        </w:trPr>
        <w:tc>
          <w:tcPr>
            <w:tcW w:w="4060" w:type="dxa"/>
            <w:tcBorders>
              <w:top w:val="nil"/>
              <w:left w:val="nil"/>
              <w:bottom w:val="nil"/>
              <w:right w:val="nil"/>
            </w:tcBorders>
            <w:shd w:val="clear" w:color="auto" w:fill="auto"/>
            <w:noWrap/>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Expedientes de dominio</w:t>
            </w:r>
          </w:p>
        </w:tc>
        <w:tc>
          <w:tcPr>
            <w:tcW w:w="130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304</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-51,6%</w:t>
            </w:r>
          </w:p>
        </w:tc>
      </w:tr>
      <w:tr w:rsidR="008E722B" w:rsidRPr="00617833" w:rsidTr="008E722B">
        <w:trPr>
          <w:trHeight w:val="300"/>
          <w:jc w:val="center"/>
        </w:trPr>
        <w:tc>
          <w:tcPr>
            <w:tcW w:w="4060" w:type="dxa"/>
            <w:tcBorders>
              <w:top w:val="nil"/>
              <w:left w:val="nil"/>
              <w:bottom w:val="nil"/>
              <w:right w:val="nil"/>
            </w:tcBorders>
            <w:shd w:val="clear" w:color="auto" w:fill="auto"/>
            <w:noWrap/>
            <w:vAlign w:val="center"/>
            <w:hideMark/>
          </w:tcPr>
          <w:p w:rsidR="008E722B" w:rsidRPr="00617833" w:rsidRDefault="008E722B">
            <w:pPr>
              <w:rPr>
                <w:rFonts w:ascii="Calibri" w:hAnsi="Calibri" w:cs="Calibri"/>
                <w:color w:val="000000"/>
                <w:sz w:val="22"/>
                <w:szCs w:val="22"/>
              </w:rPr>
            </w:pPr>
            <w:r w:rsidRPr="00617833">
              <w:rPr>
                <w:rFonts w:ascii="Calibri" w:hAnsi="Calibri" w:cs="Calibri"/>
                <w:color w:val="000000"/>
                <w:sz w:val="22"/>
                <w:szCs w:val="22"/>
              </w:rPr>
              <w:t>Conciliaciones</w:t>
            </w:r>
          </w:p>
        </w:tc>
        <w:tc>
          <w:tcPr>
            <w:tcW w:w="130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61.898</w:t>
            </w:r>
          </w:p>
        </w:tc>
        <w:tc>
          <w:tcPr>
            <w:tcW w:w="1440" w:type="dxa"/>
            <w:tcBorders>
              <w:top w:val="nil"/>
              <w:left w:val="nil"/>
              <w:bottom w:val="nil"/>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-5,3%</w:t>
            </w:r>
          </w:p>
        </w:tc>
      </w:tr>
      <w:tr w:rsidR="008E722B" w:rsidRPr="00617833" w:rsidTr="008E722B">
        <w:trPr>
          <w:trHeight w:val="315"/>
          <w:jc w:val="center"/>
        </w:trPr>
        <w:tc>
          <w:tcPr>
            <w:tcW w:w="4060" w:type="dxa"/>
            <w:tcBorders>
              <w:top w:val="nil"/>
              <w:left w:val="nil"/>
              <w:bottom w:val="single" w:sz="8" w:space="0" w:color="auto"/>
              <w:right w:val="nil"/>
            </w:tcBorders>
            <w:shd w:val="clear" w:color="auto" w:fill="auto"/>
            <w:noWrap/>
            <w:vAlign w:val="center"/>
            <w:hideMark/>
          </w:tcPr>
          <w:p w:rsidR="008E722B" w:rsidRPr="00617833" w:rsidRDefault="008E722B">
            <w:pPr>
              <w:rPr>
                <w:rFonts w:ascii="Verdana" w:hAnsi="Verdana" w:cs="Calibri"/>
                <w:color w:val="000000"/>
                <w:sz w:val="20"/>
                <w:szCs w:val="20"/>
              </w:rPr>
            </w:pPr>
            <w:r w:rsidRPr="00617833">
              <w:rPr>
                <w:rFonts w:ascii="Verdana" w:hAnsi="Verdana" w:cs="Calibri"/>
                <w:color w:val="000000"/>
                <w:sz w:val="20"/>
                <w:szCs w:val="20"/>
              </w:rPr>
              <w:t>Otros</w:t>
            </w:r>
          </w:p>
        </w:tc>
        <w:tc>
          <w:tcPr>
            <w:tcW w:w="1300" w:type="dxa"/>
            <w:tcBorders>
              <w:top w:val="nil"/>
              <w:left w:val="nil"/>
              <w:bottom w:val="single" w:sz="8" w:space="0" w:color="auto"/>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64.056</w:t>
            </w:r>
          </w:p>
        </w:tc>
        <w:tc>
          <w:tcPr>
            <w:tcW w:w="1440" w:type="dxa"/>
            <w:tcBorders>
              <w:top w:val="nil"/>
              <w:left w:val="nil"/>
              <w:bottom w:val="single" w:sz="8" w:space="0" w:color="auto"/>
              <w:right w:val="nil"/>
            </w:tcBorders>
            <w:shd w:val="clear" w:color="auto" w:fill="auto"/>
            <w:noWrap/>
            <w:vAlign w:val="center"/>
            <w:hideMark/>
          </w:tcPr>
          <w:p w:rsidR="008E722B" w:rsidRPr="00617833" w:rsidRDefault="008E722B">
            <w:pPr>
              <w:jc w:val="right"/>
              <w:rPr>
                <w:rFonts w:ascii="Verdana" w:hAnsi="Verdana" w:cs="Calibri"/>
                <w:color w:val="000000"/>
                <w:sz w:val="20"/>
                <w:szCs w:val="20"/>
              </w:rPr>
            </w:pPr>
            <w:r w:rsidRPr="00617833">
              <w:rPr>
                <w:rFonts w:ascii="Verdana" w:hAnsi="Verdana" w:cs="Calibri"/>
                <w:color w:val="000000"/>
                <w:sz w:val="20"/>
                <w:szCs w:val="20"/>
              </w:rPr>
              <w:t>40,2%</w:t>
            </w:r>
          </w:p>
        </w:tc>
      </w:tr>
    </w:tbl>
    <w:p w:rsidR="00063296" w:rsidRPr="00617833" w:rsidRDefault="00B02A4D" w:rsidP="00387C18">
      <w:pPr>
        <w:pStyle w:val="Textoindependiente"/>
        <w:spacing w:before="120" w:after="120"/>
        <w:ind w:firstLine="357"/>
        <w:rPr>
          <w:rFonts w:ascii="Verdana" w:hAnsi="Verdana"/>
          <w:sz w:val="20"/>
          <w:lang w:val="es-ES_tradnl"/>
        </w:rPr>
      </w:pPr>
      <w:r w:rsidRPr="00617833">
        <w:rPr>
          <w:rFonts w:ascii="Verdana" w:hAnsi="Verdana"/>
          <w:sz w:val="20"/>
          <w:lang w:val="es-ES_tradnl"/>
        </w:rPr>
        <w:t>Se observa que las conciliaciones representan el 48% de los asuntos de jurisdicción voluntaria ingresados.</w:t>
      </w:r>
    </w:p>
    <w:p w:rsidR="004322CF" w:rsidRPr="00617833" w:rsidRDefault="008E722B" w:rsidP="001378B8">
      <w:pPr>
        <w:pStyle w:val="Textoindependiente"/>
        <w:spacing w:before="120" w:after="120"/>
        <w:ind w:firstLine="357"/>
        <w:rPr>
          <w:rFonts w:ascii="Verdana" w:eastAsiaTheme="minorHAnsi" w:hAnsi="Verdana" w:cstheme="minorBidi"/>
          <w:strike/>
          <w:color w:val="00B050"/>
          <w:sz w:val="20"/>
          <w:szCs w:val="20"/>
          <w:lang w:eastAsia="en-US"/>
        </w:rPr>
      </w:pPr>
      <w:r w:rsidRPr="00617833">
        <w:rPr>
          <w:rFonts w:ascii="Verdana" w:hAnsi="Verdana"/>
          <w:sz w:val="20"/>
          <w:lang w:val="es-ES_tradnl"/>
        </w:rPr>
        <w:t>E</w:t>
      </w:r>
      <w:r w:rsidR="00DD4FB4" w:rsidRPr="00617833">
        <w:rPr>
          <w:rFonts w:ascii="Verdana" w:hAnsi="Verdana"/>
          <w:sz w:val="20"/>
        </w:rPr>
        <w:t xml:space="preserve">n los juzgados de lo mercantil se ha </w:t>
      </w:r>
      <w:r w:rsidRPr="00617833">
        <w:rPr>
          <w:rFonts w:ascii="Verdana" w:hAnsi="Verdana"/>
          <w:sz w:val="20"/>
        </w:rPr>
        <w:t>producido un</w:t>
      </w:r>
      <w:r w:rsidR="00DD4FB4" w:rsidRPr="00617833">
        <w:rPr>
          <w:rFonts w:ascii="Verdana" w:hAnsi="Verdana"/>
          <w:sz w:val="20"/>
        </w:rPr>
        <w:t xml:space="preserve"> incremento del ingreso de los asuntos de jurisdicción voluntaria </w:t>
      </w:r>
      <w:r w:rsidRPr="00617833">
        <w:rPr>
          <w:rFonts w:ascii="Verdana" w:hAnsi="Verdana"/>
          <w:sz w:val="20"/>
        </w:rPr>
        <w:t xml:space="preserve">similar al observado en </w:t>
      </w:r>
      <w:r w:rsidR="00126CB3" w:rsidRPr="00617833">
        <w:rPr>
          <w:rFonts w:ascii="Verdana" w:hAnsi="Verdana"/>
          <w:sz w:val="20"/>
        </w:rPr>
        <w:t>2016. En 2017 ha sido del 47,5%</w:t>
      </w:r>
      <w:r w:rsidR="00F001F3" w:rsidRPr="00617833">
        <w:rPr>
          <w:rFonts w:ascii="Verdana" w:hAnsi="Verdana"/>
          <w:sz w:val="20"/>
        </w:rPr>
        <w:t xml:space="preserve">, </w:t>
      </w:r>
      <w:r w:rsidR="00DD4FB4" w:rsidRPr="00617833">
        <w:rPr>
          <w:rFonts w:ascii="Verdana" w:hAnsi="Verdana"/>
          <w:sz w:val="20"/>
        </w:rPr>
        <w:t xml:space="preserve">  </w:t>
      </w:r>
    </w:p>
    <w:p w:rsidR="00757E2C" w:rsidRPr="00617833" w:rsidRDefault="0086108C" w:rsidP="0007333C">
      <w:pPr>
        <w:pStyle w:val="Textoindependiente"/>
        <w:spacing w:before="120" w:after="120"/>
        <w:ind w:firstLine="357"/>
        <w:rPr>
          <w:rFonts w:ascii="Verdana" w:hAnsi="Verdana"/>
          <w:sz w:val="20"/>
        </w:rPr>
      </w:pPr>
      <w:r w:rsidRPr="00617833">
        <w:rPr>
          <w:rFonts w:ascii="Verdana" w:hAnsi="Verdana"/>
          <w:sz w:val="20"/>
        </w:rPr>
        <w:lastRenderedPageBreak/>
        <w:t xml:space="preserve">Se han derivado para mediación </w:t>
      </w:r>
      <w:r w:rsidR="009429B7" w:rsidRPr="00617833">
        <w:rPr>
          <w:rFonts w:ascii="Verdana" w:hAnsi="Verdana"/>
          <w:sz w:val="20"/>
        </w:rPr>
        <w:t xml:space="preserve">civil </w:t>
      </w:r>
      <w:r w:rsidR="0003037B" w:rsidRPr="00617833">
        <w:rPr>
          <w:rFonts w:ascii="Verdana" w:hAnsi="Verdana"/>
          <w:sz w:val="20"/>
        </w:rPr>
        <w:t xml:space="preserve">un total de </w:t>
      </w:r>
      <w:r w:rsidR="00757E2C" w:rsidRPr="00617833">
        <w:rPr>
          <w:rFonts w:ascii="Verdana" w:hAnsi="Verdana"/>
          <w:sz w:val="20"/>
        </w:rPr>
        <w:t>1.449</w:t>
      </w:r>
      <w:r w:rsidRPr="00617833">
        <w:rPr>
          <w:rFonts w:ascii="Verdana" w:hAnsi="Verdana"/>
          <w:sz w:val="20"/>
        </w:rPr>
        <w:t xml:space="preserve"> asuntos </w:t>
      </w:r>
      <w:r w:rsidR="009429B7" w:rsidRPr="00617833">
        <w:rPr>
          <w:rFonts w:ascii="Verdana" w:hAnsi="Verdana"/>
          <w:sz w:val="20"/>
        </w:rPr>
        <w:t>civiles</w:t>
      </w:r>
      <w:r w:rsidR="004F7DB4" w:rsidRPr="00617833">
        <w:rPr>
          <w:rFonts w:ascii="Verdana" w:hAnsi="Verdana"/>
          <w:sz w:val="20"/>
        </w:rPr>
        <w:t xml:space="preserve">, un </w:t>
      </w:r>
      <w:r w:rsidR="00757E2C" w:rsidRPr="00617833">
        <w:rPr>
          <w:rFonts w:ascii="Verdana" w:hAnsi="Verdana"/>
          <w:sz w:val="20"/>
        </w:rPr>
        <w:t>5</w:t>
      </w:r>
      <w:r w:rsidR="0003037B" w:rsidRPr="00617833">
        <w:rPr>
          <w:rFonts w:ascii="Verdana" w:hAnsi="Verdana"/>
          <w:sz w:val="20"/>
        </w:rPr>
        <w:t>1</w:t>
      </w:r>
      <w:r w:rsidR="00E03564" w:rsidRPr="00617833">
        <w:rPr>
          <w:rFonts w:ascii="Verdana" w:hAnsi="Verdana"/>
          <w:sz w:val="20"/>
        </w:rPr>
        <w:t>,</w:t>
      </w:r>
      <w:r w:rsidR="0003037B" w:rsidRPr="00617833">
        <w:rPr>
          <w:rFonts w:ascii="Verdana" w:hAnsi="Verdana"/>
          <w:sz w:val="20"/>
        </w:rPr>
        <w:t>9</w:t>
      </w:r>
      <w:r w:rsidR="004F7DB4" w:rsidRPr="00617833">
        <w:rPr>
          <w:rFonts w:ascii="Verdana" w:hAnsi="Verdana"/>
          <w:sz w:val="20"/>
        </w:rPr>
        <w:t xml:space="preserve">% </w:t>
      </w:r>
      <w:r w:rsidR="00757E2C" w:rsidRPr="00617833">
        <w:rPr>
          <w:rFonts w:ascii="Verdana" w:hAnsi="Verdana"/>
          <w:sz w:val="20"/>
        </w:rPr>
        <w:t>más</w:t>
      </w:r>
      <w:r w:rsidR="004F7DB4" w:rsidRPr="00617833">
        <w:rPr>
          <w:rFonts w:ascii="Verdana" w:hAnsi="Verdana"/>
          <w:sz w:val="20"/>
        </w:rPr>
        <w:t xml:space="preserve"> que en 201</w:t>
      </w:r>
      <w:r w:rsidR="00757E2C" w:rsidRPr="00617833">
        <w:rPr>
          <w:rFonts w:ascii="Verdana" w:hAnsi="Verdana"/>
          <w:sz w:val="20"/>
        </w:rPr>
        <w:t>6</w:t>
      </w:r>
      <w:r w:rsidR="004F7DB4" w:rsidRPr="00617833">
        <w:rPr>
          <w:rFonts w:ascii="Verdana" w:hAnsi="Verdana"/>
          <w:sz w:val="20"/>
        </w:rPr>
        <w:t xml:space="preserve">. </w:t>
      </w:r>
      <w:r w:rsidR="00757E2C" w:rsidRPr="00617833">
        <w:rPr>
          <w:rFonts w:ascii="Verdana" w:hAnsi="Verdana"/>
          <w:sz w:val="20"/>
        </w:rPr>
        <w:t xml:space="preserve">De las mediaciones derivadas de cuya finalización ha </w:t>
      </w:r>
      <w:r w:rsidR="00B02A4D" w:rsidRPr="00617833">
        <w:rPr>
          <w:rFonts w:ascii="Verdana" w:hAnsi="Verdana"/>
          <w:sz w:val="20"/>
        </w:rPr>
        <w:t>tenido</w:t>
      </w:r>
      <w:r w:rsidR="00757E2C" w:rsidRPr="00617833">
        <w:rPr>
          <w:rFonts w:ascii="Verdana" w:hAnsi="Verdana"/>
          <w:sz w:val="20"/>
        </w:rPr>
        <w:t xml:space="preserve"> conocimiento el órgano judicial, el 18,7% ha sido con avenencia.</w:t>
      </w:r>
      <w:r w:rsidRPr="00617833">
        <w:rPr>
          <w:rFonts w:ascii="Verdana" w:hAnsi="Verdana"/>
          <w:sz w:val="20"/>
        </w:rPr>
        <w:t xml:space="preserve"> </w:t>
      </w:r>
      <w:r w:rsidR="0007333C" w:rsidRPr="00617833">
        <w:rPr>
          <w:rFonts w:ascii="Verdana" w:hAnsi="Verdana"/>
          <w:sz w:val="20"/>
        </w:rPr>
        <w:t>En lo</w:t>
      </w:r>
      <w:r w:rsidR="003115B6" w:rsidRPr="00617833">
        <w:rPr>
          <w:rFonts w:ascii="Verdana" w:hAnsi="Verdana"/>
          <w:sz w:val="20"/>
        </w:rPr>
        <w:t>s juzgados con competencia</w:t>
      </w:r>
      <w:r w:rsidR="003115B6" w:rsidRPr="00617833">
        <w:rPr>
          <w:rFonts w:ascii="Verdana" w:hAnsi="Verdana"/>
          <w:color w:val="FF0000"/>
          <w:sz w:val="20"/>
        </w:rPr>
        <w:t xml:space="preserve"> </w:t>
      </w:r>
      <w:r w:rsidR="00970BD3" w:rsidRPr="00617833">
        <w:rPr>
          <w:rFonts w:ascii="Verdana" w:hAnsi="Verdana"/>
          <w:sz w:val="20"/>
        </w:rPr>
        <w:t>en materia</w:t>
      </w:r>
      <w:r w:rsidR="003115B6" w:rsidRPr="00617833">
        <w:rPr>
          <w:rFonts w:ascii="Verdana" w:hAnsi="Verdana"/>
          <w:sz w:val="20"/>
        </w:rPr>
        <w:t xml:space="preserve"> de derecho de f</w:t>
      </w:r>
      <w:r w:rsidR="0007333C" w:rsidRPr="00617833">
        <w:rPr>
          <w:rFonts w:ascii="Verdana" w:hAnsi="Verdana"/>
          <w:sz w:val="20"/>
        </w:rPr>
        <w:t>amilia se derivaron a</w:t>
      </w:r>
      <w:r w:rsidR="004F7DB4" w:rsidRPr="00617833">
        <w:rPr>
          <w:rFonts w:ascii="Verdana" w:hAnsi="Verdana"/>
          <w:sz w:val="20"/>
        </w:rPr>
        <w:t xml:space="preserve"> mediación familiar un total de </w:t>
      </w:r>
      <w:r w:rsidR="00757E2C" w:rsidRPr="00617833">
        <w:rPr>
          <w:rFonts w:ascii="Verdana" w:hAnsi="Verdana"/>
          <w:sz w:val="20"/>
        </w:rPr>
        <w:t>5</w:t>
      </w:r>
      <w:r w:rsidR="0007333C" w:rsidRPr="00617833">
        <w:rPr>
          <w:rFonts w:ascii="Verdana" w:hAnsi="Verdana"/>
          <w:sz w:val="20"/>
        </w:rPr>
        <w:t>.</w:t>
      </w:r>
      <w:r w:rsidR="00757E2C" w:rsidRPr="00617833">
        <w:rPr>
          <w:rFonts w:ascii="Verdana" w:hAnsi="Verdana"/>
          <w:sz w:val="20"/>
        </w:rPr>
        <w:t>563</w:t>
      </w:r>
      <w:r w:rsidR="0007333C" w:rsidRPr="00617833">
        <w:rPr>
          <w:rFonts w:ascii="Verdana" w:hAnsi="Verdana"/>
          <w:sz w:val="20"/>
        </w:rPr>
        <w:t xml:space="preserve"> asuntos, un </w:t>
      </w:r>
      <w:r w:rsidR="00757E2C" w:rsidRPr="00617833">
        <w:rPr>
          <w:rFonts w:ascii="Verdana" w:hAnsi="Verdana"/>
          <w:sz w:val="20"/>
        </w:rPr>
        <w:t>1</w:t>
      </w:r>
      <w:r w:rsidR="0003037B" w:rsidRPr="00617833">
        <w:rPr>
          <w:rFonts w:ascii="Verdana" w:hAnsi="Verdana"/>
          <w:sz w:val="20"/>
        </w:rPr>
        <w:t>2</w:t>
      </w:r>
      <w:r w:rsidR="00757E2C" w:rsidRPr="00617833">
        <w:rPr>
          <w:rFonts w:ascii="Verdana" w:hAnsi="Verdana"/>
          <w:sz w:val="20"/>
        </w:rPr>
        <w:t>,1</w:t>
      </w:r>
      <w:r w:rsidR="0003037B" w:rsidRPr="00617833">
        <w:rPr>
          <w:rFonts w:ascii="Verdana" w:hAnsi="Verdana"/>
          <w:sz w:val="20"/>
        </w:rPr>
        <w:t>% menos</w:t>
      </w:r>
      <w:r w:rsidR="0007333C" w:rsidRPr="00617833">
        <w:rPr>
          <w:rFonts w:ascii="Verdana" w:hAnsi="Verdana"/>
          <w:sz w:val="20"/>
        </w:rPr>
        <w:t xml:space="preserve"> que en 201</w:t>
      </w:r>
      <w:r w:rsidR="00757E2C" w:rsidRPr="00617833">
        <w:rPr>
          <w:rFonts w:ascii="Verdana" w:hAnsi="Verdana"/>
          <w:sz w:val="20"/>
        </w:rPr>
        <w:t>6</w:t>
      </w:r>
      <w:r w:rsidR="00BC1DFA" w:rsidRPr="00617833">
        <w:rPr>
          <w:rFonts w:ascii="Verdana" w:hAnsi="Verdana"/>
          <w:sz w:val="20"/>
        </w:rPr>
        <w:t xml:space="preserve">. </w:t>
      </w:r>
      <w:r w:rsidR="00B02A4D" w:rsidRPr="00617833">
        <w:rPr>
          <w:rFonts w:ascii="Verdana" w:hAnsi="Verdana"/>
          <w:sz w:val="20"/>
        </w:rPr>
        <w:t xml:space="preserve">El porcentaje de las terminadas con avenencia ha sido del 16,1%. </w:t>
      </w:r>
    </w:p>
    <w:p w:rsidR="00757E2C" w:rsidRPr="00617833" w:rsidRDefault="00757E2C" w:rsidP="0007333C">
      <w:pPr>
        <w:pStyle w:val="Textoindependiente"/>
        <w:spacing w:before="120" w:after="120"/>
        <w:ind w:firstLine="357"/>
        <w:rPr>
          <w:rFonts w:ascii="Verdana" w:hAnsi="Verdana"/>
          <w:sz w:val="20"/>
        </w:rPr>
      </w:pPr>
    </w:p>
    <w:tbl>
      <w:tblPr>
        <w:tblW w:w="10046" w:type="dxa"/>
        <w:tblCellMar>
          <w:left w:w="70" w:type="dxa"/>
          <w:right w:w="70" w:type="dxa"/>
        </w:tblCellMar>
        <w:tblLook w:val="04A0" w:firstRow="1" w:lastRow="0" w:firstColumn="1" w:lastColumn="0" w:noHBand="0" w:noVBand="1"/>
      </w:tblPr>
      <w:tblGrid>
        <w:gridCol w:w="1914"/>
        <w:gridCol w:w="1266"/>
        <w:gridCol w:w="1400"/>
        <w:gridCol w:w="1400"/>
        <w:gridCol w:w="1266"/>
        <w:gridCol w:w="1400"/>
        <w:gridCol w:w="1400"/>
      </w:tblGrid>
      <w:tr w:rsidR="00757E2C" w:rsidRPr="00617833" w:rsidTr="00747E58">
        <w:trPr>
          <w:trHeight w:val="315"/>
        </w:trPr>
        <w:tc>
          <w:tcPr>
            <w:tcW w:w="1914" w:type="dxa"/>
            <w:tcBorders>
              <w:top w:val="nil"/>
              <w:left w:val="nil"/>
              <w:bottom w:val="nil"/>
              <w:right w:val="nil"/>
            </w:tcBorders>
            <w:shd w:val="clear" w:color="auto" w:fill="auto"/>
            <w:noWrap/>
            <w:vAlign w:val="bottom"/>
            <w:hideMark/>
          </w:tcPr>
          <w:p w:rsidR="00757E2C" w:rsidRPr="00617833" w:rsidRDefault="00757E2C">
            <w:pPr>
              <w:rPr>
                <w:color w:val="000000"/>
                <w:sz w:val="20"/>
                <w:szCs w:val="20"/>
              </w:rPr>
            </w:pPr>
          </w:p>
        </w:tc>
        <w:tc>
          <w:tcPr>
            <w:tcW w:w="4066" w:type="dxa"/>
            <w:gridSpan w:val="3"/>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2"/>
                <w:szCs w:val="22"/>
              </w:rPr>
            </w:pPr>
            <w:r w:rsidRPr="00617833">
              <w:rPr>
                <w:rFonts w:ascii="Verdana" w:hAnsi="Verdana" w:cs="Arial"/>
                <w:b/>
                <w:bCs/>
                <w:color w:val="000080"/>
                <w:sz w:val="22"/>
                <w:szCs w:val="22"/>
              </w:rPr>
              <w:t>Mediación civil</w:t>
            </w:r>
          </w:p>
        </w:tc>
        <w:tc>
          <w:tcPr>
            <w:tcW w:w="4066" w:type="dxa"/>
            <w:gridSpan w:val="3"/>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2"/>
                <w:szCs w:val="22"/>
              </w:rPr>
            </w:pPr>
            <w:r w:rsidRPr="00617833">
              <w:rPr>
                <w:rFonts w:ascii="Verdana" w:hAnsi="Verdana" w:cs="Arial"/>
                <w:b/>
                <w:bCs/>
                <w:color w:val="000080"/>
                <w:sz w:val="22"/>
                <w:szCs w:val="22"/>
              </w:rPr>
              <w:t>Mediación familia</w:t>
            </w:r>
          </w:p>
        </w:tc>
      </w:tr>
      <w:tr w:rsidR="00757E2C" w:rsidRPr="00617833" w:rsidTr="00747E58">
        <w:trPr>
          <w:trHeight w:val="1035"/>
        </w:trPr>
        <w:tc>
          <w:tcPr>
            <w:tcW w:w="1914" w:type="dxa"/>
            <w:tcBorders>
              <w:top w:val="nil"/>
              <w:left w:val="nil"/>
              <w:bottom w:val="nil"/>
              <w:right w:val="nil"/>
            </w:tcBorders>
            <w:shd w:val="clear" w:color="auto" w:fill="auto"/>
            <w:noWrap/>
            <w:vAlign w:val="bottom"/>
            <w:hideMark/>
          </w:tcPr>
          <w:p w:rsidR="00757E2C" w:rsidRPr="00617833" w:rsidRDefault="00757E2C">
            <w:pPr>
              <w:rPr>
                <w:color w:val="000000"/>
                <w:sz w:val="20"/>
                <w:szCs w:val="20"/>
              </w:rPr>
            </w:pPr>
          </w:p>
        </w:tc>
        <w:tc>
          <w:tcPr>
            <w:tcW w:w="1266"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Derivados</w:t>
            </w:r>
          </w:p>
        </w:tc>
        <w:tc>
          <w:tcPr>
            <w:tcW w:w="1400"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Finalizados con avenencia</w:t>
            </w:r>
          </w:p>
        </w:tc>
        <w:tc>
          <w:tcPr>
            <w:tcW w:w="1400"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Finalizados sin avenencia</w:t>
            </w:r>
          </w:p>
        </w:tc>
        <w:tc>
          <w:tcPr>
            <w:tcW w:w="1266"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Derivados</w:t>
            </w:r>
          </w:p>
        </w:tc>
        <w:tc>
          <w:tcPr>
            <w:tcW w:w="1400"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Finalizados con avenencia</w:t>
            </w:r>
          </w:p>
        </w:tc>
        <w:tc>
          <w:tcPr>
            <w:tcW w:w="1400" w:type="dxa"/>
            <w:tcBorders>
              <w:top w:val="nil"/>
              <w:left w:val="nil"/>
              <w:bottom w:val="single" w:sz="8" w:space="0" w:color="000080"/>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Finalizados sin avenencia</w:t>
            </w:r>
          </w:p>
        </w:tc>
      </w:tr>
      <w:tr w:rsidR="00757E2C" w:rsidRPr="00617833" w:rsidTr="00747E58">
        <w:trPr>
          <w:trHeight w:val="300"/>
        </w:trPr>
        <w:tc>
          <w:tcPr>
            <w:tcW w:w="1914" w:type="dxa"/>
            <w:tcBorders>
              <w:top w:val="single" w:sz="8" w:space="0" w:color="000080"/>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Andalucía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276</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155</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338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170</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Aragón</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79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15</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31</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Asturias</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127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15</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63</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Illes Balears</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6</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Canarias</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14</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154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63</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Cantabria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34</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Castilla y León</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35</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26</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180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120</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Castilla-La Mancha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110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59</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143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80</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Cataluña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188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103</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946</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95</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323</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C. Valenciana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217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126</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1.271</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36</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979</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Extremadura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47</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Galicia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14</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766</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97</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431</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Madrid</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229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26</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110</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561</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112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352</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Murcia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62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28</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294</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261</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Navarra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79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35</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6</w:t>
            </w:r>
          </w:p>
        </w:tc>
      </w:tr>
      <w:tr w:rsidR="00757E2C" w:rsidRPr="00617833" w:rsidTr="00747E58">
        <w:trPr>
          <w:trHeight w:val="300"/>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País Vasco</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160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19</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89</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553</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118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251</w:t>
            </w:r>
          </w:p>
        </w:tc>
      </w:tr>
      <w:tr w:rsidR="00757E2C" w:rsidRPr="00617833" w:rsidTr="00747E58">
        <w:trPr>
          <w:trHeight w:val="315"/>
        </w:trPr>
        <w:tc>
          <w:tcPr>
            <w:tcW w:w="1914" w:type="dxa"/>
            <w:tcBorders>
              <w:top w:val="nil"/>
              <w:left w:val="nil"/>
              <w:bottom w:val="nil"/>
              <w:right w:val="nil"/>
            </w:tcBorders>
            <w:shd w:val="clear" w:color="auto" w:fill="auto"/>
            <w:vAlign w:val="center"/>
            <w:hideMark/>
          </w:tcPr>
          <w:p w:rsidR="00757E2C" w:rsidRPr="00617833" w:rsidRDefault="00757E2C">
            <w:pPr>
              <w:rPr>
                <w:rFonts w:ascii="Verdana" w:hAnsi="Verdana" w:cs="Calibri"/>
                <w:color w:val="000000"/>
                <w:sz w:val="20"/>
                <w:szCs w:val="20"/>
              </w:rPr>
            </w:pPr>
            <w:r w:rsidRPr="00617833">
              <w:rPr>
                <w:rFonts w:ascii="Verdana" w:hAnsi="Verdana" w:cs="Arial"/>
                <w:color w:val="000000"/>
                <w:sz w:val="20"/>
                <w:szCs w:val="20"/>
              </w:rPr>
              <w:t>La Rioja</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18</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2</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1</w:t>
            </w:r>
          </w:p>
        </w:tc>
        <w:tc>
          <w:tcPr>
            <w:tcW w:w="1266" w:type="dxa"/>
            <w:tcBorders>
              <w:top w:val="nil"/>
              <w:left w:val="nil"/>
              <w:bottom w:val="nil"/>
              <w:right w:val="nil"/>
            </w:tcBorders>
            <w:shd w:val="clear" w:color="auto" w:fill="auto"/>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c>
          <w:tcPr>
            <w:tcW w:w="1400" w:type="dxa"/>
            <w:tcBorders>
              <w:top w:val="nil"/>
              <w:left w:val="nil"/>
              <w:bottom w:val="nil"/>
              <w:right w:val="nil"/>
            </w:tcBorders>
            <w:shd w:val="clear" w:color="auto" w:fill="auto"/>
            <w:noWrap/>
            <w:vAlign w:val="center"/>
            <w:hideMark/>
          </w:tcPr>
          <w:p w:rsidR="00757E2C" w:rsidRPr="00617833" w:rsidRDefault="00757E2C">
            <w:pPr>
              <w:jc w:val="right"/>
              <w:rPr>
                <w:rFonts w:ascii="Verdana" w:hAnsi="Verdana" w:cs="Calibri"/>
                <w:color w:val="000000"/>
                <w:sz w:val="20"/>
                <w:szCs w:val="20"/>
              </w:rPr>
            </w:pPr>
            <w:r w:rsidRPr="00617833">
              <w:rPr>
                <w:rFonts w:ascii="Verdana" w:hAnsi="Verdana" w:cs="Calibri"/>
                <w:color w:val="000000"/>
                <w:sz w:val="20"/>
                <w:szCs w:val="20"/>
              </w:rPr>
              <w:t>0</w:t>
            </w:r>
          </w:p>
        </w:tc>
      </w:tr>
      <w:tr w:rsidR="00757E2C" w:rsidRPr="00617833" w:rsidTr="00747E58">
        <w:trPr>
          <w:trHeight w:val="315"/>
        </w:trPr>
        <w:tc>
          <w:tcPr>
            <w:tcW w:w="1914"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266"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1.449</w:t>
            </w:r>
          </w:p>
        </w:tc>
        <w:tc>
          <w:tcPr>
            <w:tcW w:w="1400"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176</w:t>
            </w:r>
          </w:p>
        </w:tc>
        <w:tc>
          <w:tcPr>
            <w:tcW w:w="1400"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766</w:t>
            </w:r>
          </w:p>
        </w:tc>
        <w:tc>
          <w:tcPr>
            <w:tcW w:w="1266"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5.563</w:t>
            </w:r>
          </w:p>
        </w:tc>
        <w:tc>
          <w:tcPr>
            <w:tcW w:w="1400"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615</w:t>
            </w:r>
          </w:p>
        </w:tc>
        <w:tc>
          <w:tcPr>
            <w:tcW w:w="1400" w:type="dxa"/>
            <w:tcBorders>
              <w:top w:val="single" w:sz="8" w:space="0" w:color="000080"/>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2"/>
                <w:szCs w:val="22"/>
              </w:rPr>
            </w:pPr>
            <w:r w:rsidRPr="00617833">
              <w:rPr>
                <w:rFonts w:ascii="Verdana" w:hAnsi="Verdana" w:cs="Calibri"/>
                <w:b/>
                <w:bCs/>
                <w:color w:val="000000"/>
                <w:sz w:val="22"/>
                <w:szCs w:val="22"/>
              </w:rPr>
              <w:t>3.216</w:t>
            </w:r>
          </w:p>
        </w:tc>
      </w:tr>
      <w:tr w:rsidR="00757E2C" w:rsidRPr="00617833" w:rsidTr="00747E58">
        <w:trPr>
          <w:trHeight w:val="525"/>
        </w:trPr>
        <w:tc>
          <w:tcPr>
            <w:tcW w:w="1914" w:type="dxa"/>
            <w:tcBorders>
              <w:top w:val="nil"/>
              <w:left w:val="nil"/>
              <w:bottom w:val="single" w:sz="8" w:space="0" w:color="0000FF"/>
              <w:right w:val="nil"/>
            </w:tcBorders>
            <w:shd w:val="clear" w:color="auto" w:fill="auto"/>
            <w:vAlign w:val="center"/>
            <w:hideMark/>
          </w:tcPr>
          <w:p w:rsidR="00757E2C" w:rsidRPr="00617833" w:rsidRDefault="00757E2C">
            <w:pPr>
              <w:jc w:val="center"/>
              <w:rPr>
                <w:rFonts w:ascii="Verdana" w:hAnsi="Verdana" w:cs="Calibri"/>
                <w:b/>
                <w:bCs/>
                <w:color w:val="000080"/>
                <w:sz w:val="20"/>
                <w:szCs w:val="20"/>
              </w:rPr>
            </w:pPr>
            <w:r w:rsidRPr="00617833">
              <w:rPr>
                <w:rFonts w:ascii="Verdana" w:hAnsi="Verdana" w:cs="Arial"/>
                <w:b/>
                <w:bCs/>
                <w:color w:val="000080"/>
                <w:sz w:val="20"/>
                <w:szCs w:val="20"/>
              </w:rPr>
              <w:t>Variación respecto a 2016</w:t>
            </w:r>
          </w:p>
        </w:tc>
        <w:tc>
          <w:tcPr>
            <w:tcW w:w="1266"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51,9%</w:t>
            </w:r>
          </w:p>
        </w:tc>
        <w:tc>
          <w:tcPr>
            <w:tcW w:w="1400"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37,5%</w:t>
            </w:r>
          </w:p>
        </w:tc>
        <w:tc>
          <w:tcPr>
            <w:tcW w:w="1400"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49,9%</w:t>
            </w:r>
          </w:p>
        </w:tc>
        <w:tc>
          <w:tcPr>
            <w:tcW w:w="1266"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-12,1%</w:t>
            </w:r>
          </w:p>
        </w:tc>
        <w:tc>
          <w:tcPr>
            <w:tcW w:w="1400"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-26,7%</w:t>
            </w:r>
          </w:p>
        </w:tc>
        <w:tc>
          <w:tcPr>
            <w:tcW w:w="1400" w:type="dxa"/>
            <w:tcBorders>
              <w:top w:val="nil"/>
              <w:left w:val="nil"/>
              <w:bottom w:val="single" w:sz="8" w:space="0" w:color="000080"/>
              <w:right w:val="nil"/>
            </w:tcBorders>
            <w:shd w:val="clear" w:color="auto" w:fill="auto"/>
            <w:noWrap/>
            <w:vAlign w:val="center"/>
            <w:hideMark/>
          </w:tcPr>
          <w:p w:rsidR="00757E2C" w:rsidRPr="00617833" w:rsidRDefault="00757E2C">
            <w:pPr>
              <w:jc w:val="right"/>
              <w:rPr>
                <w:rFonts w:ascii="Verdana" w:hAnsi="Verdana" w:cs="Calibri"/>
                <w:b/>
                <w:bCs/>
                <w:color w:val="000000"/>
                <w:sz w:val="20"/>
                <w:szCs w:val="20"/>
              </w:rPr>
            </w:pPr>
            <w:r w:rsidRPr="00617833">
              <w:rPr>
                <w:rFonts w:ascii="Verdana" w:hAnsi="Verdana" w:cs="Calibri"/>
                <w:b/>
                <w:bCs/>
                <w:color w:val="000000"/>
                <w:sz w:val="20"/>
                <w:szCs w:val="20"/>
              </w:rPr>
              <w:t>-3,4%</w:t>
            </w:r>
          </w:p>
        </w:tc>
      </w:tr>
    </w:tbl>
    <w:p w:rsidR="00757E2C" w:rsidRPr="00617833" w:rsidRDefault="00757E2C">
      <w:pPr>
        <w:pStyle w:val="Textoindependiente"/>
        <w:spacing w:before="120" w:after="120"/>
        <w:ind w:firstLine="357"/>
        <w:rPr>
          <w:rFonts w:ascii="Verdana" w:hAnsi="Verdana"/>
          <w:b/>
          <w:color w:val="000080"/>
          <w:sz w:val="20"/>
        </w:rPr>
      </w:pPr>
    </w:p>
    <w:p w:rsidR="00FC6F40" w:rsidRPr="00617833" w:rsidRDefault="004E06BE">
      <w:pPr>
        <w:pStyle w:val="Textoindependiente"/>
        <w:spacing w:before="120" w:after="120"/>
        <w:ind w:firstLine="357"/>
        <w:rPr>
          <w:rFonts w:ascii="Verdana" w:hAnsi="Verdana"/>
          <w:b/>
          <w:color w:val="000080"/>
          <w:sz w:val="20"/>
        </w:rPr>
      </w:pPr>
      <w:r w:rsidRPr="00617833">
        <w:rPr>
          <w:rFonts w:ascii="Verdana" w:hAnsi="Verdana"/>
          <w:b/>
          <w:color w:val="000080"/>
          <w:sz w:val="20"/>
        </w:rPr>
        <w:t xml:space="preserve">Juzgados y </w:t>
      </w:r>
      <w:r w:rsidR="00FC6F40" w:rsidRPr="00617833">
        <w:rPr>
          <w:rFonts w:ascii="Verdana" w:hAnsi="Verdana"/>
          <w:b/>
          <w:color w:val="000080"/>
          <w:sz w:val="20"/>
        </w:rPr>
        <w:t xml:space="preserve"> Tribunal de Marca Comunitaria</w:t>
      </w:r>
    </w:p>
    <w:p w:rsidR="003237F3" w:rsidRPr="00617833" w:rsidRDefault="00C8053F" w:rsidP="00FC6F40">
      <w:pPr>
        <w:pStyle w:val="Textoindependiente"/>
        <w:spacing w:before="120" w:after="120"/>
        <w:ind w:firstLine="357"/>
        <w:rPr>
          <w:rFonts w:ascii="Verdana" w:hAnsi="Verdana"/>
          <w:sz w:val="20"/>
        </w:rPr>
      </w:pPr>
      <w:r w:rsidRPr="00617833">
        <w:rPr>
          <w:rFonts w:ascii="Verdana" w:hAnsi="Verdana"/>
          <w:sz w:val="20"/>
        </w:rPr>
        <w:t>En 201</w:t>
      </w:r>
      <w:r w:rsidR="00C23E19" w:rsidRPr="00617833">
        <w:rPr>
          <w:rFonts w:ascii="Verdana" w:hAnsi="Verdana"/>
          <w:sz w:val="20"/>
        </w:rPr>
        <w:t>7</w:t>
      </w:r>
      <w:r w:rsidRPr="00617833">
        <w:rPr>
          <w:rFonts w:ascii="Verdana" w:hAnsi="Verdana"/>
          <w:sz w:val="20"/>
        </w:rPr>
        <w:t xml:space="preserve"> s</w:t>
      </w:r>
      <w:r w:rsidR="00C90563" w:rsidRPr="00617833">
        <w:rPr>
          <w:rFonts w:ascii="Verdana" w:hAnsi="Verdana"/>
          <w:sz w:val="20"/>
        </w:rPr>
        <w:t>e</w:t>
      </w:r>
      <w:r w:rsidR="00FC6F40" w:rsidRPr="00617833">
        <w:rPr>
          <w:rFonts w:ascii="Verdana" w:hAnsi="Verdana"/>
          <w:sz w:val="20"/>
        </w:rPr>
        <w:t xml:space="preserve"> han presentado</w:t>
      </w:r>
      <w:r w:rsidR="00C90563" w:rsidRPr="00617833">
        <w:rPr>
          <w:rFonts w:ascii="Verdana" w:hAnsi="Verdana"/>
          <w:sz w:val="20"/>
        </w:rPr>
        <w:t xml:space="preserve"> </w:t>
      </w:r>
      <w:r w:rsidR="003115B6" w:rsidRPr="00617833">
        <w:rPr>
          <w:rFonts w:ascii="Verdana" w:hAnsi="Verdana"/>
          <w:sz w:val="20"/>
        </w:rPr>
        <w:t>en los juzgados de lo m</w:t>
      </w:r>
      <w:r w:rsidR="00FC6F40" w:rsidRPr="00617833">
        <w:rPr>
          <w:rFonts w:ascii="Verdana" w:hAnsi="Verdana"/>
          <w:sz w:val="20"/>
        </w:rPr>
        <w:t xml:space="preserve">ercantil de Alicante competentes  para los asuntos de Marca y Dibujo y Modelos  comunitarios un total de </w:t>
      </w:r>
      <w:r w:rsidR="00192382" w:rsidRPr="00617833">
        <w:rPr>
          <w:rFonts w:ascii="Verdana" w:hAnsi="Verdana"/>
          <w:sz w:val="20"/>
        </w:rPr>
        <w:t>132</w:t>
      </w:r>
      <w:r w:rsidR="00FC6F40" w:rsidRPr="00617833">
        <w:rPr>
          <w:rFonts w:ascii="Verdana" w:hAnsi="Verdana"/>
          <w:sz w:val="20"/>
        </w:rPr>
        <w:t xml:space="preserve"> asuntos de marca </w:t>
      </w:r>
      <w:r w:rsidR="003237F3" w:rsidRPr="00617833">
        <w:rPr>
          <w:rFonts w:ascii="Verdana" w:hAnsi="Verdana"/>
          <w:sz w:val="20"/>
        </w:rPr>
        <w:t>(</w:t>
      </w:r>
      <w:r w:rsidR="00192382" w:rsidRPr="00617833">
        <w:rPr>
          <w:rFonts w:ascii="Verdana" w:hAnsi="Verdana"/>
          <w:sz w:val="20"/>
        </w:rPr>
        <w:t xml:space="preserve">4 </w:t>
      </w:r>
      <w:r w:rsidR="003237F3" w:rsidRPr="00617833">
        <w:rPr>
          <w:rFonts w:ascii="Verdana" w:hAnsi="Verdana"/>
          <w:sz w:val="20"/>
        </w:rPr>
        <w:t>m</w:t>
      </w:r>
      <w:r w:rsidR="00E03564" w:rsidRPr="00617833">
        <w:rPr>
          <w:rFonts w:ascii="Verdana" w:hAnsi="Verdana"/>
          <w:sz w:val="20"/>
        </w:rPr>
        <w:t>ás que en 201</w:t>
      </w:r>
      <w:r w:rsidR="00192382" w:rsidRPr="00617833">
        <w:rPr>
          <w:rFonts w:ascii="Verdana" w:hAnsi="Verdana"/>
          <w:sz w:val="20"/>
        </w:rPr>
        <w:t>6</w:t>
      </w:r>
      <w:r w:rsidR="003237F3" w:rsidRPr="00617833">
        <w:rPr>
          <w:rFonts w:ascii="Verdana" w:hAnsi="Verdana"/>
          <w:sz w:val="20"/>
        </w:rPr>
        <w:t xml:space="preserve">) </w:t>
      </w:r>
      <w:r w:rsidR="00FC6F40" w:rsidRPr="00617833">
        <w:rPr>
          <w:rFonts w:ascii="Verdana" w:hAnsi="Verdana"/>
          <w:sz w:val="20"/>
        </w:rPr>
        <w:t xml:space="preserve">y </w:t>
      </w:r>
      <w:r w:rsidR="000F3EEB" w:rsidRPr="00617833">
        <w:rPr>
          <w:rFonts w:ascii="Verdana" w:hAnsi="Verdana"/>
          <w:sz w:val="20"/>
        </w:rPr>
        <w:t>1</w:t>
      </w:r>
      <w:r w:rsidR="00192382" w:rsidRPr="00617833">
        <w:rPr>
          <w:rFonts w:ascii="Verdana" w:hAnsi="Verdana"/>
          <w:sz w:val="20"/>
        </w:rPr>
        <w:t>6</w:t>
      </w:r>
      <w:r w:rsidR="00FC6F40" w:rsidRPr="00617833">
        <w:rPr>
          <w:rFonts w:ascii="Verdana" w:hAnsi="Verdana"/>
          <w:sz w:val="20"/>
        </w:rPr>
        <w:t xml:space="preserve"> de Dibujo</w:t>
      </w:r>
      <w:r w:rsidR="00BA3251" w:rsidRPr="00617833">
        <w:rPr>
          <w:rFonts w:ascii="Verdana" w:hAnsi="Verdana"/>
          <w:sz w:val="20"/>
        </w:rPr>
        <w:t xml:space="preserve"> y Modelo</w:t>
      </w:r>
      <w:r w:rsidR="00E03564" w:rsidRPr="00617833">
        <w:rPr>
          <w:rFonts w:ascii="Verdana" w:hAnsi="Verdana"/>
          <w:sz w:val="20"/>
        </w:rPr>
        <w:t xml:space="preserve"> (</w:t>
      </w:r>
      <w:r w:rsidR="00192382" w:rsidRPr="00617833">
        <w:rPr>
          <w:rFonts w:ascii="Verdana" w:hAnsi="Verdana"/>
          <w:sz w:val="20"/>
        </w:rPr>
        <w:t>2 más</w:t>
      </w:r>
      <w:r w:rsidR="00E03564" w:rsidRPr="00617833">
        <w:rPr>
          <w:rFonts w:ascii="Verdana" w:hAnsi="Verdana"/>
          <w:sz w:val="20"/>
        </w:rPr>
        <w:t xml:space="preserve"> que el año anterior</w:t>
      </w:r>
      <w:r w:rsidR="003237F3" w:rsidRPr="00617833">
        <w:rPr>
          <w:rFonts w:ascii="Verdana" w:hAnsi="Verdana"/>
          <w:sz w:val="20"/>
        </w:rPr>
        <w:t>)</w:t>
      </w:r>
      <w:r w:rsidR="00C90563" w:rsidRPr="00617833">
        <w:rPr>
          <w:rFonts w:ascii="Verdana" w:hAnsi="Verdana"/>
          <w:sz w:val="20"/>
        </w:rPr>
        <w:t>, habiéndose</w:t>
      </w:r>
      <w:r w:rsidR="00BA3251" w:rsidRPr="00617833">
        <w:rPr>
          <w:rFonts w:ascii="Verdana" w:hAnsi="Verdana"/>
          <w:sz w:val="20"/>
        </w:rPr>
        <w:t xml:space="preserve"> resuel</w:t>
      </w:r>
      <w:r w:rsidR="00FC6F40" w:rsidRPr="00617833">
        <w:rPr>
          <w:rFonts w:ascii="Verdana" w:hAnsi="Verdana"/>
          <w:sz w:val="20"/>
        </w:rPr>
        <w:t xml:space="preserve">to </w:t>
      </w:r>
      <w:r w:rsidR="00192382" w:rsidRPr="00617833">
        <w:rPr>
          <w:rFonts w:ascii="Verdana" w:hAnsi="Verdana"/>
          <w:sz w:val="20"/>
        </w:rPr>
        <w:t>114</w:t>
      </w:r>
      <w:r w:rsidR="00BA3251" w:rsidRPr="00617833">
        <w:rPr>
          <w:rFonts w:ascii="Verdana" w:hAnsi="Verdana"/>
          <w:sz w:val="20"/>
        </w:rPr>
        <w:t xml:space="preserve"> </w:t>
      </w:r>
      <w:r w:rsidR="00747E58" w:rsidRPr="00617833">
        <w:rPr>
          <w:rFonts w:ascii="Verdana" w:hAnsi="Verdana"/>
          <w:sz w:val="20"/>
        </w:rPr>
        <w:t xml:space="preserve">y </w:t>
      </w:r>
      <w:r w:rsidR="00192382" w:rsidRPr="00617833">
        <w:rPr>
          <w:rFonts w:ascii="Verdana" w:hAnsi="Verdana"/>
          <w:sz w:val="20"/>
        </w:rPr>
        <w:t>22</w:t>
      </w:r>
      <w:r w:rsidR="00FC6F40" w:rsidRPr="00617833">
        <w:rPr>
          <w:rFonts w:ascii="Verdana" w:hAnsi="Verdana"/>
          <w:sz w:val="20"/>
        </w:rPr>
        <w:t xml:space="preserve"> respectivamente, quedando en tr</w:t>
      </w:r>
      <w:r w:rsidR="00BC3D51" w:rsidRPr="00617833">
        <w:rPr>
          <w:rFonts w:ascii="Verdana" w:hAnsi="Verdana"/>
          <w:sz w:val="20"/>
        </w:rPr>
        <w:t>á</w:t>
      </w:r>
      <w:r w:rsidR="00FC6F40" w:rsidRPr="00617833">
        <w:rPr>
          <w:rFonts w:ascii="Verdana" w:hAnsi="Verdana"/>
          <w:sz w:val="20"/>
        </w:rPr>
        <w:t>mite al final de</w:t>
      </w:r>
      <w:r w:rsidR="00FF7DE9" w:rsidRPr="00617833">
        <w:rPr>
          <w:rFonts w:ascii="Verdana" w:hAnsi="Verdana"/>
          <w:sz w:val="20"/>
        </w:rPr>
        <w:t>l</w:t>
      </w:r>
      <w:r w:rsidR="00FC6F40" w:rsidRPr="00617833">
        <w:rPr>
          <w:rFonts w:ascii="Verdana" w:hAnsi="Verdana"/>
          <w:sz w:val="20"/>
        </w:rPr>
        <w:t xml:space="preserve">  año </w:t>
      </w:r>
      <w:r w:rsidR="00C23E19" w:rsidRPr="00617833">
        <w:rPr>
          <w:rFonts w:ascii="Verdana" w:hAnsi="Verdana"/>
          <w:sz w:val="20"/>
        </w:rPr>
        <w:t>81</w:t>
      </w:r>
      <w:r w:rsidR="00FC6F40" w:rsidRPr="00617833">
        <w:rPr>
          <w:rFonts w:ascii="Verdana" w:hAnsi="Verdana"/>
          <w:sz w:val="20"/>
        </w:rPr>
        <w:t xml:space="preserve"> asuntos de Marca y </w:t>
      </w:r>
      <w:r w:rsidR="00C23E19" w:rsidRPr="00617833">
        <w:rPr>
          <w:rFonts w:ascii="Verdana" w:hAnsi="Verdana"/>
          <w:sz w:val="20"/>
        </w:rPr>
        <w:t>3</w:t>
      </w:r>
      <w:r w:rsidR="00FC6F40" w:rsidRPr="00617833">
        <w:rPr>
          <w:rFonts w:ascii="Verdana" w:hAnsi="Verdana"/>
          <w:sz w:val="20"/>
        </w:rPr>
        <w:t xml:space="preserve"> de D</w:t>
      </w:r>
      <w:r w:rsidR="00BA3251" w:rsidRPr="00617833">
        <w:rPr>
          <w:rFonts w:ascii="Verdana" w:hAnsi="Verdana"/>
          <w:sz w:val="20"/>
        </w:rPr>
        <w:t xml:space="preserve">ibujo y Modelo.  </w:t>
      </w:r>
    </w:p>
    <w:p w:rsidR="0062457D" w:rsidRPr="00617833" w:rsidRDefault="00FC6F40" w:rsidP="00FC6F40">
      <w:pPr>
        <w:pStyle w:val="Textoindependiente"/>
        <w:spacing w:before="120" w:after="120"/>
        <w:ind w:firstLine="357"/>
        <w:rPr>
          <w:rFonts w:ascii="Verdana" w:hAnsi="Verdana"/>
          <w:sz w:val="20"/>
        </w:rPr>
      </w:pPr>
      <w:r w:rsidRPr="00617833">
        <w:rPr>
          <w:rFonts w:ascii="Verdana" w:hAnsi="Verdana"/>
          <w:sz w:val="20"/>
        </w:rPr>
        <w:t xml:space="preserve">Se han dictado </w:t>
      </w:r>
      <w:r w:rsidR="000F3EEB" w:rsidRPr="00617833">
        <w:rPr>
          <w:rFonts w:ascii="Verdana" w:hAnsi="Verdana"/>
          <w:sz w:val="20"/>
        </w:rPr>
        <w:t>69</w:t>
      </w:r>
      <w:r w:rsidRPr="00617833">
        <w:rPr>
          <w:rFonts w:ascii="Verdana" w:hAnsi="Verdana"/>
          <w:sz w:val="20"/>
        </w:rPr>
        <w:t xml:space="preserve"> sentencias</w:t>
      </w:r>
      <w:r w:rsidR="00BA3251" w:rsidRPr="00617833">
        <w:rPr>
          <w:rFonts w:ascii="Verdana" w:hAnsi="Verdana"/>
          <w:sz w:val="20"/>
        </w:rPr>
        <w:t xml:space="preserve"> </w:t>
      </w:r>
      <w:r w:rsidRPr="00617833">
        <w:rPr>
          <w:rFonts w:ascii="Verdana" w:hAnsi="Verdana"/>
          <w:sz w:val="20"/>
        </w:rPr>
        <w:t>en asuntos con oposición,</w:t>
      </w:r>
      <w:r w:rsidR="00BC3D51" w:rsidRPr="00617833">
        <w:rPr>
          <w:rFonts w:ascii="Verdana" w:hAnsi="Verdana"/>
          <w:sz w:val="20"/>
        </w:rPr>
        <w:t xml:space="preserve"> habiendo sido estimatorias totales </w:t>
      </w:r>
      <w:r w:rsidRPr="00617833">
        <w:rPr>
          <w:rFonts w:ascii="Verdana" w:hAnsi="Verdana"/>
          <w:sz w:val="20"/>
        </w:rPr>
        <w:t xml:space="preserve"> </w:t>
      </w:r>
      <w:r w:rsidR="000F3EEB" w:rsidRPr="00617833">
        <w:rPr>
          <w:rFonts w:ascii="Verdana" w:hAnsi="Verdana"/>
          <w:sz w:val="20"/>
        </w:rPr>
        <w:t>42</w:t>
      </w:r>
      <w:r w:rsidR="00BC3D51" w:rsidRPr="00617833">
        <w:rPr>
          <w:rFonts w:ascii="Verdana" w:hAnsi="Verdana"/>
          <w:sz w:val="20"/>
        </w:rPr>
        <w:t xml:space="preserve">, </w:t>
      </w:r>
      <w:r w:rsidRPr="00617833">
        <w:rPr>
          <w:rFonts w:ascii="Verdana" w:hAnsi="Verdana"/>
          <w:sz w:val="20"/>
        </w:rPr>
        <w:t xml:space="preserve">  parciales </w:t>
      </w:r>
      <w:r w:rsidR="0062457D" w:rsidRPr="00617833">
        <w:rPr>
          <w:rFonts w:ascii="Verdana" w:hAnsi="Verdana"/>
          <w:sz w:val="20"/>
        </w:rPr>
        <w:t>1</w:t>
      </w:r>
      <w:r w:rsidR="000F3EEB" w:rsidRPr="00617833">
        <w:rPr>
          <w:rFonts w:ascii="Verdana" w:hAnsi="Verdana"/>
          <w:sz w:val="20"/>
        </w:rPr>
        <w:t>2</w:t>
      </w:r>
      <w:r w:rsidR="00BF3E1A" w:rsidRPr="00617833">
        <w:rPr>
          <w:rFonts w:ascii="Verdana" w:hAnsi="Verdana"/>
          <w:sz w:val="20"/>
        </w:rPr>
        <w:t xml:space="preserve"> </w:t>
      </w:r>
      <w:r w:rsidR="00BC3D51" w:rsidRPr="00617833">
        <w:rPr>
          <w:rFonts w:ascii="Verdana" w:hAnsi="Verdana"/>
          <w:sz w:val="20"/>
        </w:rPr>
        <w:t>y</w:t>
      </w:r>
      <w:r w:rsidRPr="00617833">
        <w:rPr>
          <w:rFonts w:ascii="Verdana" w:hAnsi="Verdana"/>
          <w:sz w:val="20"/>
        </w:rPr>
        <w:t xml:space="preserve">  desestimatorias</w:t>
      </w:r>
      <w:r w:rsidR="00BF3E1A" w:rsidRPr="00617833">
        <w:rPr>
          <w:rFonts w:ascii="Verdana" w:hAnsi="Verdana"/>
          <w:sz w:val="20"/>
        </w:rPr>
        <w:t xml:space="preserve"> </w:t>
      </w:r>
      <w:r w:rsidR="000F3EEB" w:rsidRPr="00617833">
        <w:rPr>
          <w:rFonts w:ascii="Verdana" w:hAnsi="Verdana"/>
          <w:sz w:val="20"/>
        </w:rPr>
        <w:t>15</w:t>
      </w:r>
      <w:r w:rsidRPr="00617833">
        <w:rPr>
          <w:rFonts w:ascii="Verdana" w:hAnsi="Verdana"/>
          <w:sz w:val="20"/>
        </w:rPr>
        <w:t xml:space="preserve">. </w:t>
      </w:r>
      <w:r w:rsidR="00EE6607" w:rsidRPr="00617833">
        <w:rPr>
          <w:rFonts w:ascii="Verdana" w:hAnsi="Verdana"/>
          <w:sz w:val="20"/>
        </w:rPr>
        <w:t>En asuntos sin oposición</w:t>
      </w:r>
      <w:r w:rsidRPr="00617833">
        <w:rPr>
          <w:rFonts w:ascii="Verdana" w:hAnsi="Verdana"/>
          <w:sz w:val="20"/>
        </w:rPr>
        <w:t xml:space="preserve"> </w:t>
      </w:r>
      <w:r w:rsidR="00C90563" w:rsidRPr="00617833">
        <w:rPr>
          <w:rFonts w:ascii="Verdana" w:hAnsi="Verdana"/>
          <w:sz w:val="20"/>
        </w:rPr>
        <w:t xml:space="preserve">se han dictado </w:t>
      </w:r>
      <w:r w:rsidR="00C9159E" w:rsidRPr="00617833">
        <w:rPr>
          <w:rFonts w:ascii="Verdana" w:hAnsi="Verdana"/>
          <w:sz w:val="20"/>
        </w:rPr>
        <w:t>2</w:t>
      </w:r>
      <w:r w:rsidR="00C90563" w:rsidRPr="00617833">
        <w:rPr>
          <w:rFonts w:ascii="Verdana" w:hAnsi="Verdana"/>
          <w:sz w:val="20"/>
        </w:rPr>
        <w:t xml:space="preserve"> sentencias</w:t>
      </w:r>
      <w:r w:rsidR="0062457D" w:rsidRPr="00617833">
        <w:rPr>
          <w:rFonts w:ascii="Verdana" w:hAnsi="Verdana"/>
          <w:sz w:val="20"/>
        </w:rPr>
        <w:t xml:space="preserve">, todas ellas </w:t>
      </w:r>
      <w:r w:rsidR="00C90563" w:rsidRPr="00617833">
        <w:rPr>
          <w:rFonts w:ascii="Verdana" w:hAnsi="Verdana"/>
          <w:sz w:val="20"/>
        </w:rPr>
        <w:t>estimatorias totales.</w:t>
      </w:r>
      <w:r w:rsidR="002C3146" w:rsidRPr="00617833">
        <w:rPr>
          <w:rFonts w:ascii="Verdana" w:hAnsi="Verdana"/>
          <w:sz w:val="20"/>
        </w:rPr>
        <w:t xml:space="preserve">  </w:t>
      </w:r>
      <w:r w:rsidR="00311891" w:rsidRPr="00617833">
        <w:rPr>
          <w:rFonts w:ascii="Verdana" w:hAnsi="Verdana"/>
          <w:sz w:val="20"/>
        </w:rPr>
        <w:t>L</w:t>
      </w:r>
      <w:r w:rsidR="0062457D" w:rsidRPr="00617833">
        <w:rPr>
          <w:rFonts w:ascii="Verdana" w:hAnsi="Verdana"/>
          <w:sz w:val="20"/>
        </w:rPr>
        <w:t xml:space="preserve">as sentencias han sido dictadas por </w:t>
      </w:r>
      <w:r w:rsidR="007A5651" w:rsidRPr="00617833">
        <w:rPr>
          <w:rFonts w:ascii="Verdana" w:hAnsi="Verdana"/>
          <w:sz w:val="20"/>
        </w:rPr>
        <w:t>magistrados</w:t>
      </w:r>
      <w:r w:rsidR="0062457D" w:rsidRPr="00617833">
        <w:rPr>
          <w:rFonts w:ascii="Verdana" w:hAnsi="Verdana"/>
          <w:sz w:val="20"/>
        </w:rPr>
        <w:t xml:space="preserve"> titulares del órgano</w:t>
      </w:r>
      <w:r w:rsidR="00C9159E" w:rsidRPr="00617833">
        <w:rPr>
          <w:rFonts w:ascii="Verdana" w:hAnsi="Verdana"/>
          <w:sz w:val="20"/>
        </w:rPr>
        <w:t>.</w:t>
      </w:r>
    </w:p>
    <w:p w:rsidR="00467664" w:rsidRPr="00617833" w:rsidRDefault="00FC6F40" w:rsidP="00FC6F40">
      <w:pPr>
        <w:pStyle w:val="Textoindependiente"/>
        <w:spacing w:before="120" w:after="120"/>
        <w:ind w:firstLine="357"/>
        <w:rPr>
          <w:rFonts w:ascii="Verdana" w:hAnsi="Verdana"/>
          <w:sz w:val="20"/>
        </w:rPr>
      </w:pPr>
      <w:r w:rsidRPr="00617833">
        <w:rPr>
          <w:rFonts w:ascii="Verdana" w:hAnsi="Verdana"/>
          <w:sz w:val="20"/>
        </w:rPr>
        <w:t xml:space="preserve">En el </w:t>
      </w:r>
      <w:r w:rsidRPr="00617833">
        <w:rPr>
          <w:rFonts w:ascii="Verdana" w:hAnsi="Verdana"/>
          <w:b/>
          <w:sz w:val="20"/>
        </w:rPr>
        <w:t>Tribunal de Marc</w:t>
      </w:r>
      <w:r w:rsidR="00CA74DA" w:rsidRPr="00617833">
        <w:rPr>
          <w:rFonts w:ascii="Verdana" w:hAnsi="Verdana"/>
          <w:b/>
          <w:sz w:val="20"/>
        </w:rPr>
        <w:t>a C</w:t>
      </w:r>
      <w:r w:rsidRPr="00617833">
        <w:rPr>
          <w:rFonts w:ascii="Verdana" w:hAnsi="Verdana"/>
          <w:b/>
          <w:sz w:val="20"/>
        </w:rPr>
        <w:t>omunitaria</w:t>
      </w:r>
      <w:r w:rsidRPr="00617833">
        <w:rPr>
          <w:rFonts w:ascii="Verdana" w:hAnsi="Verdana"/>
          <w:sz w:val="20"/>
        </w:rPr>
        <w:t xml:space="preserve"> de Alicante (Sección 8 de la Audiencia Provincial de Alicante) se presentaron en 20</w:t>
      </w:r>
      <w:r w:rsidR="003E48C7" w:rsidRPr="00617833">
        <w:rPr>
          <w:rFonts w:ascii="Verdana" w:hAnsi="Verdana"/>
          <w:sz w:val="20"/>
        </w:rPr>
        <w:t>1</w:t>
      </w:r>
      <w:r w:rsidR="0074637B" w:rsidRPr="00617833">
        <w:rPr>
          <w:rFonts w:ascii="Verdana" w:hAnsi="Verdana"/>
          <w:sz w:val="20"/>
        </w:rPr>
        <w:t>7</w:t>
      </w:r>
      <w:r w:rsidRPr="00617833">
        <w:rPr>
          <w:rFonts w:ascii="Verdana" w:hAnsi="Verdana"/>
          <w:sz w:val="20"/>
        </w:rPr>
        <w:t xml:space="preserve"> un total de </w:t>
      </w:r>
      <w:r w:rsidR="00311891" w:rsidRPr="00617833">
        <w:rPr>
          <w:rFonts w:ascii="Verdana" w:hAnsi="Verdana"/>
          <w:sz w:val="20"/>
        </w:rPr>
        <w:t>4</w:t>
      </w:r>
      <w:r w:rsidR="0074637B" w:rsidRPr="00617833">
        <w:rPr>
          <w:rFonts w:ascii="Verdana" w:hAnsi="Verdana"/>
          <w:sz w:val="20"/>
        </w:rPr>
        <w:t>1</w:t>
      </w:r>
      <w:r w:rsidRPr="00617833">
        <w:rPr>
          <w:rFonts w:ascii="Verdana" w:hAnsi="Verdana"/>
          <w:sz w:val="20"/>
        </w:rPr>
        <w:t xml:space="preserve"> recursos sobre modelos comunitarios</w:t>
      </w:r>
      <w:r w:rsidR="0074637B" w:rsidRPr="00617833">
        <w:rPr>
          <w:rFonts w:ascii="Verdana" w:hAnsi="Verdana"/>
          <w:sz w:val="20"/>
        </w:rPr>
        <w:t>, 6 menos que los presentados en 2016. S</w:t>
      </w:r>
      <w:r w:rsidR="00AD3EBD" w:rsidRPr="00617833">
        <w:rPr>
          <w:rFonts w:ascii="Verdana" w:hAnsi="Verdana"/>
          <w:sz w:val="20"/>
        </w:rPr>
        <w:t xml:space="preserve">e resolvieron </w:t>
      </w:r>
      <w:r w:rsidR="0074637B" w:rsidRPr="00617833">
        <w:rPr>
          <w:rFonts w:ascii="Verdana" w:hAnsi="Verdana"/>
          <w:sz w:val="20"/>
        </w:rPr>
        <w:t>53</w:t>
      </w:r>
      <w:r w:rsidR="00AD3EBD" w:rsidRPr="00617833">
        <w:rPr>
          <w:rFonts w:ascii="Verdana" w:hAnsi="Verdana"/>
          <w:sz w:val="20"/>
        </w:rPr>
        <w:t xml:space="preserve">, </w:t>
      </w:r>
      <w:r w:rsidR="002C3146" w:rsidRPr="00617833">
        <w:rPr>
          <w:rFonts w:ascii="Verdana" w:hAnsi="Verdana"/>
          <w:sz w:val="20"/>
        </w:rPr>
        <w:t xml:space="preserve">quedando en trámite </w:t>
      </w:r>
      <w:r w:rsidR="00AD3EBD" w:rsidRPr="00617833">
        <w:rPr>
          <w:rFonts w:ascii="Verdana" w:hAnsi="Verdana"/>
          <w:sz w:val="20"/>
        </w:rPr>
        <w:t xml:space="preserve">a final de año a </w:t>
      </w:r>
      <w:r w:rsidR="0074637B" w:rsidRPr="00617833">
        <w:rPr>
          <w:rFonts w:ascii="Verdana" w:hAnsi="Verdana"/>
          <w:sz w:val="20"/>
        </w:rPr>
        <w:t>10</w:t>
      </w:r>
      <w:r w:rsidRPr="00617833">
        <w:rPr>
          <w:rFonts w:ascii="Verdana" w:hAnsi="Verdana"/>
          <w:sz w:val="20"/>
        </w:rPr>
        <w:t xml:space="preserve">.  La resolución se hizo por medio de </w:t>
      </w:r>
      <w:r w:rsidR="0074637B" w:rsidRPr="00617833">
        <w:rPr>
          <w:rFonts w:ascii="Verdana" w:hAnsi="Verdana"/>
          <w:sz w:val="20"/>
        </w:rPr>
        <w:t>40</w:t>
      </w:r>
      <w:r w:rsidR="00467664" w:rsidRPr="00617833">
        <w:rPr>
          <w:rFonts w:ascii="Verdana" w:hAnsi="Verdana"/>
          <w:sz w:val="20"/>
        </w:rPr>
        <w:t xml:space="preserve"> sentencias, </w:t>
      </w:r>
      <w:r w:rsidR="0074637B" w:rsidRPr="00617833">
        <w:rPr>
          <w:rFonts w:ascii="Verdana" w:hAnsi="Verdana"/>
          <w:sz w:val="20"/>
        </w:rPr>
        <w:t>21</w:t>
      </w:r>
      <w:r w:rsidR="00467664" w:rsidRPr="00617833">
        <w:rPr>
          <w:rFonts w:ascii="Verdana" w:hAnsi="Verdana"/>
          <w:sz w:val="20"/>
        </w:rPr>
        <w:t xml:space="preserve"> estimatorias y </w:t>
      </w:r>
      <w:r w:rsidR="0062457D" w:rsidRPr="00617833">
        <w:rPr>
          <w:rFonts w:ascii="Verdana" w:hAnsi="Verdana"/>
          <w:sz w:val="20"/>
        </w:rPr>
        <w:t>1</w:t>
      </w:r>
      <w:r w:rsidR="0074637B" w:rsidRPr="00617833">
        <w:rPr>
          <w:rFonts w:ascii="Verdana" w:hAnsi="Verdana"/>
          <w:sz w:val="20"/>
        </w:rPr>
        <w:t>9</w:t>
      </w:r>
      <w:r w:rsidR="00CA74DA" w:rsidRPr="00617833">
        <w:rPr>
          <w:rFonts w:ascii="Verdana" w:hAnsi="Verdana"/>
          <w:sz w:val="20"/>
        </w:rPr>
        <w:t xml:space="preserve"> desestimatorias, todas ellas</w:t>
      </w:r>
      <w:r w:rsidR="00467664" w:rsidRPr="00617833">
        <w:rPr>
          <w:rFonts w:ascii="Verdana" w:hAnsi="Verdana"/>
          <w:sz w:val="20"/>
        </w:rPr>
        <w:t xml:space="preserve"> dictadas por titulares.</w:t>
      </w:r>
      <w:r w:rsidR="00DB4FEF" w:rsidRPr="00617833">
        <w:rPr>
          <w:rFonts w:ascii="Verdana" w:hAnsi="Verdana"/>
          <w:sz w:val="20"/>
        </w:rPr>
        <w:t xml:space="preserve">  </w:t>
      </w:r>
      <w:r w:rsidR="0018371C" w:rsidRPr="00617833">
        <w:rPr>
          <w:rFonts w:ascii="Verdana" w:hAnsi="Verdana"/>
          <w:sz w:val="20"/>
        </w:rPr>
        <w:t>También</w:t>
      </w:r>
      <w:r w:rsidR="00DB4FEF" w:rsidRPr="00617833">
        <w:rPr>
          <w:rFonts w:ascii="Verdana" w:hAnsi="Verdana"/>
          <w:sz w:val="20"/>
        </w:rPr>
        <w:t xml:space="preserve"> se </w:t>
      </w:r>
      <w:r w:rsidR="0018371C" w:rsidRPr="00617833">
        <w:rPr>
          <w:rFonts w:ascii="Verdana" w:hAnsi="Verdana"/>
          <w:sz w:val="20"/>
        </w:rPr>
        <w:lastRenderedPageBreak/>
        <w:t>dictaron</w:t>
      </w:r>
      <w:r w:rsidR="00DB4FEF" w:rsidRPr="00617833">
        <w:rPr>
          <w:rFonts w:ascii="Verdana" w:hAnsi="Verdana"/>
          <w:sz w:val="20"/>
        </w:rPr>
        <w:t xml:space="preserve"> </w:t>
      </w:r>
      <w:r w:rsidR="00311891" w:rsidRPr="00617833">
        <w:rPr>
          <w:rFonts w:ascii="Verdana" w:hAnsi="Verdana"/>
          <w:sz w:val="20"/>
        </w:rPr>
        <w:t>10</w:t>
      </w:r>
      <w:r w:rsidR="00DB4FEF" w:rsidRPr="00617833">
        <w:rPr>
          <w:rFonts w:ascii="Verdana" w:hAnsi="Verdana"/>
          <w:sz w:val="20"/>
        </w:rPr>
        <w:t xml:space="preserve"> autos resolviendo recursos (ART. 176 L.C.) sobre Marca, modelo y dibujo comunitario, de ello</w:t>
      </w:r>
      <w:r w:rsidR="00476DA7" w:rsidRPr="00617833">
        <w:rPr>
          <w:rFonts w:ascii="Verdana" w:hAnsi="Verdana"/>
          <w:sz w:val="20"/>
        </w:rPr>
        <w:t>s</w:t>
      </w:r>
      <w:r w:rsidR="00DB4FEF" w:rsidRPr="00617833">
        <w:rPr>
          <w:rFonts w:ascii="Verdana" w:hAnsi="Verdana"/>
          <w:sz w:val="20"/>
        </w:rPr>
        <w:t xml:space="preserve"> </w:t>
      </w:r>
      <w:r w:rsidR="00311891" w:rsidRPr="00617833">
        <w:rPr>
          <w:rFonts w:ascii="Verdana" w:hAnsi="Verdana"/>
          <w:sz w:val="20"/>
        </w:rPr>
        <w:t>2</w:t>
      </w:r>
      <w:r w:rsidR="00DB4FEF" w:rsidRPr="00617833">
        <w:rPr>
          <w:rFonts w:ascii="Verdana" w:hAnsi="Verdana"/>
          <w:sz w:val="20"/>
        </w:rPr>
        <w:t xml:space="preserve"> estimatorios</w:t>
      </w:r>
      <w:r w:rsidR="00311891" w:rsidRPr="00617833">
        <w:rPr>
          <w:rFonts w:ascii="Verdana" w:hAnsi="Verdana"/>
          <w:sz w:val="20"/>
        </w:rPr>
        <w:t>,</w:t>
      </w:r>
      <w:r w:rsidR="00DB4FEF" w:rsidRPr="00617833">
        <w:rPr>
          <w:rFonts w:ascii="Verdana" w:hAnsi="Verdana"/>
          <w:sz w:val="20"/>
        </w:rPr>
        <w:t xml:space="preserve"> </w:t>
      </w:r>
      <w:r w:rsidR="0074637B" w:rsidRPr="00617833">
        <w:rPr>
          <w:rFonts w:ascii="Verdana" w:hAnsi="Verdana"/>
          <w:sz w:val="20"/>
        </w:rPr>
        <w:t xml:space="preserve">8 </w:t>
      </w:r>
      <w:r w:rsidR="00DB4FEF" w:rsidRPr="00617833">
        <w:rPr>
          <w:rFonts w:ascii="Verdana" w:hAnsi="Verdana"/>
          <w:sz w:val="20"/>
        </w:rPr>
        <w:t>desestimatorios.</w:t>
      </w:r>
    </w:p>
    <w:p w:rsidR="00BC1DFA" w:rsidRPr="00617833" w:rsidRDefault="00BC1DFA" w:rsidP="00FC6F40">
      <w:pPr>
        <w:pStyle w:val="Textoindependiente"/>
        <w:spacing w:before="120" w:after="120"/>
        <w:ind w:firstLine="357"/>
        <w:rPr>
          <w:rFonts w:ascii="Verdana" w:hAnsi="Verdana"/>
          <w:b/>
          <w:sz w:val="20"/>
        </w:rPr>
      </w:pPr>
    </w:p>
    <w:p w:rsidR="00FC6F40" w:rsidRPr="00617833" w:rsidRDefault="005F6775" w:rsidP="00FC6F40">
      <w:pPr>
        <w:pStyle w:val="Textoindependiente"/>
        <w:spacing w:before="120" w:after="120"/>
        <w:ind w:firstLine="357"/>
        <w:rPr>
          <w:rFonts w:ascii="Verdana" w:hAnsi="Verdana"/>
          <w:b/>
          <w:sz w:val="20"/>
        </w:rPr>
      </w:pPr>
      <w:r w:rsidRPr="00617833">
        <w:rPr>
          <w:rFonts w:ascii="Verdana" w:hAnsi="Verdana"/>
          <w:b/>
          <w:sz w:val="20"/>
        </w:rPr>
        <w:t>Ejecuciones</w:t>
      </w:r>
      <w:r w:rsidR="00AC43AA" w:rsidRPr="00617833">
        <w:rPr>
          <w:rFonts w:ascii="Verdana" w:hAnsi="Verdana"/>
          <w:b/>
          <w:sz w:val="20"/>
        </w:rPr>
        <w:t xml:space="preserve">   </w:t>
      </w:r>
    </w:p>
    <w:p w:rsidR="00123CFC" w:rsidRPr="00617833" w:rsidRDefault="004068AE" w:rsidP="00943D9D">
      <w:pPr>
        <w:pStyle w:val="Textoindependiente"/>
        <w:spacing w:before="120" w:after="120"/>
        <w:ind w:firstLine="357"/>
        <w:rPr>
          <w:rFonts w:ascii="Verdana" w:hAnsi="Verdana"/>
          <w:sz w:val="20"/>
        </w:rPr>
      </w:pPr>
      <w:r w:rsidRPr="00617833">
        <w:rPr>
          <w:rFonts w:ascii="Verdana" w:hAnsi="Verdana"/>
          <w:sz w:val="20"/>
        </w:rPr>
        <w:t>L</w:t>
      </w:r>
      <w:r w:rsidR="005F6775" w:rsidRPr="00617833">
        <w:rPr>
          <w:rFonts w:ascii="Verdana" w:hAnsi="Verdana"/>
          <w:sz w:val="20"/>
        </w:rPr>
        <w:t>as ejecucione</w:t>
      </w:r>
      <w:r w:rsidR="001B4EE3" w:rsidRPr="00617833">
        <w:rPr>
          <w:rFonts w:ascii="Verdana" w:hAnsi="Verdana"/>
          <w:sz w:val="20"/>
        </w:rPr>
        <w:t>s</w:t>
      </w:r>
      <w:r w:rsidR="00BC1DFA" w:rsidRPr="00617833">
        <w:rPr>
          <w:rFonts w:ascii="Verdana" w:hAnsi="Verdana"/>
          <w:sz w:val="20"/>
        </w:rPr>
        <w:t xml:space="preserve"> civiles</w:t>
      </w:r>
      <w:r w:rsidR="006548F6" w:rsidRPr="00617833">
        <w:rPr>
          <w:rStyle w:val="Refdenotaalpie"/>
          <w:rFonts w:ascii="Verdana" w:hAnsi="Verdana"/>
          <w:sz w:val="20"/>
        </w:rPr>
        <w:footnoteReference w:id="2"/>
      </w:r>
      <w:r w:rsidRPr="00617833">
        <w:rPr>
          <w:rFonts w:ascii="Verdana" w:hAnsi="Verdana"/>
          <w:sz w:val="20"/>
        </w:rPr>
        <w:t xml:space="preserve"> </w:t>
      </w:r>
      <w:r w:rsidR="00943D9D" w:rsidRPr="00617833">
        <w:rPr>
          <w:rFonts w:ascii="Verdana" w:hAnsi="Verdana"/>
          <w:sz w:val="20"/>
        </w:rPr>
        <w:t xml:space="preserve">ingresadas han </w:t>
      </w:r>
      <w:r w:rsidR="00B30464" w:rsidRPr="00617833">
        <w:rPr>
          <w:rFonts w:ascii="Verdana" w:hAnsi="Verdana"/>
          <w:sz w:val="20"/>
        </w:rPr>
        <w:t>disminuido</w:t>
      </w:r>
      <w:r w:rsidR="00943D9D" w:rsidRPr="00617833">
        <w:rPr>
          <w:rFonts w:ascii="Verdana" w:hAnsi="Verdana"/>
          <w:sz w:val="20"/>
        </w:rPr>
        <w:t xml:space="preserve"> un </w:t>
      </w:r>
      <w:r w:rsidR="00BC1DFA" w:rsidRPr="00617833">
        <w:rPr>
          <w:rFonts w:ascii="Verdana" w:hAnsi="Verdana"/>
          <w:sz w:val="20"/>
        </w:rPr>
        <w:t>11</w:t>
      </w:r>
      <w:r w:rsidR="00B30464" w:rsidRPr="00617833">
        <w:rPr>
          <w:rFonts w:ascii="Verdana" w:hAnsi="Verdana"/>
          <w:sz w:val="20"/>
        </w:rPr>
        <w:t>,</w:t>
      </w:r>
      <w:r w:rsidR="00BC1DFA" w:rsidRPr="00617833">
        <w:rPr>
          <w:rFonts w:ascii="Verdana" w:hAnsi="Verdana"/>
          <w:sz w:val="20"/>
        </w:rPr>
        <w:t>6</w:t>
      </w:r>
      <w:r w:rsidR="00943D9D" w:rsidRPr="00617833">
        <w:rPr>
          <w:rFonts w:ascii="Verdana" w:hAnsi="Verdana"/>
          <w:sz w:val="20"/>
        </w:rPr>
        <w:t>%</w:t>
      </w:r>
      <w:r w:rsidR="00BC1DFA" w:rsidRPr="00617833">
        <w:rPr>
          <w:rFonts w:ascii="Verdana" w:hAnsi="Verdana"/>
          <w:sz w:val="20"/>
        </w:rPr>
        <w:t xml:space="preserve"> respecto a 2016</w:t>
      </w:r>
      <w:r w:rsidR="00C426B1" w:rsidRPr="00617833">
        <w:rPr>
          <w:rFonts w:ascii="Verdana" w:hAnsi="Verdana"/>
          <w:sz w:val="20"/>
        </w:rPr>
        <w:t>,</w:t>
      </w:r>
      <w:r w:rsidR="00943D9D" w:rsidRPr="00617833">
        <w:rPr>
          <w:rFonts w:ascii="Verdana" w:hAnsi="Verdana"/>
          <w:sz w:val="20"/>
        </w:rPr>
        <w:t xml:space="preserve"> las resueltas un </w:t>
      </w:r>
      <w:r w:rsidR="00BC1DFA" w:rsidRPr="00617833">
        <w:rPr>
          <w:rFonts w:ascii="Verdana" w:hAnsi="Verdana"/>
          <w:sz w:val="20"/>
        </w:rPr>
        <w:t>7</w:t>
      </w:r>
      <w:r w:rsidR="00943D9D" w:rsidRPr="00617833">
        <w:rPr>
          <w:rFonts w:ascii="Verdana" w:hAnsi="Verdana"/>
          <w:sz w:val="20"/>
        </w:rPr>
        <w:t>,</w:t>
      </w:r>
      <w:r w:rsidR="00BC1DFA" w:rsidRPr="00617833">
        <w:rPr>
          <w:rFonts w:ascii="Verdana" w:hAnsi="Verdana"/>
          <w:sz w:val="20"/>
        </w:rPr>
        <w:t>2</w:t>
      </w:r>
      <w:r w:rsidR="00943D9D" w:rsidRPr="00617833">
        <w:rPr>
          <w:rFonts w:ascii="Verdana" w:hAnsi="Verdana"/>
          <w:sz w:val="20"/>
        </w:rPr>
        <w:t>%</w:t>
      </w:r>
      <w:r w:rsidR="00C426B1" w:rsidRPr="00617833">
        <w:rPr>
          <w:rFonts w:ascii="Verdana" w:hAnsi="Verdana"/>
          <w:sz w:val="20"/>
        </w:rPr>
        <w:t xml:space="preserve"> y </w:t>
      </w:r>
      <w:r w:rsidR="00943D9D" w:rsidRPr="00617833">
        <w:rPr>
          <w:rFonts w:ascii="Verdana" w:hAnsi="Verdana"/>
          <w:sz w:val="20"/>
        </w:rPr>
        <w:t xml:space="preserve">las que </w:t>
      </w:r>
      <w:r w:rsidR="00123CFC" w:rsidRPr="00617833">
        <w:rPr>
          <w:rFonts w:ascii="Verdana" w:hAnsi="Verdana"/>
          <w:sz w:val="20"/>
        </w:rPr>
        <w:t xml:space="preserve">han quedado en trámite al final del año un </w:t>
      </w:r>
      <w:r w:rsidR="00C426B1" w:rsidRPr="00617833">
        <w:rPr>
          <w:rFonts w:ascii="Verdana" w:hAnsi="Verdana"/>
          <w:sz w:val="20"/>
        </w:rPr>
        <w:t>2</w:t>
      </w:r>
      <w:r w:rsidR="00123CFC" w:rsidRPr="00617833">
        <w:rPr>
          <w:rFonts w:ascii="Verdana" w:hAnsi="Verdana"/>
          <w:sz w:val="20"/>
        </w:rPr>
        <w:t>,</w:t>
      </w:r>
      <w:r w:rsidR="00BC1DFA" w:rsidRPr="00617833">
        <w:rPr>
          <w:rFonts w:ascii="Verdana" w:hAnsi="Verdana"/>
          <w:sz w:val="20"/>
        </w:rPr>
        <w:t>6</w:t>
      </w:r>
      <w:r w:rsidR="00123CFC" w:rsidRPr="00617833">
        <w:rPr>
          <w:rFonts w:ascii="Verdana" w:hAnsi="Verdana"/>
          <w:sz w:val="20"/>
        </w:rPr>
        <w:t>%.</w:t>
      </w:r>
    </w:p>
    <w:tbl>
      <w:tblPr>
        <w:tblW w:w="6760" w:type="dxa"/>
        <w:jc w:val="center"/>
        <w:tblInd w:w="55" w:type="dxa"/>
        <w:tblCellMar>
          <w:left w:w="70" w:type="dxa"/>
          <w:right w:w="70" w:type="dxa"/>
        </w:tblCellMar>
        <w:tblLook w:val="04A0" w:firstRow="1" w:lastRow="0" w:firstColumn="1" w:lastColumn="0" w:noHBand="0" w:noVBand="1"/>
      </w:tblPr>
      <w:tblGrid>
        <w:gridCol w:w="2740"/>
        <w:gridCol w:w="1473"/>
        <w:gridCol w:w="1235"/>
        <w:gridCol w:w="1360"/>
      </w:tblGrid>
      <w:tr w:rsidR="00BC1DFA" w:rsidRPr="00617833" w:rsidTr="00BC1DFA">
        <w:trPr>
          <w:trHeight w:val="300"/>
          <w:jc w:val="center"/>
        </w:trPr>
        <w:tc>
          <w:tcPr>
            <w:tcW w:w="2740" w:type="dxa"/>
            <w:vMerge w:val="restart"/>
            <w:tcBorders>
              <w:top w:val="nil"/>
              <w:left w:val="nil"/>
              <w:bottom w:val="nil"/>
              <w:right w:val="nil"/>
            </w:tcBorders>
            <w:shd w:val="clear" w:color="000000" w:fill="FFFFFF"/>
            <w:noWrap/>
            <w:vAlign w:val="center"/>
            <w:hideMark/>
          </w:tcPr>
          <w:p w:rsidR="00BC1DFA" w:rsidRPr="00617833" w:rsidRDefault="00BC1DFA">
            <w:pPr>
              <w:jc w:val="center"/>
              <w:rPr>
                <w:rFonts w:ascii="Verdana" w:hAnsi="Verdana" w:cs="Calibri"/>
                <w:color w:val="000080"/>
                <w:sz w:val="20"/>
                <w:szCs w:val="20"/>
              </w:rPr>
            </w:pPr>
            <w:r w:rsidRPr="00617833">
              <w:rPr>
                <w:rFonts w:ascii="Verdana" w:hAnsi="Verdana" w:cs="Arial"/>
                <w:color w:val="000080"/>
                <w:sz w:val="20"/>
                <w:szCs w:val="20"/>
              </w:rPr>
              <w:t> </w:t>
            </w:r>
          </w:p>
        </w:tc>
        <w:tc>
          <w:tcPr>
            <w:tcW w:w="4020" w:type="dxa"/>
            <w:gridSpan w:val="3"/>
            <w:vMerge w:val="restart"/>
            <w:tcBorders>
              <w:top w:val="single" w:sz="8" w:space="0" w:color="auto"/>
              <w:left w:val="nil"/>
              <w:bottom w:val="single" w:sz="8" w:space="0" w:color="000000"/>
              <w:right w:val="nil"/>
            </w:tcBorders>
            <w:shd w:val="clear" w:color="auto" w:fill="auto"/>
            <w:vAlign w:val="center"/>
            <w:hideMark/>
          </w:tcPr>
          <w:p w:rsidR="00BC1DFA" w:rsidRPr="00617833" w:rsidRDefault="00BC1DFA">
            <w:pPr>
              <w:jc w:val="center"/>
              <w:rPr>
                <w:rFonts w:ascii="Verdana" w:hAnsi="Verdana" w:cs="Calibri"/>
                <w:b/>
                <w:bCs/>
                <w:color w:val="002060"/>
                <w:sz w:val="20"/>
                <w:szCs w:val="20"/>
              </w:rPr>
            </w:pPr>
            <w:r w:rsidRPr="00617833">
              <w:rPr>
                <w:rFonts w:ascii="Verdana" w:hAnsi="Verdana" w:cs="Arial"/>
                <w:b/>
                <w:bCs/>
                <w:color w:val="002060"/>
                <w:sz w:val="20"/>
                <w:szCs w:val="20"/>
              </w:rPr>
              <w:t>Ejecución de Sentencias</w:t>
            </w:r>
          </w:p>
        </w:tc>
      </w:tr>
      <w:tr w:rsidR="00BC1DFA" w:rsidRPr="00617833" w:rsidTr="00BC1DFA">
        <w:trPr>
          <w:trHeight w:val="315"/>
          <w:jc w:val="center"/>
        </w:trPr>
        <w:tc>
          <w:tcPr>
            <w:tcW w:w="2740" w:type="dxa"/>
            <w:vMerge/>
            <w:tcBorders>
              <w:top w:val="nil"/>
              <w:left w:val="nil"/>
              <w:bottom w:val="nil"/>
              <w:right w:val="nil"/>
            </w:tcBorders>
            <w:vAlign w:val="center"/>
            <w:hideMark/>
          </w:tcPr>
          <w:p w:rsidR="00BC1DFA" w:rsidRPr="00617833" w:rsidRDefault="00BC1DFA">
            <w:pPr>
              <w:rPr>
                <w:rFonts w:ascii="Verdana" w:hAnsi="Verdana" w:cs="Calibri"/>
                <w:color w:val="000080"/>
                <w:sz w:val="20"/>
                <w:szCs w:val="20"/>
              </w:rPr>
            </w:pPr>
          </w:p>
        </w:tc>
        <w:tc>
          <w:tcPr>
            <w:tcW w:w="4020" w:type="dxa"/>
            <w:gridSpan w:val="3"/>
            <w:vMerge/>
            <w:tcBorders>
              <w:top w:val="single" w:sz="8" w:space="0" w:color="auto"/>
              <w:left w:val="nil"/>
              <w:bottom w:val="single" w:sz="8" w:space="0" w:color="000000"/>
              <w:right w:val="nil"/>
            </w:tcBorders>
            <w:vAlign w:val="center"/>
            <w:hideMark/>
          </w:tcPr>
          <w:p w:rsidR="00BC1DFA" w:rsidRPr="00617833" w:rsidRDefault="00BC1DFA">
            <w:pPr>
              <w:rPr>
                <w:rFonts w:ascii="Verdana" w:hAnsi="Verdana" w:cs="Calibri"/>
                <w:b/>
                <w:bCs/>
                <w:color w:val="002060"/>
                <w:sz w:val="20"/>
                <w:szCs w:val="20"/>
              </w:rPr>
            </w:pPr>
          </w:p>
        </w:tc>
      </w:tr>
      <w:tr w:rsidR="00BC1DFA" w:rsidRPr="00617833" w:rsidTr="00BC1DFA">
        <w:trPr>
          <w:trHeight w:val="780"/>
          <w:jc w:val="center"/>
        </w:trPr>
        <w:tc>
          <w:tcPr>
            <w:tcW w:w="2740" w:type="dxa"/>
            <w:tcBorders>
              <w:top w:val="nil"/>
              <w:left w:val="nil"/>
              <w:bottom w:val="single" w:sz="8" w:space="0" w:color="auto"/>
              <w:right w:val="nil"/>
            </w:tcBorders>
            <w:shd w:val="clear" w:color="auto" w:fill="auto"/>
            <w:noWrap/>
            <w:vAlign w:val="center"/>
            <w:hideMark/>
          </w:tcPr>
          <w:p w:rsidR="00BC1DFA" w:rsidRPr="00617833" w:rsidRDefault="00BC1DFA">
            <w:pPr>
              <w:jc w:val="center"/>
              <w:rPr>
                <w:rFonts w:ascii="Verdana" w:hAnsi="Verdana" w:cs="Calibri"/>
                <w:b/>
                <w:bCs/>
                <w:color w:val="000080"/>
                <w:sz w:val="20"/>
                <w:szCs w:val="20"/>
              </w:rPr>
            </w:pPr>
            <w:r w:rsidRPr="00617833">
              <w:rPr>
                <w:rFonts w:ascii="Verdana" w:hAnsi="Verdana" w:cs="Arial"/>
                <w:b/>
                <w:bCs/>
                <w:color w:val="000080"/>
                <w:sz w:val="20"/>
                <w:szCs w:val="20"/>
              </w:rPr>
              <w:t> </w:t>
            </w:r>
          </w:p>
        </w:tc>
        <w:tc>
          <w:tcPr>
            <w:tcW w:w="1460" w:type="dxa"/>
            <w:tcBorders>
              <w:top w:val="nil"/>
              <w:left w:val="nil"/>
              <w:bottom w:val="single" w:sz="8" w:space="0" w:color="auto"/>
              <w:right w:val="nil"/>
            </w:tcBorders>
            <w:shd w:val="clear" w:color="auto" w:fill="auto"/>
            <w:vAlign w:val="center"/>
            <w:hideMark/>
          </w:tcPr>
          <w:p w:rsidR="00BC1DFA" w:rsidRPr="00617833" w:rsidRDefault="00BC1DFA">
            <w:pPr>
              <w:jc w:val="center"/>
              <w:rPr>
                <w:rFonts w:ascii="Verdana" w:hAnsi="Verdana" w:cs="Calibri"/>
                <w:b/>
                <w:bCs/>
                <w:color w:val="000080"/>
                <w:sz w:val="20"/>
                <w:szCs w:val="20"/>
              </w:rPr>
            </w:pPr>
            <w:r w:rsidRPr="00617833">
              <w:rPr>
                <w:rFonts w:ascii="Verdana" w:hAnsi="Verdana" w:cs="Arial"/>
                <w:b/>
                <w:bCs/>
                <w:color w:val="000080"/>
                <w:sz w:val="20"/>
                <w:szCs w:val="20"/>
              </w:rPr>
              <w:t xml:space="preserve">Registradas </w:t>
            </w:r>
          </w:p>
        </w:tc>
        <w:tc>
          <w:tcPr>
            <w:tcW w:w="1200" w:type="dxa"/>
            <w:tcBorders>
              <w:top w:val="nil"/>
              <w:left w:val="nil"/>
              <w:bottom w:val="single" w:sz="8" w:space="0" w:color="auto"/>
              <w:right w:val="nil"/>
            </w:tcBorders>
            <w:shd w:val="clear" w:color="auto" w:fill="auto"/>
            <w:vAlign w:val="center"/>
            <w:hideMark/>
          </w:tcPr>
          <w:p w:rsidR="00BC1DFA" w:rsidRPr="00617833" w:rsidRDefault="00BC1DFA">
            <w:pPr>
              <w:jc w:val="center"/>
              <w:rPr>
                <w:rFonts w:ascii="Verdana" w:hAnsi="Verdana" w:cs="Calibri"/>
                <w:b/>
                <w:bCs/>
                <w:color w:val="000080"/>
                <w:sz w:val="20"/>
                <w:szCs w:val="20"/>
              </w:rPr>
            </w:pPr>
            <w:r w:rsidRPr="00617833">
              <w:rPr>
                <w:rFonts w:ascii="Verdana" w:hAnsi="Verdana" w:cs="Arial"/>
                <w:b/>
                <w:bCs/>
                <w:color w:val="000080"/>
                <w:sz w:val="20"/>
                <w:szCs w:val="20"/>
              </w:rPr>
              <w:t>Resueltas</w:t>
            </w:r>
          </w:p>
        </w:tc>
        <w:tc>
          <w:tcPr>
            <w:tcW w:w="1360" w:type="dxa"/>
            <w:tcBorders>
              <w:top w:val="nil"/>
              <w:left w:val="nil"/>
              <w:bottom w:val="single" w:sz="8" w:space="0" w:color="auto"/>
              <w:right w:val="nil"/>
            </w:tcBorders>
            <w:shd w:val="clear" w:color="auto" w:fill="auto"/>
            <w:vAlign w:val="center"/>
            <w:hideMark/>
          </w:tcPr>
          <w:p w:rsidR="00BC1DFA" w:rsidRPr="00617833" w:rsidRDefault="00BC1DFA">
            <w:pPr>
              <w:jc w:val="center"/>
              <w:rPr>
                <w:rFonts w:ascii="Verdana" w:hAnsi="Verdana" w:cs="Calibri"/>
                <w:b/>
                <w:bCs/>
                <w:color w:val="000080"/>
                <w:sz w:val="20"/>
                <w:szCs w:val="20"/>
              </w:rPr>
            </w:pPr>
            <w:r w:rsidRPr="00617833">
              <w:rPr>
                <w:rFonts w:ascii="Verdana" w:hAnsi="Verdana" w:cs="Arial"/>
                <w:b/>
                <w:bCs/>
                <w:color w:val="000080"/>
                <w:sz w:val="20"/>
                <w:szCs w:val="20"/>
              </w:rPr>
              <w:t>En trámite al final del año</w:t>
            </w:r>
          </w:p>
        </w:tc>
      </w:tr>
      <w:tr w:rsidR="00BC1DFA" w:rsidRPr="00617833" w:rsidTr="00BC1DFA">
        <w:trPr>
          <w:trHeight w:val="300"/>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 xml:space="preserve">Jdos. 1ª Instancia   </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240.160</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358.932</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980.048</w:t>
            </w:r>
          </w:p>
        </w:tc>
      </w:tr>
      <w:tr w:rsidR="00BC1DFA" w:rsidRPr="00617833" w:rsidTr="00BC1DFA">
        <w:trPr>
          <w:trHeight w:val="300"/>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Jdos. de lo Mercantil</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11.116</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9.072</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32.179</w:t>
            </w:r>
          </w:p>
        </w:tc>
      </w:tr>
      <w:tr w:rsidR="00BC1DFA" w:rsidRPr="00617833" w:rsidTr="00BC1DFA">
        <w:trPr>
          <w:trHeight w:val="510"/>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Jdos. Violencia contra la Mujer</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5.535</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5.292</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11.904</w:t>
            </w:r>
          </w:p>
        </w:tc>
      </w:tr>
      <w:tr w:rsidR="00BC1DFA" w:rsidRPr="00617833" w:rsidTr="00BC1DFA">
        <w:trPr>
          <w:trHeight w:val="300"/>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Jdos. Familia</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23.059</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25.227</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60.222</w:t>
            </w:r>
          </w:p>
        </w:tc>
      </w:tr>
      <w:tr w:rsidR="00BC1DFA" w:rsidRPr="00617833" w:rsidTr="00BC1DFA">
        <w:trPr>
          <w:trHeight w:val="300"/>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Jdos. 1ª Instª. e Instr.</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183.476</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231.172</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852.371</w:t>
            </w:r>
          </w:p>
        </w:tc>
      </w:tr>
      <w:tr w:rsidR="00BC1DFA" w:rsidRPr="00617833" w:rsidTr="00BC1DFA">
        <w:trPr>
          <w:trHeight w:val="315"/>
          <w:jc w:val="center"/>
        </w:trPr>
        <w:tc>
          <w:tcPr>
            <w:tcW w:w="2740" w:type="dxa"/>
            <w:tcBorders>
              <w:top w:val="nil"/>
              <w:left w:val="nil"/>
              <w:bottom w:val="nil"/>
              <w:right w:val="nil"/>
            </w:tcBorders>
            <w:shd w:val="clear" w:color="auto" w:fill="auto"/>
            <w:vAlign w:val="center"/>
            <w:hideMark/>
          </w:tcPr>
          <w:p w:rsidR="00BC1DFA" w:rsidRPr="00617833" w:rsidRDefault="00BC1DFA">
            <w:pPr>
              <w:rPr>
                <w:rFonts w:ascii="Verdana" w:hAnsi="Verdana" w:cs="Calibri"/>
                <w:color w:val="000000"/>
                <w:sz w:val="20"/>
                <w:szCs w:val="20"/>
              </w:rPr>
            </w:pPr>
            <w:r w:rsidRPr="00617833">
              <w:rPr>
                <w:rFonts w:ascii="Verdana" w:hAnsi="Verdana" w:cs="Arial"/>
                <w:color w:val="000000"/>
                <w:sz w:val="20"/>
                <w:szCs w:val="20"/>
              </w:rPr>
              <w:t>T.S.J. Sala Civil y Penal</w:t>
            </w:r>
          </w:p>
        </w:tc>
        <w:tc>
          <w:tcPr>
            <w:tcW w:w="14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16</w:t>
            </w:r>
          </w:p>
        </w:tc>
        <w:tc>
          <w:tcPr>
            <w:tcW w:w="120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9</w:t>
            </w:r>
          </w:p>
        </w:tc>
        <w:tc>
          <w:tcPr>
            <w:tcW w:w="1360" w:type="dxa"/>
            <w:tcBorders>
              <w:top w:val="nil"/>
              <w:left w:val="nil"/>
              <w:bottom w:val="nil"/>
              <w:right w:val="nil"/>
            </w:tcBorders>
            <w:shd w:val="clear" w:color="auto" w:fill="auto"/>
            <w:noWrap/>
            <w:vAlign w:val="center"/>
            <w:hideMark/>
          </w:tcPr>
          <w:p w:rsidR="00BC1DFA" w:rsidRPr="00617833" w:rsidRDefault="00BC1DFA">
            <w:pPr>
              <w:jc w:val="right"/>
              <w:rPr>
                <w:rFonts w:ascii="Verdana" w:hAnsi="Verdana" w:cs="Calibri"/>
                <w:color w:val="000000"/>
                <w:sz w:val="20"/>
                <w:szCs w:val="20"/>
              </w:rPr>
            </w:pPr>
            <w:r w:rsidRPr="00617833">
              <w:rPr>
                <w:rFonts w:ascii="Verdana" w:hAnsi="Verdana" w:cs="Calibri"/>
                <w:color w:val="000000"/>
                <w:sz w:val="20"/>
                <w:szCs w:val="20"/>
              </w:rPr>
              <w:t>21</w:t>
            </w:r>
          </w:p>
        </w:tc>
      </w:tr>
      <w:tr w:rsidR="00BC1DFA" w:rsidRPr="00617833" w:rsidTr="00BC1DFA">
        <w:trPr>
          <w:trHeight w:val="315"/>
          <w:jc w:val="center"/>
        </w:trPr>
        <w:tc>
          <w:tcPr>
            <w:tcW w:w="2740" w:type="dxa"/>
            <w:tcBorders>
              <w:top w:val="single" w:sz="8" w:space="0" w:color="auto"/>
              <w:left w:val="nil"/>
              <w:bottom w:val="single" w:sz="8" w:space="0" w:color="auto"/>
              <w:right w:val="nil"/>
            </w:tcBorders>
            <w:shd w:val="clear" w:color="auto" w:fill="auto"/>
            <w:noWrap/>
            <w:vAlign w:val="center"/>
            <w:hideMark/>
          </w:tcPr>
          <w:p w:rsidR="00BC1DFA" w:rsidRPr="00617833" w:rsidRDefault="00BC1DFA">
            <w:pPr>
              <w:rPr>
                <w:rFonts w:ascii="Verdana" w:hAnsi="Verdana" w:cs="Calibri"/>
                <w:b/>
                <w:bCs/>
                <w:color w:val="000080"/>
                <w:sz w:val="20"/>
                <w:szCs w:val="20"/>
              </w:rPr>
            </w:pPr>
            <w:r w:rsidRPr="00617833">
              <w:rPr>
                <w:rFonts w:ascii="Verdana" w:hAnsi="Verdana" w:cs="Arial"/>
                <w:b/>
                <w:bCs/>
                <w:color w:val="000080"/>
                <w:sz w:val="20"/>
                <w:szCs w:val="20"/>
              </w:rPr>
              <w:t>TOTAL</w:t>
            </w:r>
          </w:p>
        </w:tc>
        <w:tc>
          <w:tcPr>
            <w:tcW w:w="1460" w:type="dxa"/>
            <w:tcBorders>
              <w:top w:val="single" w:sz="8" w:space="0" w:color="auto"/>
              <w:left w:val="nil"/>
              <w:bottom w:val="single" w:sz="8" w:space="0" w:color="auto"/>
              <w:right w:val="nil"/>
            </w:tcBorders>
            <w:shd w:val="clear" w:color="auto" w:fill="auto"/>
            <w:noWrap/>
            <w:vAlign w:val="center"/>
            <w:hideMark/>
          </w:tcPr>
          <w:p w:rsidR="00BC1DFA" w:rsidRPr="00617833" w:rsidRDefault="00BC1DFA">
            <w:pPr>
              <w:jc w:val="right"/>
              <w:rPr>
                <w:rFonts w:ascii="Verdana" w:hAnsi="Verdana" w:cs="Calibri"/>
                <w:b/>
                <w:bCs/>
                <w:color w:val="000080"/>
                <w:sz w:val="20"/>
                <w:szCs w:val="20"/>
              </w:rPr>
            </w:pPr>
            <w:r w:rsidRPr="00617833">
              <w:rPr>
                <w:rFonts w:ascii="Verdana" w:hAnsi="Verdana" w:cs="Calibri"/>
                <w:b/>
                <w:bCs/>
                <w:color w:val="000080"/>
                <w:sz w:val="20"/>
                <w:szCs w:val="20"/>
              </w:rPr>
              <w:t>463.362</w:t>
            </w:r>
          </w:p>
        </w:tc>
        <w:tc>
          <w:tcPr>
            <w:tcW w:w="1200" w:type="dxa"/>
            <w:tcBorders>
              <w:top w:val="single" w:sz="8" w:space="0" w:color="auto"/>
              <w:left w:val="nil"/>
              <w:bottom w:val="single" w:sz="8" w:space="0" w:color="auto"/>
              <w:right w:val="nil"/>
            </w:tcBorders>
            <w:shd w:val="clear" w:color="auto" w:fill="auto"/>
            <w:noWrap/>
            <w:vAlign w:val="center"/>
            <w:hideMark/>
          </w:tcPr>
          <w:p w:rsidR="00BC1DFA" w:rsidRPr="00617833" w:rsidRDefault="00BC1DFA">
            <w:pPr>
              <w:jc w:val="right"/>
              <w:rPr>
                <w:rFonts w:ascii="Verdana" w:hAnsi="Verdana" w:cs="Calibri"/>
                <w:b/>
                <w:bCs/>
                <w:color w:val="000080"/>
                <w:sz w:val="20"/>
                <w:szCs w:val="20"/>
              </w:rPr>
            </w:pPr>
            <w:r w:rsidRPr="00617833">
              <w:rPr>
                <w:rFonts w:ascii="Verdana" w:hAnsi="Verdana" w:cs="Calibri"/>
                <w:b/>
                <w:bCs/>
                <w:color w:val="000080"/>
                <w:sz w:val="20"/>
                <w:szCs w:val="20"/>
              </w:rPr>
              <w:t>629.704</w:t>
            </w:r>
          </w:p>
        </w:tc>
        <w:tc>
          <w:tcPr>
            <w:tcW w:w="1360" w:type="dxa"/>
            <w:tcBorders>
              <w:top w:val="single" w:sz="8" w:space="0" w:color="auto"/>
              <w:left w:val="nil"/>
              <w:bottom w:val="single" w:sz="8" w:space="0" w:color="auto"/>
              <w:right w:val="nil"/>
            </w:tcBorders>
            <w:shd w:val="clear" w:color="auto" w:fill="auto"/>
            <w:noWrap/>
            <w:vAlign w:val="center"/>
            <w:hideMark/>
          </w:tcPr>
          <w:p w:rsidR="00BC1DFA" w:rsidRPr="00617833" w:rsidRDefault="00BC1DFA">
            <w:pPr>
              <w:jc w:val="right"/>
              <w:rPr>
                <w:rFonts w:ascii="Verdana" w:hAnsi="Verdana" w:cs="Calibri"/>
                <w:b/>
                <w:bCs/>
                <w:color w:val="000080"/>
                <w:sz w:val="20"/>
                <w:szCs w:val="20"/>
              </w:rPr>
            </w:pPr>
            <w:r w:rsidRPr="00617833">
              <w:rPr>
                <w:rFonts w:ascii="Verdana" w:hAnsi="Verdana" w:cs="Calibri"/>
                <w:b/>
                <w:bCs/>
                <w:color w:val="000080"/>
                <w:sz w:val="20"/>
                <w:szCs w:val="20"/>
              </w:rPr>
              <w:t>1.936.745</w:t>
            </w:r>
          </w:p>
        </w:tc>
      </w:tr>
    </w:tbl>
    <w:p w:rsidR="007A38B1" w:rsidRPr="00617833" w:rsidRDefault="007A38B1" w:rsidP="007A38B1">
      <w:pPr>
        <w:pStyle w:val="Textoindependiente"/>
        <w:spacing w:before="120" w:after="120"/>
        <w:ind w:firstLine="357"/>
        <w:rPr>
          <w:rFonts w:ascii="Verdana" w:hAnsi="Verdana"/>
          <w:sz w:val="20"/>
        </w:rPr>
      </w:pPr>
      <w:r w:rsidRPr="00617833">
        <w:rPr>
          <w:rFonts w:ascii="Verdana" w:hAnsi="Verdana"/>
          <w:sz w:val="20"/>
        </w:rPr>
        <w:t xml:space="preserve">Centrándonos en los juzgados de primera instancia, de familia y de primera instancia e instrucción, que representan la mayoría de las ejecuciones, en 2017 las ejecuciones ingresadas han tenido una disminución global del 12,1%, y las reaperturas un </w:t>
      </w:r>
      <w:r w:rsidR="00BF4370" w:rsidRPr="00617833">
        <w:rPr>
          <w:rFonts w:ascii="Verdana" w:hAnsi="Verdana"/>
          <w:sz w:val="20"/>
        </w:rPr>
        <w:t>9</w:t>
      </w:r>
      <w:r w:rsidRPr="00617833">
        <w:rPr>
          <w:rFonts w:ascii="Verdana" w:hAnsi="Verdana"/>
          <w:sz w:val="20"/>
        </w:rPr>
        <w:t xml:space="preserve">,6%. La resolución de las ejecuciones ha disminuido un </w:t>
      </w:r>
      <w:r w:rsidR="00BF4370" w:rsidRPr="00617833">
        <w:rPr>
          <w:rFonts w:ascii="Verdana" w:hAnsi="Verdana"/>
          <w:sz w:val="20"/>
        </w:rPr>
        <w:t>7</w:t>
      </w:r>
      <w:r w:rsidRPr="00617833">
        <w:rPr>
          <w:rFonts w:ascii="Verdana" w:hAnsi="Verdana"/>
          <w:sz w:val="20"/>
        </w:rPr>
        <w:t>,</w:t>
      </w:r>
      <w:r w:rsidR="00BF4370" w:rsidRPr="00617833">
        <w:rPr>
          <w:rFonts w:ascii="Verdana" w:hAnsi="Verdana"/>
          <w:sz w:val="20"/>
        </w:rPr>
        <w:t>3</w:t>
      </w:r>
      <w:r w:rsidRPr="00617833">
        <w:rPr>
          <w:rFonts w:ascii="Verdana" w:hAnsi="Verdana"/>
          <w:sz w:val="20"/>
        </w:rPr>
        <w:t>%</w:t>
      </w:r>
      <w:r w:rsidR="00BF4370" w:rsidRPr="00617833">
        <w:rPr>
          <w:rFonts w:ascii="Verdana" w:hAnsi="Verdana"/>
          <w:sz w:val="20"/>
        </w:rPr>
        <w:t>, y la pendencia al final de la anualidad un 2,7%.</w:t>
      </w:r>
      <w:r w:rsidRPr="00617833">
        <w:rPr>
          <w:rFonts w:ascii="Verdana" w:hAnsi="Verdana"/>
          <w:sz w:val="20"/>
        </w:rPr>
        <w:t xml:space="preserve">  </w:t>
      </w:r>
    </w:p>
    <w:p w:rsidR="007A38B1" w:rsidRPr="00617833" w:rsidRDefault="007A38B1" w:rsidP="00990263">
      <w:pPr>
        <w:pStyle w:val="Textoindependiente"/>
        <w:spacing w:before="120" w:after="120"/>
        <w:ind w:firstLine="357"/>
        <w:rPr>
          <w:rFonts w:ascii="Verdana" w:hAnsi="Verdana"/>
          <w:sz w:val="20"/>
        </w:rPr>
      </w:pPr>
    </w:p>
    <w:p w:rsidR="00975A5F" w:rsidRPr="00617833" w:rsidRDefault="00295402" w:rsidP="00FD0F8D">
      <w:pPr>
        <w:pStyle w:val="Textoindependiente"/>
        <w:spacing w:before="120" w:after="120"/>
        <w:ind w:firstLine="357"/>
        <w:rPr>
          <w:rFonts w:ascii="Verdana" w:hAnsi="Verdana"/>
          <w:sz w:val="20"/>
        </w:rPr>
      </w:pPr>
      <w:r w:rsidRPr="00617833">
        <w:rPr>
          <w:rFonts w:ascii="Verdana" w:hAnsi="Verdana"/>
          <w:sz w:val="20"/>
        </w:rPr>
        <w:t>L</w:t>
      </w:r>
      <w:r w:rsidR="00EC43C0" w:rsidRPr="00617833">
        <w:rPr>
          <w:rFonts w:ascii="Verdana" w:hAnsi="Verdana"/>
          <w:sz w:val="20"/>
        </w:rPr>
        <w:t xml:space="preserve">as </w:t>
      </w:r>
      <w:r w:rsidR="00EC43C0" w:rsidRPr="00617833">
        <w:rPr>
          <w:rFonts w:ascii="Verdana" w:hAnsi="Verdana"/>
          <w:b/>
          <w:sz w:val="20"/>
        </w:rPr>
        <w:t>ejecuciones hipotecarias</w:t>
      </w:r>
      <w:r w:rsidR="00E5213E" w:rsidRPr="00617833">
        <w:rPr>
          <w:rFonts w:ascii="Verdana" w:hAnsi="Verdana"/>
          <w:sz w:val="20"/>
        </w:rPr>
        <w:t xml:space="preserve"> ingresadas han tenido </w:t>
      </w:r>
      <w:r w:rsidR="00B02A4D" w:rsidRPr="00617833">
        <w:rPr>
          <w:rFonts w:ascii="Verdana" w:hAnsi="Verdana"/>
          <w:sz w:val="20"/>
        </w:rPr>
        <w:t>una</w:t>
      </w:r>
      <w:r w:rsidR="00975A5F" w:rsidRPr="00617833">
        <w:rPr>
          <w:rFonts w:ascii="Verdana" w:hAnsi="Verdana"/>
          <w:sz w:val="20"/>
        </w:rPr>
        <w:t xml:space="preserve"> importantísima reducción </w:t>
      </w:r>
      <w:r w:rsidR="00B02A4D" w:rsidRPr="00617833">
        <w:rPr>
          <w:rFonts w:ascii="Verdana" w:hAnsi="Verdana"/>
          <w:sz w:val="20"/>
        </w:rPr>
        <w:t>interanual</w:t>
      </w:r>
      <w:r w:rsidR="00975A5F" w:rsidRPr="00617833">
        <w:rPr>
          <w:rFonts w:ascii="Verdana" w:hAnsi="Verdana"/>
          <w:sz w:val="20"/>
        </w:rPr>
        <w:t>: del 37,8%.</w:t>
      </w:r>
    </w:p>
    <w:p w:rsidR="003E6EA5" w:rsidRPr="00617833" w:rsidRDefault="00014830" w:rsidP="003E6EA5">
      <w:pPr>
        <w:pStyle w:val="Textoindependiente"/>
        <w:spacing w:before="120" w:after="120"/>
        <w:ind w:firstLine="357"/>
        <w:jc w:val="center"/>
        <w:rPr>
          <w:rFonts w:ascii="Verdana" w:hAnsi="Verdana"/>
          <w:sz w:val="20"/>
        </w:rPr>
      </w:pPr>
      <w:r w:rsidRPr="00617833">
        <w:rPr>
          <w:noProof/>
        </w:rPr>
        <w:drawing>
          <wp:inline distT="0" distB="0" distL="0" distR="0" wp14:anchorId="4F2D3139" wp14:editId="13C64255">
            <wp:extent cx="4733925" cy="29241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B764C" w:rsidRPr="00617833" w:rsidRDefault="00DA4F12" w:rsidP="00FD0F8D">
      <w:pPr>
        <w:pStyle w:val="Textoindependiente"/>
        <w:spacing w:before="120" w:after="120"/>
        <w:ind w:firstLine="357"/>
        <w:rPr>
          <w:rFonts w:ascii="Verdana" w:hAnsi="Verdana"/>
          <w:sz w:val="20"/>
        </w:rPr>
      </w:pPr>
      <w:r w:rsidRPr="00617833">
        <w:rPr>
          <w:rFonts w:ascii="Verdana" w:hAnsi="Verdana"/>
          <w:sz w:val="20"/>
        </w:rPr>
        <w:lastRenderedPageBreak/>
        <w:t>L</w:t>
      </w:r>
      <w:r w:rsidR="00F613D1" w:rsidRPr="00617833">
        <w:rPr>
          <w:rFonts w:ascii="Verdana" w:hAnsi="Verdana"/>
          <w:sz w:val="20"/>
        </w:rPr>
        <w:t xml:space="preserve">as </w:t>
      </w:r>
      <w:r w:rsidR="00F613D1" w:rsidRPr="00617833">
        <w:rPr>
          <w:rFonts w:ascii="Verdana" w:hAnsi="Verdana"/>
          <w:b/>
          <w:sz w:val="20"/>
        </w:rPr>
        <w:t>ejecuciones de la</w:t>
      </w:r>
      <w:r w:rsidR="005F6AB7" w:rsidRPr="00617833">
        <w:rPr>
          <w:rFonts w:ascii="Verdana" w:hAnsi="Verdana"/>
          <w:b/>
          <w:sz w:val="20"/>
        </w:rPr>
        <w:t>udos arbitrales</w:t>
      </w:r>
      <w:r w:rsidR="00F613D1" w:rsidRPr="00617833">
        <w:rPr>
          <w:rFonts w:ascii="Verdana" w:hAnsi="Verdana"/>
          <w:sz w:val="20"/>
        </w:rPr>
        <w:t xml:space="preserve"> han tenido </w:t>
      </w:r>
      <w:r w:rsidR="000F0C5A" w:rsidRPr="00617833">
        <w:rPr>
          <w:rFonts w:ascii="Verdana" w:hAnsi="Verdana"/>
          <w:sz w:val="20"/>
        </w:rPr>
        <w:t>un</w:t>
      </w:r>
      <w:r w:rsidRPr="00617833">
        <w:rPr>
          <w:rFonts w:ascii="Verdana" w:hAnsi="Verdana"/>
          <w:sz w:val="20"/>
        </w:rPr>
        <w:t xml:space="preserve">a disminución </w:t>
      </w:r>
      <w:r w:rsidR="000F0C5A" w:rsidRPr="00617833">
        <w:rPr>
          <w:rFonts w:ascii="Verdana" w:hAnsi="Verdana"/>
          <w:sz w:val="20"/>
        </w:rPr>
        <w:t xml:space="preserve">del </w:t>
      </w:r>
      <w:r w:rsidR="00F04786" w:rsidRPr="00617833">
        <w:rPr>
          <w:rFonts w:ascii="Verdana" w:hAnsi="Verdana"/>
          <w:sz w:val="20"/>
        </w:rPr>
        <w:t>9</w:t>
      </w:r>
      <w:r w:rsidRPr="00617833">
        <w:rPr>
          <w:rFonts w:ascii="Verdana" w:hAnsi="Verdana"/>
          <w:sz w:val="20"/>
        </w:rPr>
        <w:t>,</w:t>
      </w:r>
      <w:r w:rsidR="000F0C5A" w:rsidRPr="00617833">
        <w:rPr>
          <w:rFonts w:ascii="Verdana" w:hAnsi="Verdana"/>
          <w:sz w:val="20"/>
        </w:rPr>
        <w:t>2% en el número de ingresadas</w:t>
      </w:r>
      <w:r w:rsidR="00F613D1" w:rsidRPr="00617833">
        <w:rPr>
          <w:rFonts w:ascii="Verdana" w:hAnsi="Verdana"/>
          <w:sz w:val="20"/>
        </w:rPr>
        <w:t xml:space="preserve">. El Tribunal Superior de Justicia de Madrid </w:t>
      </w:r>
      <w:r w:rsidR="00F04786" w:rsidRPr="00617833">
        <w:rPr>
          <w:rFonts w:ascii="Verdana" w:hAnsi="Verdana"/>
          <w:sz w:val="20"/>
        </w:rPr>
        <w:t>es</w:t>
      </w:r>
      <w:r w:rsidR="0067240E" w:rsidRPr="00617833">
        <w:rPr>
          <w:rFonts w:ascii="Verdana" w:hAnsi="Verdana"/>
          <w:sz w:val="20"/>
        </w:rPr>
        <w:t xml:space="preserve"> que tiene un mayor ingreso de ejecuciones de laudos arbitrales, representando el 3</w:t>
      </w:r>
      <w:r w:rsidR="00F04786" w:rsidRPr="00617833">
        <w:rPr>
          <w:rFonts w:ascii="Verdana" w:hAnsi="Verdana"/>
          <w:sz w:val="20"/>
        </w:rPr>
        <w:t>3,2%</w:t>
      </w:r>
      <w:r w:rsidR="0067240E" w:rsidRPr="00617833">
        <w:rPr>
          <w:rFonts w:ascii="Verdana" w:hAnsi="Verdana"/>
          <w:sz w:val="20"/>
        </w:rPr>
        <w:t>. Le sigue la C. Valenciana</w:t>
      </w:r>
      <w:r w:rsidR="00F04786" w:rsidRPr="00617833">
        <w:rPr>
          <w:rFonts w:ascii="Verdana" w:hAnsi="Verdana"/>
          <w:sz w:val="20"/>
        </w:rPr>
        <w:t xml:space="preserve">, 10,7%; y </w:t>
      </w:r>
      <w:r w:rsidR="00B02A4D" w:rsidRPr="00617833">
        <w:rPr>
          <w:rFonts w:ascii="Verdana" w:hAnsi="Verdana"/>
          <w:sz w:val="20"/>
        </w:rPr>
        <w:t>Andalucía</w:t>
      </w:r>
      <w:r w:rsidR="00F04786" w:rsidRPr="00617833">
        <w:rPr>
          <w:rFonts w:ascii="Verdana" w:hAnsi="Verdana"/>
          <w:sz w:val="20"/>
        </w:rPr>
        <w:t>, 9,5%.</w:t>
      </w:r>
    </w:p>
    <w:tbl>
      <w:tblPr>
        <w:tblW w:w="7800" w:type="dxa"/>
        <w:jc w:val="center"/>
        <w:tblInd w:w="55" w:type="dxa"/>
        <w:tblCellMar>
          <w:left w:w="70" w:type="dxa"/>
          <w:right w:w="70" w:type="dxa"/>
        </w:tblCellMar>
        <w:tblLook w:val="04A0" w:firstRow="1" w:lastRow="0" w:firstColumn="1" w:lastColumn="0" w:noHBand="0" w:noVBand="1"/>
      </w:tblPr>
      <w:tblGrid>
        <w:gridCol w:w="2440"/>
        <w:gridCol w:w="1620"/>
        <w:gridCol w:w="1232"/>
        <w:gridCol w:w="1340"/>
        <w:gridCol w:w="1200"/>
      </w:tblGrid>
      <w:tr w:rsidR="00C23E19" w:rsidRPr="00617833" w:rsidTr="00C23E19">
        <w:trPr>
          <w:trHeight w:val="1035"/>
          <w:jc w:val="center"/>
        </w:trPr>
        <w:tc>
          <w:tcPr>
            <w:tcW w:w="2440" w:type="dxa"/>
            <w:tcBorders>
              <w:top w:val="nil"/>
              <w:left w:val="nil"/>
              <w:bottom w:val="nil"/>
              <w:right w:val="nil"/>
            </w:tcBorders>
            <w:shd w:val="clear" w:color="auto" w:fill="auto"/>
            <w:noWrap/>
            <w:vAlign w:val="center"/>
            <w:hideMark/>
          </w:tcPr>
          <w:p w:rsidR="00C23E19" w:rsidRPr="00617833" w:rsidRDefault="00C23E19">
            <w:pPr>
              <w:rPr>
                <w:color w:val="000000"/>
                <w:sz w:val="20"/>
                <w:szCs w:val="20"/>
              </w:rPr>
            </w:pPr>
          </w:p>
        </w:tc>
        <w:tc>
          <w:tcPr>
            <w:tcW w:w="1620" w:type="dxa"/>
            <w:tcBorders>
              <w:top w:val="single" w:sz="8" w:space="0" w:color="000080"/>
              <w:left w:val="nil"/>
              <w:bottom w:val="nil"/>
              <w:right w:val="nil"/>
            </w:tcBorders>
            <w:shd w:val="clear" w:color="auto" w:fill="auto"/>
            <w:vAlign w:val="center"/>
            <w:hideMark/>
          </w:tcPr>
          <w:p w:rsidR="00C23E19" w:rsidRPr="00617833" w:rsidRDefault="00C23E19">
            <w:pPr>
              <w:jc w:val="center"/>
              <w:rPr>
                <w:rFonts w:ascii="Verdana" w:hAnsi="Verdana" w:cs="Calibri"/>
                <w:b/>
                <w:bCs/>
                <w:color w:val="000080"/>
                <w:sz w:val="20"/>
                <w:szCs w:val="20"/>
              </w:rPr>
            </w:pPr>
            <w:r w:rsidRPr="00617833">
              <w:rPr>
                <w:rFonts w:ascii="Verdana" w:hAnsi="Verdana" w:cs="Arial"/>
                <w:b/>
                <w:bCs/>
                <w:color w:val="000080"/>
                <w:sz w:val="20"/>
                <w:szCs w:val="20"/>
              </w:rPr>
              <w:t> Ingresados</w:t>
            </w:r>
          </w:p>
        </w:tc>
        <w:tc>
          <w:tcPr>
            <w:tcW w:w="1200" w:type="dxa"/>
            <w:tcBorders>
              <w:top w:val="single" w:sz="8" w:space="0" w:color="000080"/>
              <w:left w:val="nil"/>
              <w:bottom w:val="nil"/>
              <w:right w:val="nil"/>
            </w:tcBorders>
            <w:shd w:val="clear" w:color="auto" w:fill="auto"/>
            <w:vAlign w:val="center"/>
            <w:hideMark/>
          </w:tcPr>
          <w:p w:rsidR="00C23E19" w:rsidRPr="00617833" w:rsidRDefault="00C23E19">
            <w:pPr>
              <w:jc w:val="center"/>
              <w:rPr>
                <w:rFonts w:ascii="Verdana" w:hAnsi="Verdana" w:cs="Calibri"/>
                <w:b/>
                <w:bCs/>
                <w:color w:val="000080"/>
                <w:sz w:val="20"/>
                <w:szCs w:val="20"/>
              </w:rPr>
            </w:pPr>
            <w:r w:rsidRPr="00617833">
              <w:rPr>
                <w:rFonts w:ascii="Verdana" w:hAnsi="Verdana" w:cs="Calibri"/>
                <w:b/>
                <w:bCs/>
                <w:color w:val="000080"/>
                <w:sz w:val="20"/>
                <w:szCs w:val="20"/>
              </w:rPr>
              <w:t>Reabierto</w:t>
            </w:r>
          </w:p>
        </w:tc>
        <w:tc>
          <w:tcPr>
            <w:tcW w:w="1340" w:type="dxa"/>
            <w:tcBorders>
              <w:top w:val="single" w:sz="8" w:space="0" w:color="000080"/>
              <w:left w:val="nil"/>
              <w:bottom w:val="nil"/>
              <w:right w:val="nil"/>
            </w:tcBorders>
            <w:shd w:val="clear" w:color="auto" w:fill="auto"/>
            <w:vAlign w:val="center"/>
            <w:hideMark/>
          </w:tcPr>
          <w:p w:rsidR="00C23E19" w:rsidRPr="00617833" w:rsidRDefault="00C23E19">
            <w:pPr>
              <w:jc w:val="center"/>
              <w:rPr>
                <w:rFonts w:ascii="Verdana" w:hAnsi="Verdana" w:cs="Calibri"/>
                <w:b/>
                <w:bCs/>
                <w:color w:val="000080"/>
                <w:sz w:val="20"/>
                <w:szCs w:val="20"/>
              </w:rPr>
            </w:pPr>
            <w:r w:rsidRPr="00617833">
              <w:rPr>
                <w:rFonts w:ascii="Verdana" w:hAnsi="Verdana" w:cs="Arial"/>
                <w:b/>
                <w:bCs/>
                <w:color w:val="000080"/>
                <w:sz w:val="20"/>
                <w:szCs w:val="20"/>
              </w:rPr>
              <w:t> Resueltos</w:t>
            </w:r>
          </w:p>
        </w:tc>
        <w:tc>
          <w:tcPr>
            <w:tcW w:w="1200" w:type="dxa"/>
            <w:tcBorders>
              <w:top w:val="single" w:sz="8" w:space="0" w:color="000080"/>
              <w:left w:val="nil"/>
              <w:bottom w:val="nil"/>
              <w:right w:val="nil"/>
            </w:tcBorders>
            <w:shd w:val="clear" w:color="auto" w:fill="auto"/>
            <w:vAlign w:val="center"/>
            <w:hideMark/>
          </w:tcPr>
          <w:p w:rsidR="00C23E19" w:rsidRPr="00617833" w:rsidRDefault="00C23E19">
            <w:pPr>
              <w:jc w:val="center"/>
              <w:rPr>
                <w:rFonts w:ascii="Verdana" w:hAnsi="Verdana" w:cs="Calibri"/>
                <w:b/>
                <w:bCs/>
                <w:color w:val="000080"/>
                <w:sz w:val="20"/>
                <w:szCs w:val="20"/>
              </w:rPr>
            </w:pPr>
            <w:r w:rsidRPr="00617833">
              <w:rPr>
                <w:rFonts w:ascii="Verdana" w:hAnsi="Verdana" w:cs="Arial"/>
                <w:b/>
                <w:bCs/>
                <w:color w:val="000080"/>
                <w:sz w:val="20"/>
                <w:szCs w:val="20"/>
              </w:rPr>
              <w:t>En trámite al final del año</w:t>
            </w:r>
          </w:p>
        </w:tc>
      </w:tr>
      <w:tr w:rsidR="00C23E19" w:rsidRPr="00617833" w:rsidTr="00C23E19">
        <w:trPr>
          <w:trHeight w:val="300"/>
          <w:jc w:val="center"/>
        </w:trPr>
        <w:tc>
          <w:tcPr>
            <w:tcW w:w="2440" w:type="dxa"/>
            <w:tcBorders>
              <w:top w:val="single" w:sz="8" w:space="0" w:color="000080"/>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Andalucía</w:t>
            </w:r>
          </w:p>
        </w:tc>
        <w:tc>
          <w:tcPr>
            <w:tcW w:w="1620" w:type="dxa"/>
            <w:tcBorders>
              <w:top w:val="single" w:sz="8" w:space="0" w:color="000080"/>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115</w:t>
            </w:r>
          </w:p>
        </w:tc>
        <w:tc>
          <w:tcPr>
            <w:tcW w:w="1200" w:type="dxa"/>
            <w:tcBorders>
              <w:top w:val="single" w:sz="8" w:space="0" w:color="000080"/>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57</w:t>
            </w:r>
          </w:p>
        </w:tc>
        <w:tc>
          <w:tcPr>
            <w:tcW w:w="1340" w:type="dxa"/>
            <w:tcBorders>
              <w:top w:val="single" w:sz="8" w:space="0" w:color="000080"/>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126</w:t>
            </w:r>
          </w:p>
        </w:tc>
        <w:tc>
          <w:tcPr>
            <w:tcW w:w="1200" w:type="dxa"/>
            <w:tcBorders>
              <w:top w:val="single" w:sz="8" w:space="0" w:color="000080"/>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233</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Aragón</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14</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0</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31</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Asturias</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36</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55</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Illes Balears</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26</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0</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43</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Canarias</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40</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36</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78</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Cantabria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57</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0</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35</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52</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Castilla y León</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60</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72</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Castilla-La Mancha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15</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18</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63</w:t>
            </w:r>
          </w:p>
        </w:tc>
      </w:tr>
      <w:tr w:rsidR="00C23E19" w:rsidRPr="00617833" w:rsidTr="009562AF">
        <w:trPr>
          <w:trHeight w:val="12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Cataluña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93</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17</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92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295</w:t>
            </w:r>
          </w:p>
        </w:tc>
      </w:tr>
      <w:tr w:rsidR="00C23E19" w:rsidRPr="00617833" w:rsidTr="009562AF">
        <w:trPr>
          <w:trHeight w:val="138"/>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C. Valenciana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130</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19</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162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180</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Extremadura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0</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23</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Galicia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90</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6</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119</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127</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Madrid</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403</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167</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777</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5.198</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Murcia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46</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9</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31</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105</w:t>
            </w:r>
          </w:p>
        </w:tc>
      </w:tr>
      <w:tr w:rsidR="00C23E19" w:rsidRPr="00617833" w:rsidTr="009562AF">
        <w:trPr>
          <w:trHeight w:val="258"/>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Navarra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18</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13</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27</w:t>
            </w:r>
          </w:p>
        </w:tc>
      </w:tr>
      <w:tr w:rsidR="00C23E19" w:rsidRPr="00617833" w:rsidTr="00C23E19">
        <w:trPr>
          <w:trHeight w:val="300"/>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País Vasco</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77</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29</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119</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105</w:t>
            </w:r>
          </w:p>
        </w:tc>
      </w:tr>
      <w:tr w:rsidR="00C23E19" w:rsidRPr="00617833" w:rsidTr="00C23E19">
        <w:trPr>
          <w:trHeight w:val="315"/>
          <w:jc w:val="center"/>
        </w:trPr>
        <w:tc>
          <w:tcPr>
            <w:tcW w:w="2440" w:type="dxa"/>
            <w:tcBorders>
              <w:top w:val="nil"/>
              <w:left w:val="nil"/>
              <w:bottom w:val="nil"/>
              <w:right w:val="nil"/>
            </w:tcBorders>
            <w:shd w:val="clear" w:color="auto" w:fill="auto"/>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La Rioja</w:t>
            </w:r>
          </w:p>
        </w:tc>
        <w:tc>
          <w:tcPr>
            <w:tcW w:w="162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w:t>
            </w:r>
          </w:p>
        </w:tc>
        <w:tc>
          <w:tcPr>
            <w:tcW w:w="134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8</w:t>
            </w:r>
          </w:p>
        </w:tc>
        <w:tc>
          <w:tcPr>
            <w:tcW w:w="1200" w:type="dxa"/>
            <w:tcBorders>
              <w:top w:val="nil"/>
              <w:left w:val="nil"/>
              <w:bottom w:val="nil"/>
              <w:right w:val="nil"/>
            </w:tcBorders>
            <w:shd w:val="clear" w:color="auto" w:fill="auto"/>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w:t>
            </w:r>
          </w:p>
        </w:tc>
      </w:tr>
      <w:tr w:rsidR="00C23E19" w:rsidRPr="00617833" w:rsidTr="00C23E19">
        <w:trPr>
          <w:trHeight w:val="315"/>
          <w:jc w:val="center"/>
        </w:trPr>
        <w:tc>
          <w:tcPr>
            <w:tcW w:w="244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rPr>
                <w:rFonts w:ascii="Verdana" w:hAnsi="Verdana" w:cs="Calibri"/>
                <w:b/>
                <w:bCs/>
                <w:color w:val="000080"/>
                <w:sz w:val="22"/>
                <w:szCs w:val="22"/>
              </w:rPr>
            </w:pPr>
            <w:r w:rsidRPr="00617833">
              <w:rPr>
                <w:rFonts w:ascii="Verdana" w:hAnsi="Verdana" w:cs="Arial"/>
                <w:b/>
                <w:bCs/>
                <w:color w:val="000080"/>
                <w:sz w:val="22"/>
                <w:szCs w:val="22"/>
              </w:rPr>
              <w:t>Total</w:t>
            </w:r>
          </w:p>
        </w:tc>
        <w:tc>
          <w:tcPr>
            <w:tcW w:w="162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right"/>
              <w:rPr>
                <w:rFonts w:ascii="Verdana" w:hAnsi="Verdana" w:cs="Calibri"/>
                <w:b/>
                <w:bCs/>
                <w:color w:val="000080"/>
                <w:sz w:val="20"/>
                <w:szCs w:val="20"/>
              </w:rPr>
            </w:pPr>
            <w:r w:rsidRPr="00617833">
              <w:rPr>
                <w:rFonts w:ascii="Verdana" w:hAnsi="Verdana" w:cs="Calibri"/>
                <w:b/>
                <w:bCs/>
                <w:color w:val="000080"/>
                <w:sz w:val="20"/>
                <w:szCs w:val="20"/>
              </w:rPr>
              <w:t>1.214</w:t>
            </w:r>
          </w:p>
        </w:tc>
        <w:tc>
          <w:tcPr>
            <w:tcW w:w="120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right"/>
              <w:rPr>
                <w:rFonts w:ascii="Verdana" w:hAnsi="Verdana" w:cs="Calibri"/>
                <w:b/>
                <w:bCs/>
                <w:color w:val="000080"/>
                <w:sz w:val="20"/>
                <w:szCs w:val="20"/>
              </w:rPr>
            </w:pPr>
            <w:r w:rsidRPr="00617833">
              <w:rPr>
                <w:rFonts w:ascii="Verdana" w:hAnsi="Verdana" w:cs="Calibri"/>
                <w:b/>
                <w:bCs/>
                <w:color w:val="000080"/>
                <w:sz w:val="20"/>
                <w:szCs w:val="20"/>
              </w:rPr>
              <w:t>313</w:t>
            </w:r>
          </w:p>
        </w:tc>
        <w:tc>
          <w:tcPr>
            <w:tcW w:w="134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right"/>
              <w:rPr>
                <w:rFonts w:ascii="Verdana" w:hAnsi="Verdana" w:cs="Calibri"/>
                <w:b/>
                <w:bCs/>
                <w:color w:val="000080"/>
                <w:sz w:val="20"/>
                <w:szCs w:val="20"/>
              </w:rPr>
            </w:pPr>
            <w:r w:rsidRPr="00617833">
              <w:rPr>
                <w:rFonts w:ascii="Verdana" w:hAnsi="Verdana" w:cs="Calibri"/>
                <w:b/>
                <w:bCs/>
                <w:color w:val="000080"/>
                <w:sz w:val="20"/>
                <w:szCs w:val="20"/>
              </w:rPr>
              <w:t>1.699</w:t>
            </w:r>
          </w:p>
        </w:tc>
        <w:tc>
          <w:tcPr>
            <w:tcW w:w="120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right"/>
              <w:rPr>
                <w:rFonts w:ascii="Verdana" w:hAnsi="Verdana" w:cs="Calibri"/>
                <w:b/>
                <w:bCs/>
                <w:color w:val="000080"/>
                <w:sz w:val="20"/>
                <w:szCs w:val="20"/>
              </w:rPr>
            </w:pPr>
            <w:r w:rsidRPr="00617833">
              <w:rPr>
                <w:rFonts w:ascii="Verdana" w:hAnsi="Verdana" w:cs="Calibri"/>
                <w:b/>
                <w:bCs/>
                <w:color w:val="000080"/>
                <w:sz w:val="20"/>
                <w:szCs w:val="20"/>
              </w:rPr>
              <w:t>6.670</w:t>
            </w:r>
          </w:p>
        </w:tc>
      </w:tr>
      <w:tr w:rsidR="00C23E19" w:rsidRPr="00617833" w:rsidTr="00C23E19">
        <w:trPr>
          <w:trHeight w:val="525"/>
          <w:jc w:val="center"/>
        </w:trPr>
        <w:tc>
          <w:tcPr>
            <w:tcW w:w="2440" w:type="dxa"/>
            <w:tcBorders>
              <w:top w:val="nil"/>
              <w:left w:val="nil"/>
              <w:bottom w:val="single" w:sz="8" w:space="0" w:color="000080"/>
              <w:right w:val="nil"/>
            </w:tcBorders>
            <w:shd w:val="clear" w:color="auto" w:fill="auto"/>
            <w:vAlign w:val="center"/>
            <w:hideMark/>
          </w:tcPr>
          <w:p w:rsidR="00C23E19" w:rsidRPr="00617833" w:rsidRDefault="00C23E19">
            <w:pPr>
              <w:jc w:val="center"/>
              <w:rPr>
                <w:rFonts w:ascii="Verdana" w:hAnsi="Verdana" w:cs="Calibri"/>
                <w:b/>
                <w:bCs/>
                <w:color w:val="000000"/>
                <w:sz w:val="20"/>
                <w:szCs w:val="20"/>
              </w:rPr>
            </w:pPr>
            <w:r w:rsidRPr="00617833">
              <w:rPr>
                <w:rFonts w:ascii="Verdana" w:hAnsi="Verdana" w:cs="Arial"/>
                <w:b/>
                <w:bCs/>
                <w:color w:val="000000"/>
                <w:sz w:val="20"/>
                <w:szCs w:val="20"/>
              </w:rPr>
              <w:t>Variación respecto a 2016</w:t>
            </w:r>
          </w:p>
        </w:tc>
        <w:tc>
          <w:tcPr>
            <w:tcW w:w="1620" w:type="dxa"/>
            <w:tcBorders>
              <w:top w:val="nil"/>
              <w:left w:val="nil"/>
              <w:bottom w:val="single" w:sz="8" w:space="0" w:color="000080"/>
              <w:right w:val="nil"/>
            </w:tcBorders>
            <w:shd w:val="clear" w:color="auto" w:fill="auto"/>
            <w:noWrap/>
            <w:vAlign w:val="center"/>
            <w:hideMark/>
          </w:tcPr>
          <w:p w:rsidR="00C23E19" w:rsidRPr="00617833" w:rsidRDefault="00C23E19">
            <w:pPr>
              <w:jc w:val="right"/>
              <w:rPr>
                <w:rFonts w:ascii="Verdana" w:hAnsi="Verdana" w:cs="Calibri"/>
                <w:b/>
                <w:bCs/>
                <w:color w:val="000000"/>
                <w:sz w:val="20"/>
                <w:szCs w:val="20"/>
              </w:rPr>
            </w:pPr>
            <w:r w:rsidRPr="00617833">
              <w:rPr>
                <w:rFonts w:ascii="Verdana" w:hAnsi="Verdana" w:cs="Calibri"/>
                <w:b/>
                <w:bCs/>
                <w:color w:val="000000"/>
                <w:sz w:val="20"/>
                <w:szCs w:val="20"/>
              </w:rPr>
              <w:t>-9,2%</w:t>
            </w:r>
          </w:p>
        </w:tc>
        <w:tc>
          <w:tcPr>
            <w:tcW w:w="1200" w:type="dxa"/>
            <w:tcBorders>
              <w:top w:val="nil"/>
              <w:left w:val="nil"/>
              <w:bottom w:val="single" w:sz="8" w:space="0" w:color="000080"/>
              <w:right w:val="nil"/>
            </w:tcBorders>
            <w:shd w:val="clear" w:color="auto" w:fill="auto"/>
            <w:noWrap/>
            <w:vAlign w:val="center"/>
            <w:hideMark/>
          </w:tcPr>
          <w:p w:rsidR="00C23E19" w:rsidRPr="00617833" w:rsidRDefault="00C23E19">
            <w:pPr>
              <w:jc w:val="right"/>
              <w:rPr>
                <w:rFonts w:ascii="Verdana" w:hAnsi="Verdana" w:cs="Calibri"/>
                <w:b/>
                <w:bCs/>
                <w:color w:val="000000"/>
                <w:sz w:val="20"/>
                <w:szCs w:val="20"/>
              </w:rPr>
            </w:pPr>
            <w:r w:rsidRPr="00617833">
              <w:rPr>
                <w:rFonts w:ascii="Verdana" w:hAnsi="Verdana" w:cs="Calibri"/>
                <w:b/>
                <w:bCs/>
                <w:color w:val="000000"/>
                <w:sz w:val="20"/>
                <w:szCs w:val="20"/>
              </w:rPr>
              <w:t>20,4%</w:t>
            </w:r>
          </w:p>
        </w:tc>
        <w:tc>
          <w:tcPr>
            <w:tcW w:w="1340" w:type="dxa"/>
            <w:tcBorders>
              <w:top w:val="nil"/>
              <w:left w:val="nil"/>
              <w:bottom w:val="single" w:sz="8" w:space="0" w:color="000080"/>
              <w:right w:val="nil"/>
            </w:tcBorders>
            <w:shd w:val="clear" w:color="auto" w:fill="auto"/>
            <w:noWrap/>
            <w:vAlign w:val="center"/>
            <w:hideMark/>
          </w:tcPr>
          <w:p w:rsidR="00C23E19" w:rsidRPr="00617833" w:rsidRDefault="00C23E19">
            <w:pPr>
              <w:jc w:val="right"/>
              <w:rPr>
                <w:rFonts w:ascii="Verdana" w:hAnsi="Verdana" w:cs="Calibri"/>
                <w:b/>
                <w:bCs/>
                <w:color w:val="000000"/>
                <w:sz w:val="20"/>
                <w:szCs w:val="20"/>
              </w:rPr>
            </w:pPr>
            <w:r w:rsidRPr="00617833">
              <w:rPr>
                <w:rFonts w:ascii="Verdana" w:hAnsi="Verdana" w:cs="Calibri"/>
                <w:b/>
                <w:bCs/>
                <w:color w:val="000000"/>
                <w:sz w:val="20"/>
                <w:szCs w:val="20"/>
              </w:rPr>
              <w:t>10,2%</w:t>
            </w:r>
          </w:p>
        </w:tc>
        <w:tc>
          <w:tcPr>
            <w:tcW w:w="1200" w:type="dxa"/>
            <w:tcBorders>
              <w:top w:val="nil"/>
              <w:left w:val="nil"/>
              <w:bottom w:val="single" w:sz="8" w:space="0" w:color="000080"/>
              <w:right w:val="nil"/>
            </w:tcBorders>
            <w:shd w:val="clear" w:color="auto" w:fill="auto"/>
            <w:noWrap/>
            <w:vAlign w:val="center"/>
            <w:hideMark/>
          </w:tcPr>
          <w:p w:rsidR="00C23E19" w:rsidRPr="00617833" w:rsidRDefault="00C23E19">
            <w:pPr>
              <w:jc w:val="right"/>
              <w:rPr>
                <w:rFonts w:ascii="Verdana" w:hAnsi="Verdana" w:cs="Calibri"/>
                <w:b/>
                <w:bCs/>
                <w:color w:val="000000"/>
                <w:sz w:val="20"/>
                <w:szCs w:val="20"/>
              </w:rPr>
            </w:pPr>
            <w:r w:rsidRPr="00617833">
              <w:rPr>
                <w:rFonts w:ascii="Verdana" w:hAnsi="Verdana" w:cs="Calibri"/>
                <w:b/>
                <w:bCs/>
                <w:color w:val="000000"/>
                <w:sz w:val="20"/>
                <w:szCs w:val="20"/>
              </w:rPr>
              <w:t>-6,3%</w:t>
            </w:r>
          </w:p>
        </w:tc>
      </w:tr>
    </w:tbl>
    <w:p w:rsidR="002C3418" w:rsidRPr="00617833" w:rsidRDefault="00FE25D7" w:rsidP="00FD0F8D">
      <w:pPr>
        <w:pStyle w:val="Textoindependiente"/>
        <w:spacing w:before="120" w:after="120"/>
        <w:ind w:firstLine="357"/>
        <w:rPr>
          <w:rFonts w:ascii="Verdana" w:hAnsi="Verdana"/>
          <w:sz w:val="20"/>
        </w:rPr>
      </w:pPr>
      <w:r w:rsidRPr="00617833">
        <w:rPr>
          <w:rFonts w:ascii="Verdana" w:hAnsi="Verdana"/>
          <w:sz w:val="20"/>
        </w:rPr>
        <w:t>En 201</w:t>
      </w:r>
      <w:r w:rsidR="00C23E19" w:rsidRPr="00617833">
        <w:rPr>
          <w:rFonts w:ascii="Verdana" w:hAnsi="Verdana"/>
          <w:sz w:val="20"/>
        </w:rPr>
        <w:t>7</w:t>
      </w:r>
      <w:r w:rsidRPr="00617833">
        <w:rPr>
          <w:rFonts w:ascii="Verdana" w:hAnsi="Verdana"/>
          <w:sz w:val="20"/>
        </w:rPr>
        <w:t xml:space="preserve"> se ha observado una disminución, del </w:t>
      </w:r>
      <w:r w:rsidR="00C23E19" w:rsidRPr="00617833">
        <w:rPr>
          <w:rFonts w:ascii="Verdana" w:hAnsi="Verdana"/>
          <w:sz w:val="20"/>
        </w:rPr>
        <w:t>7</w:t>
      </w:r>
      <w:r w:rsidR="00727FF7" w:rsidRPr="00617833">
        <w:rPr>
          <w:rFonts w:ascii="Verdana" w:hAnsi="Verdana"/>
          <w:sz w:val="20"/>
        </w:rPr>
        <w:t>,</w:t>
      </w:r>
      <w:r w:rsidR="00C23E19" w:rsidRPr="00617833">
        <w:rPr>
          <w:rFonts w:ascii="Verdana" w:hAnsi="Verdana"/>
          <w:sz w:val="20"/>
        </w:rPr>
        <w:t>8</w:t>
      </w:r>
      <w:r w:rsidRPr="00617833">
        <w:rPr>
          <w:rFonts w:ascii="Verdana" w:hAnsi="Verdana"/>
          <w:sz w:val="20"/>
        </w:rPr>
        <w:t xml:space="preserve">%,  del </w:t>
      </w:r>
      <w:r w:rsidR="007A5651" w:rsidRPr="00617833">
        <w:rPr>
          <w:rFonts w:ascii="Verdana" w:hAnsi="Verdana"/>
          <w:sz w:val="20"/>
        </w:rPr>
        <w:t>número</w:t>
      </w:r>
      <w:r w:rsidRPr="00617833">
        <w:rPr>
          <w:rFonts w:ascii="Verdana" w:hAnsi="Verdana"/>
          <w:sz w:val="20"/>
        </w:rPr>
        <w:t xml:space="preserve"> de subastas realizadas por los juzgados de primera instancia y mixtos</w:t>
      </w:r>
      <w:r w:rsidR="00AE23F0" w:rsidRPr="00617833">
        <w:rPr>
          <w:rFonts w:ascii="Verdana" w:hAnsi="Verdana"/>
          <w:sz w:val="20"/>
        </w:rPr>
        <w:t>.</w:t>
      </w:r>
    </w:p>
    <w:tbl>
      <w:tblPr>
        <w:tblW w:w="4920" w:type="dxa"/>
        <w:jc w:val="center"/>
        <w:tblInd w:w="55" w:type="dxa"/>
        <w:tblCellMar>
          <w:left w:w="70" w:type="dxa"/>
          <w:right w:w="70" w:type="dxa"/>
        </w:tblCellMar>
        <w:tblLook w:val="04A0" w:firstRow="1" w:lastRow="0" w:firstColumn="1" w:lastColumn="0" w:noHBand="0" w:noVBand="1"/>
      </w:tblPr>
      <w:tblGrid>
        <w:gridCol w:w="2360"/>
        <w:gridCol w:w="1360"/>
        <w:gridCol w:w="1221"/>
      </w:tblGrid>
      <w:tr w:rsidR="00C23E19" w:rsidRPr="00617833" w:rsidTr="009562AF">
        <w:trPr>
          <w:trHeight w:val="777"/>
          <w:jc w:val="center"/>
        </w:trPr>
        <w:tc>
          <w:tcPr>
            <w:tcW w:w="2360" w:type="dxa"/>
            <w:tcBorders>
              <w:top w:val="nil"/>
              <w:left w:val="nil"/>
              <w:bottom w:val="single" w:sz="8" w:space="0" w:color="000080"/>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 </w:t>
            </w:r>
          </w:p>
        </w:tc>
        <w:tc>
          <w:tcPr>
            <w:tcW w:w="136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center"/>
              <w:rPr>
                <w:rFonts w:ascii="Verdana" w:hAnsi="Verdana" w:cs="Calibri"/>
                <w:b/>
                <w:bCs/>
                <w:color w:val="333399"/>
                <w:sz w:val="20"/>
                <w:szCs w:val="20"/>
              </w:rPr>
            </w:pPr>
            <w:r w:rsidRPr="00617833">
              <w:rPr>
                <w:rFonts w:ascii="Verdana" w:hAnsi="Verdana" w:cs="Arial"/>
                <w:b/>
                <w:bCs/>
                <w:color w:val="333399"/>
                <w:sz w:val="20"/>
                <w:szCs w:val="20"/>
              </w:rPr>
              <w:t>Nº de subastas realizadas</w:t>
            </w:r>
          </w:p>
        </w:tc>
        <w:tc>
          <w:tcPr>
            <w:tcW w:w="1200" w:type="dxa"/>
            <w:tcBorders>
              <w:top w:val="single" w:sz="8" w:space="0" w:color="000080"/>
              <w:left w:val="nil"/>
              <w:bottom w:val="single" w:sz="8" w:space="0" w:color="000080"/>
              <w:right w:val="nil"/>
            </w:tcBorders>
            <w:shd w:val="clear" w:color="auto" w:fill="auto"/>
            <w:vAlign w:val="center"/>
            <w:hideMark/>
          </w:tcPr>
          <w:p w:rsidR="00C23E19" w:rsidRPr="00617833" w:rsidRDefault="00C23E19">
            <w:pPr>
              <w:jc w:val="center"/>
              <w:rPr>
                <w:rFonts w:ascii="Verdana" w:hAnsi="Verdana" w:cs="Calibri"/>
                <w:b/>
                <w:bCs/>
                <w:color w:val="333399"/>
                <w:sz w:val="20"/>
                <w:szCs w:val="20"/>
              </w:rPr>
            </w:pPr>
            <w:r w:rsidRPr="00617833">
              <w:rPr>
                <w:rFonts w:ascii="Verdana" w:hAnsi="Verdana" w:cs="Arial"/>
                <w:b/>
                <w:bCs/>
                <w:color w:val="333399"/>
                <w:sz w:val="20"/>
                <w:szCs w:val="20"/>
              </w:rPr>
              <w:t>Evolución respecto a 2016</w:t>
            </w:r>
          </w:p>
        </w:tc>
      </w:tr>
      <w:tr w:rsidR="00C23E19" w:rsidRPr="00617833" w:rsidTr="009562AF">
        <w:trPr>
          <w:trHeight w:val="134"/>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Andalucía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7.606</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-5,3</w:t>
            </w:r>
          </w:p>
        </w:tc>
      </w:tr>
      <w:tr w:rsidR="00C23E19" w:rsidRPr="00617833" w:rsidTr="009562AF">
        <w:trPr>
          <w:trHeight w:val="258"/>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Aragón</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726</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-25,2</w:t>
            </w:r>
          </w:p>
        </w:tc>
      </w:tr>
      <w:tr w:rsidR="00C23E19" w:rsidRPr="00617833" w:rsidTr="00C23E19">
        <w:trPr>
          <w:trHeight w:val="300"/>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Asturias</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500</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3,5</w:t>
            </w:r>
          </w:p>
        </w:tc>
      </w:tr>
      <w:tr w:rsidR="00C23E19" w:rsidRPr="00617833" w:rsidTr="009562AF">
        <w:trPr>
          <w:trHeight w:val="82"/>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Illes Balears</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792</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-0,9</w:t>
            </w:r>
          </w:p>
        </w:tc>
      </w:tr>
      <w:tr w:rsidR="00C23E19" w:rsidRPr="00617833" w:rsidTr="009562AF">
        <w:trPr>
          <w:trHeight w:val="128"/>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Canarias</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1.381</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34,3</w:t>
            </w:r>
          </w:p>
        </w:tc>
      </w:tr>
      <w:tr w:rsidR="00C23E19" w:rsidRPr="00617833" w:rsidTr="009562AF">
        <w:trPr>
          <w:trHeight w:val="104"/>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Cantabria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301</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15,3</w:t>
            </w:r>
          </w:p>
        </w:tc>
      </w:tr>
      <w:tr w:rsidR="00C23E19" w:rsidRPr="00617833" w:rsidTr="009562AF">
        <w:trPr>
          <w:trHeight w:val="192"/>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Castilla y León</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1.427</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-4,2</w:t>
            </w:r>
          </w:p>
        </w:tc>
      </w:tr>
      <w:tr w:rsidR="00C23E19" w:rsidRPr="00617833" w:rsidTr="00C23E19">
        <w:trPr>
          <w:trHeight w:val="300"/>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Castilla-La Mancha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1.736</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-11,7</w:t>
            </w:r>
          </w:p>
        </w:tc>
      </w:tr>
      <w:tr w:rsidR="00C23E19" w:rsidRPr="00617833" w:rsidTr="009562AF">
        <w:trPr>
          <w:trHeight w:val="201"/>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Cataluña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5.527</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-5,1</w:t>
            </w:r>
          </w:p>
        </w:tc>
      </w:tr>
      <w:tr w:rsidR="00C23E19" w:rsidRPr="00617833" w:rsidTr="009562AF">
        <w:trPr>
          <w:trHeight w:val="248"/>
          <w:jc w:val="center"/>
        </w:trPr>
        <w:tc>
          <w:tcPr>
            <w:tcW w:w="2360" w:type="dxa"/>
            <w:tcBorders>
              <w:top w:val="nil"/>
              <w:left w:val="nil"/>
              <w:bottom w:val="nil"/>
              <w:right w:val="nil"/>
            </w:tcBorders>
            <w:shd w:val="clear" w:color="auto" w:fill="auto"/>
            <w:noWrap/>
            <w:vAlign w:val="center"/>
            <w:hideMark/>
          </w:tcPr>
          <w:p w:rsidR="00C23E19" w:rsidRPr="00617833" w:rsidRDefault="00097707">
            <w:pPr>
              <w:rPr>
                <w:rFonts w:ascii="Verdana" w:hAnsi="Verdana" w:cs="Calibri"/>
                <w:color w:val="000000"/>
                <w:sz w:val="20"/>
                <w:szCs w:val="20"/>
              </w:rPr>
            </w:pPr>
            <w:r w:rsidRPr="00617833">
              <w:rPr>
                <w:rFonts w:ascii="Verdana" w:hAnsi="Verdana" w:cs="Arial"/>
                <w:color w:val="000000"/>
                <w:sz w:val="20"/>
                <w:szCs w:val="20"/>
              </w:rPr>
              <w:t>C.</w:t>
            </w:r>
            <w:r>
              <w:rPr>
                <w:rFonts w:ascii="Verdana" w:hAnsi="Verdana" w:cs="Arial"/>
                <w:color w:val="000000"/>
                <w:sz w:val="20"/>
                <w:szCs w:val="20"/>
              </w:rPr>
              <w:t xml:space="preserve"> </w:t>
            </w:r>
            <w:r w:rsidRPr="00617833">
              <w:rPr>
                <w:rFonts w:ascii="Verdana" w:hAnsi="Verdana" w:cs="Arial"/>
                <w:color w:val="000000"/>
                <w:sz w:val="20"/>
                <w:szCs w:val="20"/>
              </w:rPr>
              <w:t>Valenciana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4.143</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-18,9</w:t>
            </w:r>
          </w:p>
        </w:tc>
      </w:tr>
      <w:tr w:rsidR="00C23E19" w:rsidRPr="00617833" w:rsidTr="009562AF">
        <w:trPr>
          <w:trHeight w:val="224"/>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Extremadura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670</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12,0</w:t>
            </w:r>
          </w:p>
        </w:tc>
      </w:tr>
      <w:tr w:rsidR="00C23E19" w:rsidRPr="00617833" w:rsidTr="009562AF">
        <w:trPr>
          <w:trHeight w:val="140"/>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Galicia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1.171</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-1,8</w:t>
            </w:r>
          </w:p>
        </w:tc>
      </w:tr>
      <w:tr w:rsidR="00C23E19" w:rsidRPr="00617833" w:rsidTr="00C23E19">
        <w:trPr>
          <w:trHeight w:val="300"/>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Madrid</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2.397</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-7,7</w:t>
            </w:r>
          </w:p>
        </w:tc>
      </w:tr>
      <w:tr w:rsidR="00C23E19" w:rsidRPr="00617833" w:rsidTr="009562AF">
        <w:trPr>
          <w:trHeight w:val="161"/>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Murcia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1.234</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-27,2</w:t>
            </w:r>
          </w:p>
        </w:tc>
      </w:tr>
      <w:tr w:rsidR="00C23E19" w:rsidRPr="00617833" w:rsidTr="009562AF">
        <w:trPr>
          <w:trHeight w:val="208"/>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Navarra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322</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-15,9</w:t>
            </w:r>
          </w:p>
        </w:tc>
      </w:tr>
      <w:tr w:rsidR="00C23E19" w:rsidRPr="00617833" w:rsidTr="009562AF">
        <w:trPr>
          <w:trHeight w:val="112"/>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País Vasco</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407</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13,1</w:t>
            </w:r>
          </w:p>
        </w:tc>
      </w:tr>
      <w:tr w:rsidR="00C23E19" w:rsidRPr="00617833" w:rsidTr="00C23E19">
        <w:trPr>
          <w:trHeight w:val="315"/>
          <w:jc w:val="center"/>
        </w:trPr>
        <w:tc>
          <w:tcPr>
            <w:tcW w:w="2360" w:type="dxa"/>
            <w:tcBorders>
              <w:top w:val="nil"/>
              <w:left w:val="nil"/>
              <w:bottom w:val="nil"/>
              <w:right w:val="nil"/>
            </w:tcBorders>
            <w:shd w:val="clear" w:color="auto" w:fill="auto"/>
            <w:noWrap/>
            <w:vAlign w:val="center"/>
            <w:hideMark/>
          </w:tcPr>
          <w:p w:rsidR="00C23E19" w:rsidRPr="00617833" w:rsidRDefault="00C23E19">
            <w:pPr>
              <w:rPr>
                <w:rFonts w:ascii="Verdana" w:hAnsi="Verdana" w:cs="Calibri"/>
                <w:color w:val="000000"/>
                <w:sz w:val="20"/>
                <w:szCs w:val="20"/>
              </w:rPr>
            </w:pPr>
            <w:r w:rsidRPr="00617833">
              <w:rPr>
                <w:rFonts w:ascii="Verdana" w:hAnsi="Verdana" w:cs="Arial"/>
                <w:color w:val="000000"/>
                <w:sz w:val="20"/>
                <w:szCs w:val="20"/>
              </w:rPr>
              <w:t>La Rioja</w:t>
            </w:r>
          </w:p>
        </w:tc>
        <w:tc>
          <w:tcPr>
            <w:tcW w:w="136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207</w:t>
            </w:r>
          </w:p>
        </w:tc>
        <w:tc>
          <w:tcPr>
            <w:tcW w:w="1200" w:type="dxa"/>
            <w:tcBorders>
              <w:top w:val="nil"/>
              <w:left w:val="nil"/>
              <w:bottom w:val="nil"/>
              <w:right w:val="nil"/>
            </w:tcBorders>
            <w:shd w:val="clear" w:color="auto" w:fill="auto"/>
            <w:noWrap/>
            <w:vAlign w:val="center"/>
            <w:hideMark/>
          </w:tcPr>
          <w:p w:rsidR="00C23E19" w:rsidRPr="00617833" w:rsidRDefault="00C23E19">
            <w:pPr>
              <w:jc w:val="right"/>
              <w:rPr>
                <w:rFonts w:ascii="Verdana" w:hAnsi="Verdana" w:cs="Calibri"/>
                <w:color w:val="000000"/>
                <w:sz w:val="20"/>
                <w:szCs w:val="20"/>
              </w:rPr>
            </w:pPr>
            <w:r w:rsidRPr="00617833">
              <w:rPr>
                <w:rFonts w:ascii="Verdana" w:hAnsi="Verdana" w:cs="Calibri"/>
                <w:color w:val="000000"/>
                <w:sz w:val="20"/>
                <w:szCs w:val="20"/>
              </w:rPr>
              <w:t>-37,5</w:t>
            </w:r>
          </w:p>
        </w:tc>
      </w:tr>
      <w:tr w:rsidR="00C23E19" w:rsidRPr="00617833" w:rsidTr="00C23E19">
        <w:trPr>
          <w:trHeight w:val="330"/>
          <w:jc w:val="center"/>
        </w:trPr>
        <w:tc>
          <w:tcPr>
            <w:tcW w:w="2360" w:type="dxa"/>
            <w:tcBorders>
              <w:top w:val="single" w:sz="8" w:space="0" w:color="000080"/>
              <w:left w:val="nil"/>
              <w:bottom w:val="single" w:sz="8" w:space="0" w:color="000080"/>
              <w:right w:val="nil"/>
            </w:tcBorders>
            <w:shd w:val="clear" w:color="auto" w:fill="auto"/>
            <w:noWrap/>
            <w:vAlign w:val="center"/>
            <w:hideMark/>
          </w:tcPr>
          <w:p w:rsidR="00C23E19" w:rsidRPr="00617833" w:rsidRDefault="00C23E19">
            <w:pPr>
              <w:rPr>
                <w:rFonts w:ascii="Verdana" w:hAnsi="Verdana" w:cs="Calibri"/>
                <w:b/>
                <w:bCs/>
                <w:color w:val="333399"/>
                <w:sz w:val="20"/>
                <w:szCs w:val="20"/>
              </w:rPr>
            </w:pPr>
            <w:r w:rsidRPr="00617833">
              <w:rPr>
                <w:rFonts w:ascii="Verdana" w:hAnsi="Verdana" w:cs="Arial"/>
                <w:b/>
                <w:bCs/>
                <w:color w:val="333399"/>
                <w:sz w:val="20"/>
                <w:szCs w:val="20"/>
              </w:rPr>
              <w:t>Total</w:t>
            </w:r>
          </w:p>
        </w:tc>
        <w:tc>
          <w:tcPr>
            <w:tcW w:w="1360" w:type="dxa"/>
            <w:tcBorders>
              <w:top w:val="single" w:sz="8" w:space="0" w:color="000080"/>
              <w:left w:val="nil"/>
              <w:bottom w:val="single" w:sz="8" w:space="0" w:color="000080"/>
              <w:right w:val="nil"/>
            </w:tcBorders>
            <w:shd w:val="clear" w:color="auto" w:fill="auto"/>
            <w:noWrap/>
            <w:vAlign w:val="center"/>
            <w:hideMark/>
          </w:tcPr>
          <w:p w:rsidR="00C23E19" w:rsidRPr="00617833" w:rsidRDefault="00C23E19">
            <w:pPr>
              <w:jc w:val="right"/>
              <w:rPr>
                <w:rFonts w:ascii="Verdana" w:hAnsi="Verdana" w:cs="Calibri"/>
                <w:b/>
                <w:bCs/>
                <w:color w:val="333399"/>
                <w:sz w:val="20"/>
                <w:szCs w:val="20"/>
              </w:rPr>
            </w:pPr>
            <w:r w:rsidRPr="00617833">
              <w:rPr>
                <w:rFonts w:ascii="Verdana" w:hAnsi="Verdana" w:cs="Calibri"/>
                <w:b/>
                <w:bCs/>
                <w:color w:val="333399"/>
                <w:sz w:val="20"/>
                <w:szCs w:val="20"/>
              </w:rPr>
              <w:t>30.547</w:t>
            </w:r>
          </w:p>
        </w:tc>
        <w:tc>
          <w:tcPr>
            <w:tcW w:w="1200" w:type="dxa"/>
            <w:tcBorders>
              <w:top w:val="single" w:sz="8" w:space="0" w:color="333399"/>
              <w:left w:val="nil"/>
              <w:bottom w:val="single" w:sz="8" w:space="0" w:color="333399"/>
              <w:right w:val="nil"/>
            </w:tcBorders>
            <w:shd w:val="clear" w:color="auto" w:fill="auto"/>
            <w:noWrap/>
            <w:vAlign w:val="center"/>
            <w:hideMark/>
          </w:tcPr>
          <w:p w:rsidR="00C23E19" w:rsidRPr="00617833" w:rsidRDefault="00C23E19">
            <w:pPr>
              <w:jc w:val="right"/>
              <w:rPr>
                <w:rFonts w:ascii="Verdana" w:hAnsi="Verdana" w:cs="Calibri"/>
                <w:b/>
                <w:bCs/>
                <w:color w:val="333399"/>
                <w:sz w:val="20"/>
                <w:szCs w:val="20"/>
              </w:rPr>
            </w:pPr>
            <w:r w:rsidRPr="00617833">
              <w:rPr>
                <w:rFonts w:ascii="Verdana" w:hAnsi="Verdana" w:cs="Calibri"/>
                <w:b/>
                <w:bCs/>
                <w:color w:val="333399"/>
                <w:sz w:val="20"/>
                <w:szCs w:val="20"/>
              </w:rPr>
              <w:t>-7,8</w:t>
            </w:r>
          </w:p>
        </w:tc>
      </w:tr>
    </w:tbl>
    <w:p w:rsidR="00AE23F0" w:rsidRPr="00617833" w:rsidRDefault="00AE23F0" w:rsidP="00AE23F0">
      <w:pPr>
        <w:pStyle w:val="Textoindependiente"/>
        <w:spacing w:before="120" w:after="120"/>
        <w:ind w:firstLine="357"/>
        <w:rPr>
          <w:rFonts w:ascii="Verdana" w:hAnsi="Verdana"/>
          <w:sz w:val="20"/>
        </w:rPr>
      </w:pPr>
      <w:r w:rsidRPr="00617833">
        <w:rPr>
          <w:rFonts w:ascii="Verdana" w:hAnsi="Verdana"/>
          <w:sz w:val="20"/>
        </w:rPr>
        <w:lastRenderedPageBreak/>
        <w:t>Este descenso es debido tanto a la importante disminución en el ingreso de  ejecuciones hipotecarias, como al aumento de supuestos en los que no se accede a la ejecución solicitada.</w:t>
      </w:r>
    </w:p>
    <w:p w:rsidR="00D04DB9" w:rsidRPr="00617833" w:rsidRDefault="00D04DB9" w:rsidP="00DE4A1C">
      <w:pPr>
        <w:pStyle w:val="Textoindependiente"/>
        <w:spacing w:before="120" w:after="120"/>
        <w:ind w:firstLine="357"/>
        <w:rPr>
          <w:rFonts w:ascii="Verdana" w:hAnsi="Verdana"/>
          <w:sz w:val="20"/>
        </w:rPr>
      </w:pPr>
    </w:p>
    <w:p w:rsidR="008F3765" w:rsidRPr="00617833" w:rsidRDefault="00FA6A2F" w:rsidP="005C1F9D">
      <w:pPr>
        <w:pStyle w:val="Textoindependiente"/>
        <w:spacing w:before="120" w:after="120"/>
        <w:ind w:firstLine="357"/>
        <w:rPr>
          <w:rFonts w:ascii="Verdana" w:hAnsi="Verdana"/>
          <w:sz w:val="20"/>
        </w:rPr>
      </w:pPr>
      <w:r w:rsidRPr="00617833">
        <w:rPr>
          <w:rFonts w:ascii="Verdana" w:hAnsi="Verdana"/>
          <w:sz w:val="20"/>
        </w:rPr>
        <w:t>Respecto a</w:t>
      </w:r>
      <w:r w:rsidR="00992D21" w:rsidRPr="00617833">
        <w:rPr>
          <w:rFonts w:ascii="Verdana" w:hAnsi="Verdana"/>
          <w:sz w:val="20"/>
        </w:rPr>
        <w:t xml:space="preserve"> </w:t>
      </w:r>
      <w:r w:rsidRPr="00617833">
        <w:rPr>
          <w:rFonts w:ascii="Verdana" w:hAnsi="Verdana"/>
          <w:sz w:val="20"/>
        </w:rPr>
        <w:t xml:space="preserve">la </w:t>
      </w:r>
      <w:r w:rsidRPr="00617833">
        <w:rPr>
          <w:rFonts w:ascii="Verdana" w:hAnsi="Verdana"/>
          <w:b/>
          <w:sz w:val="20"/>
        </w:rPr>
        <w:t>colaboración internacional en materia civil</w:t>
      </w:r>
      <w:r w:rsidRPr="00617833">
        <w:rPr>
          <w:rFonts w:ascii="Verdana" w:hAnsi="Verdana"/>
          <w:sz w:val="20"/>
        </w:rPr>
        <w:t>, se tiene</w:t>
      </w:r>
      <w:r w:rsidR="00DB4339" w:rsidRPr="00617833">
        <w:rPr>
          <w:rFonts w:ascii="Verdana" w:hAnsi="Verdana"/>
          <w:sz w:val="20"/>
        </w:rPr>
        <w:t>n</w:t>
      </w:r>
      <w:r w:rsidRPr="00617833">
        <w:rPr>
          <w:rFonts w:ascii="Verdana" w:hAnsi="Verdana"/>
          <w:sz w:val="20"/>
        </w:rPr>
        <w:t xml:space="preserve"> los s</w:t>
      </w:r>
      <w:r w:rsidR="005835CA" w:rsidRPr="00617833">
        <w:rPr>
          <w:rFonts w:ascii="Verdana" w:hAnsi="Verdana"/>
          <w:sz w:val="20"/>
        </w:rPr>
        <w:t>iguientes datos para el año 201</w:t>
      </w:r>
      <w:r w:rsidR="0077078E" w:rsidRPr="00617833">
        <w:rPr>
          <w:rFonts w:ascii="Verdana" w:hAnsi="Verdana"/>
          <w:sz w:val="20"/>
        </w:rPr>
        <w:t>7</w:t>
      </w:r>
      <w:r w:rsidR="00993987" w:rsidRPr="00617833">
        <w:rPr>
          <w:rFonts w:ascii="Verdana" w:hAnsi="Verdana"/>
          <w:sz w:val="20"/>
        </w:rPr>
        <w:t xml:space="preserve"> correspondientes a los juzgados de </w:t>
      </w:r>
      <w:r w:rsidR="002F644C" w:rsidRPr="00617833">
        <w:rPr>
          <w:rFonts w:ascii="Verdana" w:hAnsi="Verdana"/>
          <w:sz w:val="20"/>
        </w:rPr>
        <w:t>primera instancia</w:t>
      </w:r>
      <w:r w:rsidR="00993987" w:rsidRPr="00617833">
        <w:rPr>
          <w:rFonts w:ascii="Verdana" w:hAnsi="Verdana"/>
          <w:sz w:val="20"/>
        </w:rPr>
        <w:t>, primera instancia e instrucción y de lo mercantil:</w:t>
      </w:r>
    </w:p>
    <w:p w:rsidR="001B764B" w:rsidRPr="00617833" w:rsidRDefault="001B764B" w:rsidP="005C1F9D">
      <w:pPr>
        <w:pStyle w:val="Textoindependiente"/>
        <w:spacing w:before="120" w:after="120"/>
        <w:ind w:firstLine="357"/>
        <w:rPr>
          <w:rFonts w:ascii="Verdana" w:hAnsi="Verdana"/>
          <w:sz w:val="20"/>
        </w:rPr>
      </w:pPr>
    </w:p>
    <w:p w:rsidR="001B764B" w:rsidRPr="00617833" w:rsidRDefault="001B764B" w:rsidP="005C1F9D">
      <w:pPr>
        <w:pStyle w:val="Textoindependiente"/>
        <w:spacing w:before="120" w:after="120"/>
        <w:ind w:firstLine="357"/>
        <w:rPr>
          <w:rFonts w:ascii="Verdana" w:hAnsi="Verdana"/>
          <w:sz w:val="20"/>
        </w:rPr>
      </w:pPr>
    </w:p>
    <w:p w:rsidR="001B764B" w:rsidRPr="00617833" w:rsidRDefault="001B764B" w:rsidP="005C1F9D">
      <w:pPr>
        <w:pStyle w:val="Textoindependiente"/>
        <w:spacing w:before="120" w:after="120"/>
        <w:ind w:firstLine="357"/>
        <w:rPr>
          <w:rFonts w:ascii="Verdana" w:hAnsi="Verdana"/>
          <w:sz w:val="20"/>
        </w:rPr>
      </w:pPr>
    </w:p>
    <w:tbl>
      <w:tblPr>
        <w:tblW w:w="6740" w:type="dxa"/>
        <w:jc w:val="center"/>
        <w:tblInd w:w="55" w:type="dxa"/>
        <w:tblCellMar>
          <w:left w:w="70" w:type="dxa"/>
          <w:right w:w="70" w:type="dxa"/>
        </w:tblCellMar>
        <w:tblLook w:val="04A0" w:firstRow="1" w:lastRow="0" w:firstColumn="1" w:lastColumn="0" w:noHBand="0" w:noVBand="1"/>
      </w:tblPr>
      <w:tblGrid>
        <w:gridCol w:w="2307"/>
        <w:gridCol w:w="2017"/>
        <w:gridCol w:w="1195"/>
        <w:gridCol w:w="1221"/>
      </w:tblGrid>
      <w:tr w:rsidR="002E0927" w:rsidRPr="00617833" w:rsidTr="00CB764C">
        <w:trPr>
          <w:trHeight w:val="780"/>
          <w:jc w:val="center"/>
        </w:trPr>
        <w:tc>
          <w:tcPr>
            <w:tcW w:w="4324" w:type="dxa"/>
            <w:gridSpan w:val="2"/>
            <w:tcBorders>
              <w:top w:val="single" w:sz="8" w:space="0" w:color="auto"/>
              <w:left w:val="nil"/>
              <w:bottom w:val="single" w:sz="8" w:space="0" w:color="000080"/>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Despachos civiles de auxilio judicial</w:t>
            </w:r>
          </w:p>
        </w:tc>
        <w:tc>
          <w:tcPr>
            <w:tcW w:w="1195" w:type="dxa"/>
            <w:tcBorders>
              <w:top w:val="nil"/>
              <w:left w:val="nil"/>
              <w:bottom w:val="single" w:sz="8" w:space="0" w:color="000080"/>
              <w:right w:val="nil"/>
            </w:tcBorders>
            <w:shd w:val="clear" w:color="auto" w:fill="auto"/>
            <w:vAlign w:val="center"/>
            <w:hideMark/>
          </w:tcPr>
          <w:p w:rsidR="002E0927" w:rsidRPr="00617833" w:rsidRDefault="002E0927" w:rsidP="00993987">
            <w:pPr>
              <w:jc w:val="center"/>
              <w:rPr>
                <w:rFonts w:ascii="Verdana" w:hAnsi="Verdana" w:cs="Calibri"/>
                <w:b/>
                <w:bCs/>
                <w:color w:val="000080"/>
                <w:sz w:val="20"/>
                <w:szCs w:val="20"/>
              </w:rPr>
            </w:pPr>
            <w:r w:rsidRPr="00617833">
              <w:rPr>
                <w:rFonts w:ascii="Verdana" w:hAnsi="Verdana" w:cs="Arial"/>
                <w:b/>
                <w:bCs/>
                <w:color w:val="000080"/>
                <w:sz w:val="20"/>
                <w:szCs w:val="20"/>
              </w:rPr>
              <w:t>201</w:t>
            </w:r>
            <w:r w:rsidR="00993987" w:rsidRPr="00617833">
              <w:rPr>
                <w:rFonts w:ascii="Verdana" w:hAnsi="Verdana" w:cs="Arial"/>
                <w:b/>
                <w:bCs/>
                <w:color w:val="000080"/>
                <w:sz w:val="20"/>
                <w:szCs w:val="20"/>
              </w:rPr>
              <w:t>7</w:t>
            </w:r>
          </w:p>
        </w:tc>
        <w:tc>
          <w:tcPr>
            <w:tcW w:w="1221" w:type="dxa"/>
            <w:tcBorders>
              <w:top w:val="nil"/>
              <w:left w:val="nil"/>
              <w:bottom w:val="single" w:sz="8" w:space="0" w:color="000080"/>
              <w:right w:val="nil"/>
            </w:tcBorders>
            <w:shd w:val="clear" w:color="auto" w:fill="auto"/>
            <w:vAlign w:val="center"/>
            <w:hideMark/>
          </w:tcPr>
          <w:p w:rsidR="002E0927" w:rsidRPr="00617833" w:rsidRDefault="002E0927" w:rsidP="003479BC">
            <w:pPr>
              <w:jc w:val="center"/>
              <w:rPr>
                <w:rFonts w:ascii="Verdana" w:hAnsi="Verdana" w:cs="Calibri"/>
                <w:b/>
                <w:bCs/>
                <w:color w:val="000080"/>
                <w:sz w:val="20"/>
                <w:szCs w:val="20"/>
              </w:rPr>
            </w:pPr>
            <w:r w:rsidRPr="00617833">
              <w:rPr>
                <w:rFonts w:ascii="Verdana" w:hAnsi="Verdana" w:cs="Arial"/>
                <w:b/>
                <w:bCs/>
                <w:color w:val="000080"/>
                <w:sz w:val="20"/>
                <w:szCs w:val="20"/>
              </w:rPr>
              <w:t>Evolución respecto a 201</w:t>
            </w:r>
            <w:r w:rsidR="00993987" w:rsidRPr="00617833">
              <w:rPr>
                <w:rFonts w:ascii="Verdana" w:hAnsi="Verdana" w:cs="Arial"/>
                <w:b/>
                <w:bCs/>
                <w:color w:val="000080"/>
                <w:sz w:val="20"/>
                <w:szCs w:val="20"/>
              </w:rPr>
              <w:t>6</w:t>
            </w:r>
          </w:p>
        </w:tc>
      </w:tr>
      <w:tr w:rsidR="002E0927" w:rsidRPr="00617833" w:rsidTr="00CB764C">
        <w:trPr>
          <w:trHeight w:val="1020"/>
          <w:jc w:val="center"/>
        </w:trPr>
        <w:tc>
          <w:tcPr>
            <w:tcW w:w="2307" w:type="dxa"/>
            <w:vMerge w:val="restart"/>
            <w:tcBorders>
              <w:top w:val="nil"/>
              <w:left w:val="nil"/>
              <w:bottom w:val="single" w:sz="8" w:space="0" w:color="000000"/>
              <w:right w:val="nil"/>
            </w:tcBorders>
            <w:shd w:val="clear" w:color="auto" w:fill="auto"/>
            <w:vAlign w:val="center"/>
            <w:hideMark/>
          </w:tcPr>
          <w:p w:rsidR="002E0927" w:rsidRPr="00617833" w:rsidRDefault="002E0927">
            <w:pPr>
              <w:jc w:val="center"/>
              <w:rPr>
                <w:rFonts w:ascii="Verdana" w:hAnsi="Verdana" w:cs="Calibri"/>
                <w:b/>
                <w:bCs/>
                <w:color w:val="000080"/>
                <w:sz w:val="20"/>
                <w:szCs w:val="20"/>
              </w:rPr>
            </w:pPr>
            <w:r w:rsidRPr="00617833">
              <w:rPr>
                <w:rFonts w:ascii="Verdana" w:hAnsi="Verdana" w:cs="Arial"/>
                <w:b/>
                <w:bCs/>
                <w:color w:val="000080"/>
                <w:sz w:val="20"/>
                <w:szCs w:val="20"/>
              </w:rPr>
              <w:t>Unión Europea</w:t>
            </w:r>
          </w:p>
        </w:tc>
        <w:tc>
          <w:tcPr>
            <w:tcW w:w="2017" w:type="dxa"/>
            <w:tcBorders>
              <w:top w:val="nil"/>
              <w:left w:val="nil"/>
              <w:bottom w:val="nil"/>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Notificaciones y traslado documentos Rgl. C.E. 1393/07</w:t>
            </w:r>
          </w:p>
        </w:tc>
        <w:tc>
          <w:tcPr>
            <w:tcW w:w="1195" w:type="dxa"/>
            <w:tcBorders>
              <w:top w:val="nil"/>
              <w:left w:val="nil"/>
              <w:bottom w:val="nil"/>
              <w:right w:val="nil"/>
            </w:tcBorders>
            <w:shd w:val="clear" w:color="auto" w:fill="auto"/>
            <w:vAlign w:val="center"/>
            <w:hideMark/>
          </w:tcPr>
          <w:p w:rsidR="002E0927" w:rsidRPr="00617833" w:rsidRDefault="00993987">
            <w:pPr>
              <w:jc w:val="right"/>
              <w:rPr>
                <w:rFonts w:ascii="Verdana" w:hAnsi="Verdana" w:cs="Calibri"/>
                <w:sz w:val="20"/>
                <w:szCs w:val="20"/>
              </w:rPr>
            </w:pPr>
            <w:r w:rsidRPr="00617833">
              <w:rPr>
                <w:rFonts w:ascii="Verdana" w:hAnsi="Verdana" w:cs="Calibri"/>
                <w:sz w:val="20"/>
                <w:szCs w:val="20"/>
              </w:rPr>
              <w:t>946</w:t>
            </w:r>
          </w:p>
        </w:tc>
        <w:tc>
          <w:tcPr>
            <w:tcW w:w="1221" w:type="dxa"/>
            <w:tcBorders>
              <w:top w:val="nil"/>
              <w:left w:val="nil"/>
              <w:bottom w:val="nil"/>
              <w:right w:val="nil"/>
            </w:tcBorders>
            <w:shd w:val="clear" w:color="auto" w:fill="auto"/>
            <w:vAlign w:val="center"/>
            <w:hideMark/>
          </w:tcPr>
          <w:p w:rsidR="002E0927" w:rsidRPr="00617833" w:rsidRDefault="00993987" w:rsidP="00993987">
            <w:pPr>
              <w:jc w:val="right"/>
              <w:rPr>
                <w:rFonts w:ascii="Verdana" w:hAnsi="Verdana" w:cs="Calibri"/>
                <w:sz w:val="20"/>
                <w:szCs w:val="20"/>
              </w:rPr>
            </w:pPr>
            <w:r w:rsidRPr="00617833">
              <w:rPr>
                <w:rFonts w:ascii="Verdana" w:hAnsi="Verdana" w:cs="Calibri"/>
                <w:sz w:val="20"/>
                <w:szCs w:val="20"/>
              </w:rPr>
              <w:t>9</w:t>
            </w:r>
            <w:r w:rsidR="002E0927" w:rsidRPr="00617833">
              <w:rPr>
                <w:rFonts w:ascii="Verdana" w:hAnsi="Verdana" w:cs="Calibri"/>
                <w:sz w:val="20"/>
                <w:szCs w:val="20"/>
              </w:rPr>
              <w:t>,</w:t>
            </w:r>
            <w:r w:rsidRPr="00617833">
              <w:rPr>
                <w:rFonts w:ascii="Verdana" w:hAnsi="Verdana" w:cs="Calibri"/>
                <w:sz w:val="20"/>
                <w:szCs w:val="20"/>
              </w:rPr>
              <w:t>1</w:t>
            </w:r>
            <w:r w:rsidR="002E0927" w:rsidRPr="00617833">
              <w:rPr>
                <w:rFonts w:ascii="Verdana" w:hAnsi="Verdana" w:cs="Calibri"/>
                <w:sz w:val="20"/>
                <w:szCs w:val="20"/>
              </w:rPr>
              <w:t>%</w:t>
            </w:r>
          </w:p>
        </w:tc>
      </w:tr>
      <w:tr w:rsidR="002E0927" w:rsidRPr="00617833" w:rsidTr="00CB764C">
        <w:trPr>
          <w:trHeight w:val="765"/>
          <w:jc w:val="center"/>
        </w:trPr>
        <w:tc>
          <w:tcPr>
            <w:tcW w:w="2307" w:type="dxa"/>
            <w:vMerge/>
            <w:tcBorders>
              <w:top w:val="nil"/>
              <w:left w:val="nil"/>
              <w:bottom w:val="single" w:sz="8" w:space="0" w:color="000000"/>
              <w:right w:val="nil"/>
            </w:tcBorders>
            <w:vAlign w:val="center"/>
            <w:hideMark/>
          </w:tcPr>
          <w:p w:rsidR="002E0927" w:rsidRPr="00617833" w:rsidRDefault="002E0927">
            <w:pPr>
              <w:rPr>
                <w:rFonts w:ascii="Verdana" w:hAnsi="Verdana" w:cs="Calibri"/>
                <w:b/>
                <w:bCs/>
                <w:color w:val="000080"/>
                <w:sz w:val="20"/>
                <w:szCs w:val="20"/>
              </w:rPr>
            </w:pPr>
          </w:p>
        </w:tc>
        <w:tc>
          <w:tcPr>
            <w:tcW w:w="2017" w:type="dxa"/>
            <w:tcBorders>
              <w:top w:val="nil"/>
              <w:left w:val="nil"/>
              <w:bottom w:val="nil"/>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Obtención de pruebas Rgl. C.E. 1206/01</w:t>
            </w:r>
          </w:p>
        </w:tc>
        <w:tc>
          <w:tcPr>
            <w:tcW w:w="1195" w:type="dxa"/>
            <w:tcBorders>
              <w:top w:val="nil"/>
              <w:left w:val="nil"/>
              <w:bottom w:val="nil"/>
              <w:right w:val="nil"/>
            </w:tcBorders>
            <w:shd w:val="clear" w:color="auto" w:fill="auto"/>
            <w:vAlign w:val="center"/>
            <w:hideMark/>
          </w:tcPr>
          <w:p w:rsidR="002E0927" w:rsidRPr="00617833" w:rsidRDefault="00993987" w:rsidP="001B764B">
            <w:pPr>
              <w:jc w:val="right"/>
              <w:rPr>
                <w:rFonts w:ascii="Verdana" w:hAnsi="Verdana" w:cs="Calibri"/>
                <w:sz w:val="20"/>
                <w:szCs w:val="20"/>
              </w:rPr>
            </w:pPr>
            <w:r w:rsidRPr="00617833">
              <w:rPr>
                <w:rFonts w:ascii="Verdana" w:hAnsi="Verdana" w:cs="Calibri"/>
                <w:sz w:val="20"/>
                <w:szCs w:val="20"/>
              </w:rPr>
              <w:t>138</w:t>
            </w:r>
          </w:p>
        </w:tc>
        <w:tc>
          <w:tcPr>
            <w:tcW w:w="1221" w:type="dxa"/>
            <w:tcBorders>
              <w:top w:val="nil"/>
              <w:left w:val="nil"/>
              <w:bottom w:val="nil"/>
              <w:right w:val="nil"/>
            </w:tcBorders>
            <w:shd w:val="clear" w:color="auto" w:fill="auto"/>
            <w:vAlign w:val="center"/>
            <w:hideMark/>
          </w:tcPr>
          <w:p w:rsidR="002E0927" w:rsidRPr="00617833" w:rsidRDefault="003479BC" w:rsidP="00993987">
            <w:pPr>
              <w:jc w:val="right"/>
              <w:rPr>
                <w:rFonts w:ascii="Verdana" w:hAnsi="Verdana" w:cs="Calibri"/>
                <w:sz w:val="20"/>
                <w:szCs w:val="20"/>
              </w:rPr>
            </w:pPr>
            <w:r w:rsidRPr="00617833">
              <w:rPr>
                <w:rFonts w:ascii="Verdana" w:hAnsi="Verdana" w:cs="Calibri"/>
                <w:sz w:val="20"/>
                <w:szCs w:val="20"/>
              </w:rPr>
              <w:t>-1</w:t>
            </w:r>
            <w:r w:rsidR="00993987" w:rsidRPr="00617833">
              <w:rPr>
                <w:rFonts w:ascii="Verdana" w:hAnsi="Verdana" w:cs="Calibri"/>
                <w:sz w:val="20"/>
                <w:szCs w:val="20"/>
              </w:rPr>
              <w:t>1</w:t>
            </w:r>
            <w:r w:rsidR="002E0927" w:rsidRPr="00617833">
              <w:rPr>
                <w:rFonts w:ascii="Verdana" w:hAnsi="Verdana" w:cs="Calibri"/>
                <w:sz w:val="20"/>
                <w:szCs w:val="20"/>
              </w:rPr>
              <w:t>,</w:t>
            </w:r>
            <w:r w:rsidR="00993987" w:rsidRPr="00617833">
              <w:rPr>
                <w:rFonts w:ascii="Verdana" w:hAnsi="Verdana" w:cs="Calibri"/>
                <w:sz w:val="20"/>
                <w:szCs w:val="20"/>
              </w:rPr>
              <w:t>0</w:t>
            </w:r>
            <w:r w:rsidR="002E0927" w:rsidRPr="00617833">
              <w:rPr>
                <w:rFonts w:ascii="Verdana" w:hAnsi="Verdana" w:cs="Calibri"/>
                <w:sz w:val="20"/>
                <w:szCs w:val="20"/>
              </w:rPr>
              <w:t>%</w:t>
            </w:r>
          </w:p>
        </w:tc>
      </w:tr>
      <w:tr w:rsidR="002E0927" w:rsidRPr="00617833" w:rsidTr="00CB764C">
        <w:trPr>
          <w:trHeight w:val="510"/>
          <w:jc w:val="center"/>
        </w:trPr>
        <w:tc>
          <w:tcPr>
            <w:tcW w:w="2307" w:type="dxa"/>
            <w:vMerge/>
            <w:tcBorders>
              <w:top w:val="nil"/>
              <w:left w:val="nil"/>
              <w:bottom w:val="single" w:sz="8" w:space="0" w:color="000000"/>
              <w:right w:val="nil"/>
            </w:tcBorders>
            <w:vAlign w:val="center"/>
            <w:hideMark/>
          </w:tcPr>
          <w:p w:rsidR="002E0927" w:rsidRPr="00617833" w:rsidRDefault="002E0927">
            <w:pPr>
              <w:rPr>
                <w:rFonts w:ascii="Verdana" w:hAnsi="Verdana" w:cs="Calibri"/>
                <w:b/>
                <w:bCs/>
                <w:color w:val="000080"/>
                <w:sz w:val="20"/>
                <w:szCs w:val="20"/>
              </w:rPr>
            </w:pPr>
          </w:p>
        </w:tc>
        <w:tc>
          <w:tcPr>
            <w:tcW w:w="2017" w:type="dxa"/>
            <w:tcBorders>
              <w:top w:val="nil"/>
              <w:left w:val="nil"/>
              <w:bottom w:val="nil"/>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Actos de comunicación</w:t>
            </w:r>
          </w:p>
        </w:tc>
        <w:tc>
          <w:tcPr>
            <w:tcW w:w="1195" w:type="dxa"/>
            <w:tcBorders>
              <w:top w:val="nil"/>
              <w:left w:val="nil"/>
              <w:bottom w:val="nil"/>
              <w:right w:val="nil"/>
            </w:tcBorders>
            <w:shd w:val="clear" w:color="auto" w:fill="auto"/>
            <w:vAlign w:val="center"/>
            <w:hideMark/>
          </w:tcPr>
          <w:p w:rsidR="002E0927" w:rsidRPr="00617833" w:rsidRDefault="00993987">
            <w:pPr>
              <w:jc w:val="right"/>
              <w:rPr>
                <w:rFonts w:ascii="Verdana" w:hAnsi="Verdana" w:cs="Calibri"/>
                <w:sz w:val="20"/>
                <w:szCs w:val="20"/>
              </w:rPr>
            </w:pPr>
            <w:r w:rsidRPr="00617833">
              <w:rPr>
                <w:rFonts w:ascii="Verdana" w:hAnsi="Verdana" w:cs="Calibri"/>
                <w:sz w:val="20"/>
                <w:szCs w:val="20"/>
              </w:rPr>
              <w:t>243</w:t>
            </w:r>
          </w:p>
        </w:tc>
        <w:tc>
          <w:tcPr>
            <w:tcW w:w="1221" w:type="dxa"/>
            <w:tcBorders>
              <w:top w:val="nil"/>
              <w:left w:val="nil"/>
              <w:bottom w:val="nil"/>
              <w:right w:val="nil"/>
            </w:tcBorders>
            <w:shd w:val="clear" w:color="auto" w:fill="auto"/>
            <w:vAlign w:val="center"/>
            <w:hideMark/>
          </w:tcPr>
          <w:p w:rsidR="002E0927" w:rsidRPr="00617833" w:rsidRDefault="00993987" w:rsidP="00993987">
            <w:pPr>
              <w:jc w:val="right"/>
              <w:rPr>
                <w:rFonts w:ascii="Verdana" w:hAnsi="Verdana" w:cs="Calibri"/>
                <w:sz w:val="20"/>
                <w:szCs w:val="20"/>
              </w:rPr>
            </w:pPr>
            <w:r w:rsidRPr="00617833">
              <w:rPr>
                <w:rFonts w:ascii="Verdana" w:hAnsi="Verdana" w:cs="Calibri"/>
                <w:sz w:val="20"/>
                <w:szCs w:val="20"/>
              </w:rPr>
              <w:t>-44,9</w:t>
            </w:r>
            <w:r w:rsidR="002E0927" w:rsidRPr="00617833">
              <w:rPr>
                <w:rFonts w:ascii="Verdana" w:hAnsi="Verdana" w:cs="Calibri"/>
                <w:sz w:val="20"/>
                <w:szCs w:val="20"/>
              </w:rPr>
              <w:t>%</w:t>
            </w:r>
          </w:p>
        </w:tc>
      </w:tr>
      <w:tr w:rsidR="002E0927" w:rsidRPr="00617833" w:rsidTr="00CB764C">
        <w:trPr>
          <w:trHeight w:val="510"/>
          <w:jc w:val="center"/>
        </w:trPr>
        <w:tc>
          <w:tcPr>
            <w:tcW w:w="2307" w:type="dxa"/>
            <w:vMerge/>
            <w:tcBorders>
              <w:top w:val="nil"/>
              <w:left w:val="nil"/>
              <w:bottom w:val="single" w:sz="8" w:space="0" w:color="000000"/>
              <w:right w:val="nil"/>
            </w:tcBorders>
            <w:vAlign w:val="center"/>
            <w:hideMark/>
          </w:tcPr>
          <w:p w:rsidR="002E0927" w:rsidRPr="00617833" w:rsidRDefault="002E0927">
            <w:pPr>
              <w:rPr>
                <w:rFonts w:ascii="Verdana" w:hAnsi="Verdana" w:cs="Calibri"/>
                <w:b/>
                <w:bCs/>
                <w:color w:val="000080"/>
                <w:sz w:val="20"/>
                <w:szCs w:val="20"/>
              </w:rPr>
            </w:pPr>
          </w:p>
        </w:tc>
        <w:tc>
          <w:tcPr>
            <w:tcW w:w="2017" w:type="dxa"/>
            <w:tcBorders>
              <w:top w:val="nil"/>
              <w:left w:val="nil"/>
              <w:bottom w:val="nil"/>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Diligencias Urgentes</w:t>
            </w:r>
          </w:p>
        </w:tc>
        <w:tc>
          <w:tcPr>
            <w:tcW w:w="1195" w:type="dxa"/>
            <w:tcBorders>
              <w:top w:val="nil"/>
              <w:left w:val="nil"/>
              <w:bottom w:val="nil"/>
              <w:right w:val="nil"/>
            </w:tcBorders>
            <w:shd w:val="clear" w:color="auto" w:fill="auto"/>
            <w:vAlign w:val="center"/>
            <w:hideMark/>
          </w:tcPr>
          <w:p w:rsidR="002E0927" w:rsidRPr="00617833" w:rsidRDefault="00993987">
            <w:pPr>
              <w:jc w:val="right"/>
              <w:rPr>
                <w:rFonts w:ascii="Verdana" w:hAnsi="Verdana" w:cs="Calibri"/>
                <w:sz w:val="20"/>
                <w:szCs w:val="20"/>
              </w:rPr>
            </w:pPr>
            <w:r w:rsidRPr="00617833">
              <w:rPr>
                <w:rFonts w:ascii="Verdana" w:hAnsi="Verdana" w:cs="Calibri"/>
                <w:sz w:val="20"/>
                <w:szCs w:val="20"/>
              </w:rPr>
              <w:t>14</w:t>
            </w:r>
          </w:p>
        </w:tc>
        <w:tc>
          <w:tcPr>
            <w:tcW w:w="1221" w:type="dxa"/>
            <w:tcBorders>
              <w:top w:val="nil"/>
              <w:left w:val="nil"/>
              <w:bottom w:val="nil"/>
              <w:right w:val="nil"/>
            </w:tcBorders>
            <w:shd w:val="clear" w:color="auto" w:fill="auto"/>
            <w:vAlign w:val="center"/>
            <w:hideMark/>
          </w:tcPr>
          <w:p w:rsidR="002E0927" w:rsidRPr="00617833" w:rsidRDefault="00993987" w:rsidP="00993987">
            <w:pPr>
              <w:jc w:val="right"/>
              <w:rPr>
                <w:rFonts w:ascii="Verdana" w:hAnsi="Verdana" w:cs="Calibri"/>
                <w:sz w:val="20"/>
                <w:szCs w:val="20"/>
              </w:rPr>
            </w:pPr>
            <w:r w:rsidRPr="00617833">
              <w:rPr>
                <w:rFonts w:ascii="Verdana" w:hAnsi="Verdana" w:cs="Calibri"/>
                <w:sz w:val="20"/>
                <w:szCs w:val="20"/>
              </w:rPr>
              <w:t>40,0</w:t>
            </w:r>
            <w:r w:rsidR="002E0927" w:rsidRPr="00617833">
              <w:rPr>
                <w:rFonts w:ascii="Verdana" w:hAnsi="Verdana" w:cs="Calibri"/>
                <w:sz w:val="20"/>
                <w:szCs w:val="20"/>
              </w:rPr>
              <w:t>%</w:t>
            </w:r>
          </w:p>
        </w:tc>
      </w:tr>
      <w:tr w:rsidR="002E0927" w:rsidRPr="00617833" w:rsidTr="00CB764C">
        <w:trPr>
          <w:trHeight w:val="315"/>
          <w:jc w:val="center"/>
        </w:trPr>
        <w:tc>
          <w:tcPr>
            <w:tcW w:w="2307" w:type="dxa"/>
            <w:vMerge/>
            <w:tcBorders>
              <w:top w:val="nil"/>
              <w:left w:val="nil"/>
              <w:bottom w:val="single" w:sz="8" w:space="0" w:color="000000"/>
              <w:right w:val="nil"/>
            </w:tcBorders>
            <w:vAlign w:val="center"/>
            <w:hideMark/>
          </w:tcPr>
          <w:p w:rsidR="002E0927" w:rsidRPr="00617833" w:rsidRDefault="002E0927">
            <w:pPr>
              <w:rPr>
                <w:rFonts w:ascii="Verdana" w:hAnsi="Verdana" w:cs="Calibri"/>
                <w:b/>
                <w:bCs/>
                <w:color w:val="000080"/>
                <w:sz w:val="20"/>
                <w:szCs w:val="20"/>
              </w:rPr>
            </w:pPr>
          </w:p>
        </w:tc>
        <w:tc>
          <w:tcPr>
            <w:tcW w:w="2017" w:type="dxa"/>
            <w:tcBorders>
              <w:top w:val="nil"/>
              <w:left w:val="nil"/>
              <w:bottom w:val="single" w:sz="8" w:space="0" w:color="auto"/>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Resto</w:t>
            </w:r>
          </w:p>
        </w:tc>
        <w:tc>
          <w:tcPr>
            <w:tcW w:w="1195" w:type="dxa"/>
            <w:tcBorders>
              <w:top w:val="nil"/>
              <w:left w:val="nil"/>
              <w:bottom w:val="single" w:sz="8" w:space="0" w:color="auto"/>
              <w:right w:val="nil"/>
            </w:tcBorders>
            <w:shd w:val="clear" w:color="auto" w:fill="auto"/>
            <w:vAlign w:val="center"/>
            <w:hideMark/>
          </w:tcPr>
          <w:p w:rsidR="002E0927" w:rsidRPr="00617833" w:rsidRDefault="00993987" w:rsidP="001B764B">
            <w:pPr>
              <w:jc w:val="right"/>
              <w:rPr>
                <w:rFonts w:ascii="Verdana" w:hAnsi="Verdana" w:cs="Calibri"/>
                <w:sz w:val="20"/>
                <w:szCs w:val="20"/>
              </w:rPr>
            </w:pPr>
            <w:r w:rsidRPr="00617833">
              <w:rPr>
                <w:rFonts w:ascii="Verdana" w:hAnsi="Verdana" w:cs="Calibri"/>
                <w:sz w:val="20"/>
                <w:szCs w:val="20"/>
              </w:rPr>
              <w:t>84</w:t>
            </w:r>
          </w:p>
        </w:tc>
        <w:tc>
          <w:tcPr>
            <w:tcW w:w="1221" w:type="dxa"/>
            <w:tcBorders>
              <w:top w:val="nil"/>
              <w:left w:val="nil"/>
              <w:bottom w:val="single" w:sz="8" w:space="0" w:color="auto"/>
              <w:right w:val="nil"/>
            </w:tcBorders>
            <w:shd w:val="clear" w:color="auto" w:fill="auto"/>
            <w:vAlign w:val="center"/>
            <w:hideMark/>
          </w:tcPr>
          <w:p w:rsidR="002E0927" w:rsidRPr="00617833" w:rsidRDefault="002E0927" w:rsidP="00993987">
            <w:pPr>
              <w:jc w:val="right"/>
              <w:rPr>
                <w:rFonts w:ascii="Verdana" w:hAnsi="Verdana" w:cs="Calibri"/>
                <w:sz w:val="20"/>
                <w:szCs w:val="20"/>
              </w:rPr>
            </w:pPr>
            <w:r w:rsidRPr="00617833">
              <w:rPr>
                <w:rFonts w:ascii="Verdana" w:hAnsi="Verdana" w:cs="Calibri"/>
                <w:sz w:val="20"/>
                <w:szCs w:val="20"/>
              </w:rPr>
              <w:t>-</w:t>
            </w:r>
            <w:r w:rsidR="00993987" w:rsidRPr="00617833">
              <w:rPr>
                <w:rFonts w:ascii="Verdana" w:hAnsi="Verdana" w:cs="Calibri"/>
                <w:sz w:val="20"/>
                <w:szCs w:val="20"/>
              </w:rPr>
              <w:t>33</w:t>
            </w:r>
            <w:r w:rsidR="003479BC" w:rsidRPr="00617833">
              <w:rPr>
                <w:rFonts w:ascii="Verdana" w:hAnsi="Verdana" w:cs="Calibri"/>
                <w:sz w:val="20"/>
                <w:szCs w:val="20"/>
              </w:rPr>
              <w:t>,</w:t>
            </w:r>
            <w:r w:rsidR="00993987" w:rsidRPr="00617833">
              <w:rPr>
                <w:rFonts w:ascii="Verdana" w:hAnsi="Verdana" w:cs="Calibri"/>
                <w:sz w:val="20"/>
                <w:szCs w:val="20"/>
              </w:rPr>
              <w:t>3</w:t>
            </w:r>
            <w:r w:rsidRPr="00617833">
              <w:rPr>
                <w:rFonts w:ascii="Verdana" w:hAnsi="Verdana" w:cs="Calibri"/>
                <w:sz w:val="20"/>
                <w:szCs w:val="20"/>
              </w:rPr>
              <w:t>%</w:t>
            </w:r>
          </w:p>
        </w:tc>
      </w:tr>
      <w:tr w:rsidR="002E0927" w:rsidRPr="00617833" w:rsidTr="00CB764C">
        <w:trPr>
          <w:trHeight w:val="310"/>
          <w:jc w:val="center"/>
        </w:trPr>
        <w:tc>
          <w:tcPr>
            <w:tcW w:w="4324" w:type="dxa"/>
            <w:gridSpan w:val="2"/>
            <w:tcBorders>
              <w:top w:val="nil"/>
              <w:left w:val="nil"/>
              <w:bottom w:val="single" w:sz="8" w:space="0" w:color="auto"/>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Despachos recibidos de otros países</w:t>
            </w:r>
          </w:p>
        </w:tc>
        <w:tc>
          <w:tcPr>
            <w:tcW w:w="1195" w:type="dxa"/>
            <w:tcBorders>
              <w:top w:val="nil"/>
              <w:left w:val="nil"/>
              <w:bottom w:val="single" w:sz="8" w:space="0" w:color="auto"/>
              <w:right w:val="nil"/>
            </w:tcBorders>
            <w:shd w:val="clear" w:color="auto" w:fill="auto"/>
            <w:vAlign w:val="center"/>
            <w:hideMark/>
          </w:tcPr>
          <w:p w:rsidR="002E0927" w:rsidRPr="00617833" w:rsidRDefault="00993987">
            <w:pPr>
              <w:jc w:val="right"/>
              <w:rPr>
                <w:rFonts w:ascii="Verdana" w:hAnsi="Verdana" w:cs="Calibri"/>
                <w:sz w:val="20"/>
                <w:szCs w:val="20"/>
              </w:rPr>
            </w:pPr>
            <w:r w:rsidRPr="00617833">
              <w:rPr>
                <w:rFonts w:ascii="Verdana" w:hAnsi="Verdana" w:cs="Calibri"/>
                <w:sz w:val="20"/>
                <w:szCs w:val="20"/>
              </w:rPr>
              <w:t>283</w:t>
            </w:r>
          </w:p>
        </w:tc>
        <w:tc>
          <w:tcPr>
            <w:tcW w:w="1221" w:type="dxa"/>
            <w:tcBorders>
              <w:top w:val="nil"/>
              <w:left w:val="nil"/>
              <w:bottom w:val="single" w:sz="8" w:space="0" w:color="auto"/>
              <w:right w:val="nil"/>
            </w:tcBorders>
            <w:shd w:val="clear" w:color="auto" w:fill="auto"/>
            <w:vAlign w:val="center"/>
            <w:hideMark/>
          </w:tcPr>
          <w:p w:rsidR="002E0927" w:rsidRPr="00617833" w:rsidRDefault="00993987" w:rsidP="00993987">
            <w:pPr>
              <w:jc w:val="right"/>
              <w:rPr>
                <w:rFonts w:ascii="Verdana" w:hAnsi="Verdana" w:cs="Calibri"/>
                <w:sz w:val="20"/>
                <w:szCs w:val="20"/>
              </w:rPr>
            </w:pPr>
            <w:r w:rsidRPr="00617833">
              <w:rPr>
                <w:rFonts w:ascii="Verdana" w:hAnsi="Verdana" w:cs="Calibri"/>
                <w:sz w:val="20"/>
                <w:szCs w:val="20"/>
              </w:rPr>
              <w:t>-20</w:t>
            </w:r>
            <w:r w:rsidR="003479BC" w:rsidRPr="00617833">
              <w:rPr>
                <w:rFonts w:ascii="Verdana" w:hAnsi="Verdana" w:cs="Calibri"/>
                <w:sz w:val="20"/>
                <w:szCs w:val="20"/>
              </w:rPr>
              <w:t>,</w:t>
            </w:r>
            <w:r w:rsidRPr="00617833">
              <w:rPr>
                <w:rFonts w:ascii="Verdana" w:hAnsi="Verdana" w:cs="Calibri"/>
                <w:sz w:val="20"/>
                <w:szCs w:val="20"/>
              </w:rPr>
              <w:t>5</w:t>
            </w:r>
            <w:r w:rsidR="002E0927" w:rsidRPr="00617833">
              <w:rPr>
                <w:rFonts w:ascii="Verdana" w:hAnsi="Verdana" w:cs="Calibri"/>
                <w:sz w:val="20"/>
                <w:szCs w:val="20"/>
              </w:rPr>
              <w:t>%</w:t>
            </w:r>
          </w:p>
        </w:tc>
      </w:tr>
      <w:tr w:rsidR="002E0927" w:rsidRPr="00617833" w:rsidTr="00CB764C">
        <w:trPr>
          <w:trHeight w:val="1020"/>
          <w:jc w:val="center"/>
        </w:trPr>
        <w:tc>
          <w:tcPr>
            <w:tcW w:w="4324" w:type="dxa"/>
            <w:gridSpan w:val="2"/>
            <w:tcBorders>
              <w:top w:val="single" w:sz="8" w:space="0" w:color="auto"/>
              <w:left w:val="nil"/>
              <w:bottom w:val="single" w:sz="8" w:space="0" w:color="auto"/>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 xml:space="preserve">Solicitudes de reconocimiento de resoluciones judiciales extranjeras no comunitarias (Exequatur) </w:t>
            </w:r>
          </w:p>
        </w:tc>
        <w:tc>
          <w:tcPr>
            <w:tcW w:w="1195" w:type="dxa"/>
            <w:tcBorders>
              <w:top w:val="nil"/>
              <w:left w:val="nil"/>
              <w:bottom w:val="single" w:sz="8" w:space="0" w:color="auto"/>
              <w:right w:val="nil"/>
            </w:tcBorders>
            <w:shd w:val="clear" w:color="auto" w:fill="auto"/>
            <w:vAlign w:val="center"/>
            <w:hideMark/>
          </w:tcPr>
          <w:p w:rsidR="002E0927" w:rsidRPr="00617833" w:rsidRDefault="002E0927" w:rsidP="0077078E">
            <w:pPr>
              <w:jc w:val="right"/>
              <w:rPr>
                <w:rFonts w:ascii="Verdana" w:hAnsi="Verdana" w:cs="Calibri"/>
                <w:sz w:val="20"/>
                <w:szCs w:val="20"/>
              </w:rPr>
            </w:pPr>
            <w:r w:rsidRPr="00617833">
              <w:rPr>
                <w:rFonts w:ascii="Verdana" w:hAnsi="Verdana" w:cs="Calibri"/>
                <w:sz w:val="20"/>
                <w:szCs w:val="20"/>
              </w:rPr>
              <w:t>1.</w:t>
            </w:r>
            <w:r w:rsidR="0077078E" w:rsidRPr="00617833">
              <w:rPr>
                <w:rFonts w:ascii="Verdana" w:hAnsi="Verdana" w:cs="Calibri"/>
                <w:sz w:val="20"/>
                <w:szCs w:val="20"/>
              </w:rPr>
              <w:t>365</w:t>
            </w:r>
          </w:p>
        </w:tc>
        <w:tc>
          <w:tcPr>
            <w:tcW w:w="1221" w:type="dxa"/>
            <w:tcBorders>
              <w:top w:val="nil"/>
              <w:left w:val="nil"/>
              <w:bottom w:val="single" w:sz="8" w:space="0" w:color="auto"/>
              <w:right w:val="nil"/>
            </w:tcBorders>
            <w:shd w:val="clear" w:color="auto" w:fill="auto"/>
            <w:vAlign w:val="center"/>
            <w:hideMark/>
          </w:tcPr>
          <w:p w:rsidR="002E0927" w:rsidRPr="00617833" w:rsidRDefault="0077078E" w:rsidP="0077078E">
            <w:pPr>
              <w:jc w:val="right"/>
              <w:rPr>
                <w:rFonts w:ascii="Verdana" w:hAnsi="Verdana" w:cs="Calibri"/>
                <w:sz w:val="20"/>
                <w:szCs w:val="20"/>
              </w:rPr>
            </w:pPr>
            <w:r w:rsidRPr="00617833">
              <w:rPr>
                <w:rFonts w:ascii="Verdana" w:hAnsi="Verdana" w:cs="Calibri"/>
                <w:sz w:val="20"/>
                <w:szCs w:val="20"/>
              </w:rPr>
              <w:t>-7,5</w:t>
            </w:r>
            <w:r w:rsidR="002E0927" w:rsidRPr="00617833">
              <w:rPr>
                <w:rFonts w:ascii="Verdana" w:hAnsi="Verdana" w:cs="Calibri"/>
                <w:sz w:val="20"/>
                <w:szCs w:val="20"/>
              </w:rPr>
              <w:t>%</w:t>
            </w:r>
          </w:p>
        </w:tc>
      </w:tr>
      <w:tr w:rsidR="002E0927" w:rsidRPr="00617833" w:rsidTr="00CB764C">
        <w:trPr>
          <w:trHeight w:val="1020"/>
          <w:jc w:val="center"/>
        </w:trPr>
        <w:tc>
          <w:tcPr>
            <w:tcW w:w="4324" w:type="dxa"/>
            <w:gridSpan w:val="2"/>
            <w:tcBorders>
              <w:top w:val="single" w:sz="8" w:space="0" w:color="auto"/>
              <w:left w:val="nil"/>
              <w:bottom w:val="single" w:sz="8" w:space="0" w:color="auto"/>
              <w:right w:val="nil"/>
            </w:tcBorders>
            <w:shd w:val="clear" w:color="auto" w:fill="auto"/>
            <w:vAlign w:val="center"/>
            <w:hideMark/>
          </w:tcPr>
          <w:p w:rsidR="002E0927" w:rsidRPr="00617833" w:rsidRDefault="002E0927">
            <w:pPr>
              <w:rPr>
                <w:rFonts w:ascii="Verdana" w:hAnsi="Verdana" w:cs="Calibri"/>
                <w:b/>
                <w:bCs/>
                <w:color w:val="000080"/>
                <w:sz w:val="20"/>
                <w:szCs w:val="20"/>
              </w:rPr>
            </w:pPr>
            <w:r w:rsidRPr="00617833">
              <w:rPr>
                <w:rFonts w:ascii="Verdana" w:hAnsi="Verdana" w:cs="Arial"/>
                <w:b/>
                <w:bCs/>
                <w:color w:val="000080"/>
                <w:sz w:val="20"/>
                <w:szCs w:val="20"/>
              </w:rPr>
              <w:t xml:space="preserve">Solicitudes de ejecución de resoluciones judiciales extranjeras no comunitarias (Exequatur) </w:t>
            </w:r>
          </w:p>
        </w:tc>
        <w:tc>
          <w:tcPr>
            <w:tcW w:w="1195" w:type="dxa"/>
            <w:tcBorders>
              <w:top w:val="nil"/>
              <w:left w:val="nil"/>
              <w:bottom w:val="single" w:sz="8" w:space="0" w:color="auto"/>
              <w:right w:val="nil"/>
            </w:tcBorders>
            <w:shd w:val="clear" w:color="auto" w:fill="auto"/>
            <w:vAlign w:val="center"/>
            <w:hideMark/>
          </w:tcPr>
          <w:p w:rsidR="002E0927" w:rsidRPr="00617833" w:rsidRDefault="0077078E">
            <w:pPr>
              <w:jc w:val="right"/>
              <w:rPr>
                <w:rFonts w:ascii="Verdana" w:hAnsi="Verdana" w:cs="Calibri"/>
                <w:sz w:val="20"/>
                <w:szCs w:val="20"/>
              </w:rPr>
            </w:pPr>
            <w:r w:rsidRPr="00617833">
              <w:rPr>
                <w:rFonts w:ascii="Verdana" w:hAnsi="Verdana" w:cs="Calibri"/>
                <w:sz w:val="20"/>
                <w:szCs w:val="20"/>
              </w:rPr>
              <w:t>179</w:t>
            </w:r>
          </w:p>
        </w:tc>
        <w:tc>
          <w:tcPr>
            <w:tcW w:w="1221" w:type="dxa"/>
            <w:tcBorders>
              <w:top w:val="nil"/>
              <w:left w:val="nil"/>
              <w:bottom w:val="single" w:sz="8" w:space="0" w:color="auto"/>
              <w:right w:val="nil"/>
            </w:tcBorders>
            <w:shd w:val="clear" w:color="auto" w:fill="auto"/>
            <w:vAlign w:val="center"/>
            <w:hideMark/>
          </w:tcPr>
          <w:p w:rsidR="0077078E" w:rsidRPr="00617833" w:rsidRDefault="0077078E" w:rsidP="0077078E">
            <w:pPr>
              <w:jc w:val="right"/>
              <w:rPr>
                <w:rFonts w:ascii="Verdana" w:hAnsi="Verdana" w:cs="Calibri"/>
                <w:sz w:val="20"/>
                <w:szCs w:val="20"/>
              </w:rPr>
            </w:pPr>
          </w:p>
          <w:p w:rsidR="0077078E" w:rsidRPr="00617833" w:rsidRDefault="0077078E" w:rsidP="0077078E">
            <w:pPr>
              <w:jc w:val="right"/>
              <w:rPr>
                <w:rFonts w:ascii="Verdana" w:hAnsi="Verdana" w:cs="Calibri"/>
                <w:sz w:val="20"/>
                <w:szCs w:val="20"/>
              </w:rPr>
            </w:pPr>
            <w:r w:rsidRPr="00617833">
              <w:rPr>
                <w:rFonts w:ascii="Verdana" w:hAnsi="Verdana" w:cs="Calibri"/>
                <w:sz w:val="20"/>
                <w:szCs w:val="20"/>
              </w:rPr>
              <w:t>-49,7%</w:t>
            </w:r>
          </w:p>
          <w:p w:rsidR="002E0927" w:rsidRPr="00617833" w:rsidRDefault="002E0927" w:rsidP="00A11599">
            <w:pPr>
              <w:jc w:val="right"/>
              <w:rPr>
                <w:rFonts w:ascii="Verdana" w:hAnsi="Verdana" w:cs="Calibri"/>
                <w:sz w:val="20"/>
                <w:szCs w:val="20"/>
              </w:rPr>
            </w:pPr>
          </w:p>
        </w:tc>
      </w:tr>
    </w:tbl>
    <w:p w:rsidR="002E0927" w:rsidRPr="00617833" w:rsidRDefault="002E0927" w:rsidP="005C1F9D">
      <w:pPr>
        <w:pStyle w:val="Textoindependiente"/>
        <w:spacing w:before="120" w:after="120"/>
        <w:ind w:firstLine="357"/>
        <w:rPr>
          <w:rFonts w:ascii="Verdana" w:hAnsi="Verdana"/>
          <w:sz w:val="20"/>
        </w:rPr>
      </w:pPr>
    </w:p>
    <w:tbl>
      <w:tblPr>
        <w:tblW w:w="5920" w:type="dxa"/>
        <w:jc w:val="center"/>
        <w:tblInd w:w="55" w:type="dxa"/>
        <w:tblCellMar>
          <w:left w:w="70" w:type="dxa"/>
          <w:right w:w="70" w:type="dxa"/>
        </w:tblCellMar>
        <w:tblLook w:val="04A0" w:firstRow="1" w:lastRow="0" w:firstColumn="1" w:lastColumn="0" w:noHBand="0" w:noVBand="1"/>
      </w:tblPr>
      <w:tblGrid>
        <w:gridCol w:w="2305"/>
        <w:gridCol w:w="1194"/>
        <w:gridCol w:w="1200"/>
        <w:gridCol w:w="1221"/>
      </w:tblGrid>
      <w:tr w:rsidR="000816EB" w:rsidRPr="00617833" w:rsidTr="00CB764C">
        <w:trPr>
          <w:trHeight w:val="780"/>
          <w:jc w:val="center"/>
        </w:trPr>
        <w:tc>
          <w:tcPr>
            <w:tcW w:w="3499" w:type="dxa"/>
            <w:gridSpan w:val="2"/>
            <w:tcBorders>
              <w:top w:val="single" w:sz="8" w:space="0" w:color="auto"/>
              <w:left w:val="nil"/>
              <w:bottom w:val="single" w:sz="8" w:space="0" w:color="000080"/>
              <w:right w:val="nil"/>
            </w:tcBorders>
            <w:shd w:val="clear" w:color="auto" w:fill="auto"/>
            <w:vAlign w:val="center"/>
            <w:hideMark/>
          </w:tcPr>
          <w:p w:rsidR="000816EB" w:rsidRPr="00617833" w:rsidRDefault="000816EB">
            <w:pPr>
              <w:jc w:val="center"/>
              <w:rPr>
                <w:rFonts w:ascii="Verdana" w:hAnsi="Verdana" w:cs="Calibri"/>
                <w:b/>
                <w:bCs/>
                <w:color w:val="000080"/>
                <w:sz w:val="20"/>
                <w:szCs w:val="20"/>
              </w:rPr>
            </w:pPr>
            <w:r w:rsidRPr="00617833">
              <w:rPr>
                <w:rFonts w:ascii="Verdana" w:hAnsi="Verdana" w:cs="Arial"/>
                <w:b/>
                <w:bCs/>
                <w:color w:val="000080"/>
                <w:sz w:val="20"/>
                <w:szCs w:val="20"/>
              </w:rPr>
              <w:t>Solicitudes de auxilio judicial internacional remitidas</w:t>
            </w:r>
          </w:p>
        </w:tc>
        <w:tc>
          <w:tcPr>
            <w:tcW w:w="1200" w:type="dxa"/>
            <w:tcBorders>
              <w:top w:val="nil"/>
              <w:left w:val="nil"/>
              <w:bottom w:val="single" w:sz="8" w:space="0" w:color="000080"/>
              <w:right w:val="nil"/>
            </w:tcBorders>
            <w:shd w:val="clear" w:color="auto" w:fill="auto"/>
            <w:vAlign w:val="center"/>
            <w:hideMark/>
          </w:tcPr>
          <w:p w:rsidR="000816EB" w:rsidRPr="00617833" w:rsidRDefault="000816EB" w:rsidP="0077078E">
            <w:pPr>
              <w:jc w:val="center"/>
              <w:rPr>
                <w:rFonts w:ascii="Verdana" w:hAnsi="Verdana" w:cs="Calibri"/>
                <w:b/>
                <w:bCs/>
                <w:color w:val="000080"/>
                <w:sz w:val="20"/>
                <w:szCs w:val="20"/>
              </w:rPr>
            </w:pPr>
            <w:r w:rsidRPr="00617833">
              <w:rPr>
                <w:rFonts w:ascii="Verdana" w:hAnsi="Verdana" w:cs="Arial"/>
                <w:b/>
                <w:bCs/>
                <w:color w:val="000080"/>
                <w:sz w:val="20"/>
                <w:szCs w:val="20"/>
              </w:rPr>
              <w:t>201</w:t>
            </w:r>
            <w:r w:rsidR="0077078E" w:rsidRPr="00617833">
              <w:rPr>
                <w:rFonts w:ascii="Verdana" w:hAnsi="Verdana" w:cs="Arial"/>
                <w:b/>
                <w:bCs/>
                <w:color w:val="000080"/>
                <w:sz w:val="20"/>
                <w:szCs w:val="20"/>
              </w:rPr>
              <w:t>7</w:t>
            </w:r>
          </w:p>
        </w:tc>
        <w:tc>
          <w:tcPr>
            <w:tcW w:w="1221" w:type="dxa"/>
            <w:tcBorders>
              <w:top w:val="nil"/>
              <w:left w:val="nil"/>
              <w:bottom w:val="single" w:sz="8" w:space="0" w:color="000080"/>
              <w:right w:val="nil"/>
            </w:tcBorders>
            <w:shd w:val="clear" w:color="auto" w:fill="auto"/>
            <w:vAlign w:val="center"/>
            <w:hideMark/>
          </w:tcPr>
          <w:p w:rsidR="000816EB" w:rsidRPr="00617833" w:rsidRDefault="000816EB" w:rsidP="00993987">
            <w:pPr>
              <w:jc w:val="center"/>
              <w:rPr>
                <w:rFonts w:ascii="Verdana" w:hAnsi="Verdana" w:cs="Calibri"/>
                <w:b/>
                <w:bCs/>
                <w:color w:val="000080"/>
                <w:sz w:val="20"/>
                <w:szCs w:val="20"/>
              </w:rPr>
            </w:pPr>
            <w:r w:rsidRPr="00617833">
              <w:rPr>
                <w:rFonts w:ascii="Verdana" w:hAnsi="Verdana" w:cs="Arial"/>
                <w:b/>
                <w:bCs/>
                <w:color w:val="000080"/>
                <w:sz w:val="20"/>
                <w:szCs w:val="20"/>
              </w:rPr>
              <w:t>Evolución respecto a 201</w:t>
            </w:r>
            <w:r w:rsidR="00993987" w:rsidRPr="00617833">
              <w:rPr>
                <w:rFonts w:ascii="Verdana" w:hAnsi="Verdana" w:cs="Arial"/>
                <w:b/>
                <w:bCs/>
                <w:color w:val="000080"/>
                <w:sz w:val="20"/>
                <w:szCs w:val="20"/>
              </w:rPr>
              <w:t>6</w:t>
            </w:r>
          </w:p>
        </w:tc>
      </w:tr>
      <w:tr w:rsidR="0077078E" w:rsidRPr="00617833" w:rsidTr="00CB764C">
        <w:trPr>
          <w:trHeight w:val="300"/>
          <w:jc w:val="center"/>
        </w:trPr>
        <w:tc>
          <w:tcPr>
            <w:tcW w:w="2305" w:type="dxa"/>
            <w:vMerge w:val="restart"/>
            <w:tcBorders>
              <w:top w:val="nil"/>
              <w:left w:val="nil"/>
              <w:bottom w:val="single" w:sz="8" w:space="0" w:color="000080"/>
              <w:right w:val="nil"/>
            </w:tcBorders>
            <w:shd w:val="clear" w:color="auto" w:fill="auto"/>
            <w:vAlign w:val="center"/>
            <w:hideMark/>
          </w:tcPr>
          <w:p w:rsidR="0077078E" w:rsidRPr="00617833" w:rsidRDefault="0077078E">
            <w:pPr>
              <w:rPr>
                <w:rFonts w:ascii="Verdana" w:hAnsi="Verdana" w:cs="Calibri"/>
                <w:color w:val="000000"/>
                <w:sz w:val="20"/>
                <w:szCs w:val="20"/>
              </w:rPr>
            </w:pPr>
            <w:r w:rsidRPr="00617833">
              <w:rPr>
                <w:rFonts w:ascii="Verdana" w:hAnsi="Verdana" w:cs="Arial"/>
                <w:color w:val="000000"/>
                <w:sz w:val="20"/>
                <w:szCs w:val="20"/>
              </w:rPr>
              <w:t>Jdos 1ª instancia y 1ª  instancia e instrucción</w:t>
            </w:r>
          </w:p>
        </w:tc>
        <w:tc>
          <w:tcPr>
            <w:tcW w:w="1194" w:type="dxa"/>
            <w:tcBorders>
              <w:top w:val="nil"/>
              <w:left w:val="nil"/>
              <w:bottom w:val="nil"/>
              <w:right w:val="nil"/>
            </w:tcBorders>
            <w:shd w:val="clear" w:color="auto" w:fill="auto"/>
            <w:vAlign w:val="center"/>
            <w:hideMark/>
          </w:tcPr>
          <w:p w:rsidR="0077078E" w:rsidRPr="00617833" w:rsidRDefault="0077078E">
            <w:pPr>
              <w:jc w:val="center"/>
              <w:rPr>
                <w:rFonts w:ascii="Verdana" w:hAnsi="Verdana" w:cs="Calibri"/>
                <w:color w:val="000000"/>
                <w:sz w:val="20"/>
                <w:szCs w:val="20"/>
              </w:rPr>
            </w:pPr>
            <w:r w:rsidRPr="00617833">
              <w:rPr>
                <w:rFonts w:ascii="Verdana" w:hAnsi="Verdana" w:cs="Arial"/>
                <w:color w:val="000000"/>
                <w:sz w:val="20"/>
                <w:szCs w:val="20"/>
              </w:rPr>
              <w:t>a U.E.</w:t>
            </w:r>
          </w:p>
        </w:tc>
        <w:tc>
          <w:tcPr>
            <w:tcW w:w="1200" w:type="dxa"/>
            <w:tcBorders>
              <w:top w:val="nil"/>
              <w:left w:val="nil"/>
              <w:bottom w:val="nil"/>
              <w:right w:val="nil"/>
            </w:tcBorders>
            <w:shd w:val="clear" w:color="auto" w:fill="auto"/>
            <w:noWrap/>
            <w:vAlign w:val="center"/>
            <w:hideMark/>
          </w:tcPr>
          <w:p w:rsidR="0077078E" w:rsidRPr="00617833" w:rsidRDefault="0077078E" w:rsidP="00CA3134">
            <w:pPr>
              <w:jc w:val="right"/>
              <w:rPr>
                <w:rFonts w:ascii="Verdana" w:hAnsi="Verdana" w:cs="Calibri"/>
                <w:sz w:val="20"/>
                <w:szCs w:val="20"/>
              </w:rPr>
            </w:pPr>
            <w:r w:rsidRPr="00617833">
              <w:rPr>
                <w:rFonts w:ascii="Verdana" w:hAnsi="Verdana" w:cs="Calibri"/>
                <w:sz w:val="20"/>
                <w:szCs w:val="20"/>
              </w:rPr>
              <w:t>959</w:t>
            </w:r>
          </w:p>
        </w:tc>
        <w:tc>
          <w:tcPr>
            <w:tcW w:w="1221" w:type="dxa"/>
            <w:tcBorders>
              <w:top w:val="nil"/>
              <w:left w:val="nil"/>
              <w:bottom w:val="nil"/>
              <w:right w:val="nil"/>
            </w:tcBorders>
            <w:shd w:val="clear" w:color="auto" w:fill="auto"/>
            <w:vAlign w:val="center"/>
            <w:hideMark/>
          </w:tcPr>
          <w:p w:rsidR="0077078E" w:rsidRPr="00617833" w:rsidRDefault="0077078E">
            <w:pPr>
              <w:jc w:val="right"/>
              <w:rPr>
                <w:rFonts w:ascii="Verdana" w:hAnsi="Verdana" w:cs="Calibri"/>
                <w:color w:val="000000"/>
                <w:sz w:val="20"/>
                <w:szCs w:val="20"/>
              </w:rPr>
            </w:pPr>
            <w:r w:rsidRPr="00617833">
              <w:rPr>
                <w:rFonts w:ascii="Verdana" w:hAnsi="Verdana" w:cs="Calibri"/>
                <w:color w:val="000000"/>
                <w:sz w:val="20"/>
                <w:szCs w:val="20"/>
              </w:rPr>
              <w:t>-5,3%</w:t>
            </w:r>
          </w:p>
        </w:tc>
      </w:tr>
      <w:tr w:rsidR="0077078E" w:rsidRPr="00617833" w:rsidTr="00CB764C">
        <w:trPr>
          <w:trHeight w:val="585"/>
          <w:jc w:val="center"/>
        </w:trPr>
        <w:tc>
          <w:tcPr>
            <w:tcW w:w="2305" w:type="dxa"/>
            <w:vMerge/>
            <w:tcBorders>
              <w:top w:val="nil"/>
              <w:left w:val="nil"/>
              <w:bottom w:val="single" w:sz="8" w:space="0" w:color="000080"/>
              <w:right w:val="nil"/>
            </w:tcBorders>
            <w:vAlign w:val="center"/>
            <w:hideMark/>
          </w:tcPr>
          <w:p w:rsidR="0077078E" w:rsidRPr="00617833" w:rsidRDefault="0077078E">
            <w:pPr>
              <w:rPr>
                <w:rFonts w:ascii="Verdana" w:hAnsi="Verdana" w:cs="Calibri"/>
                <w:color w:val="000000"/>
                <w:sz w:val="20"/>
                <w:szCs w:val="20"/>
              </w:rPr>
            </w:pPr>
          </w:p>
        </w:tc>
        <w:tc>
          <w:tcPr>
            <w:tcW w:w="1194" w:type="dxa"/>
            <w:tcBorders>
              <w:top w:val="nil"/>
              <w:left w:val="nil"/>
              <w:bottom w:val="single" w:sz="8" w:space="0" w:color="000080"/>
              <w:right w:val="nil"/>
            </w:tcBorders>
            <w:shd w:val="clear" w:color="auto" w:fill="auto"/>
            <w:vAlign w:val="center"/>
            <w:hideMark/>
          </w:tcPr>
          <w:p w:rsidR="0077078E" w:rsidRPr="00617833" w:rsidRDefault="00097707">
            <w:pPr>
              <w:jc w:val="center"/>
              <w:rPr>
                <w:rFonts w:ascii="Verdana" w:hAnsi="Verdana" w:cs="Calibri"/>
                <w:color w:val="000000"/>
                <w:sz w:val="20"/>
                <w:szCs w:val="20"/>
              </w:rPr>
            </w:pPr>
            <w:r w:rsidRPr="00617833">
              <w:rPr>
                <w:rFonts w:ascii="Verdana" w:hAnsi="Verdana" w:cs="Arial"/>
                <w:color w:val="000000"/>
                <w:sz w:val="20"/>
                <w:szCs w:val="20"/>
              </w:rPr>
              <w:t>al</w:t>
            </w:r>
            <w:r w:rsidR="0077078E" w:rsidRPr="00617833">
              <w:rPr>
                <w:rFonts w:ascii="Verdana" w:hAnsi="Verdana" w:cs="Arial"/>
                <w:color w:val="000000"/>
                <w:sz w:val="20"/>
                <w:szCs w:val="20"/>
              </w:rPr>
              <w:t xml:space="preserve"> resto países</w:t>
            </w:r>
          </w:p>
        </w:tc>
        <w:tc>
          <w:tcPr>
            <w:tcW w:w="1200" w:type="dxa"/>
            <w:tcBorders>
              <w:top w:val="nil"/>
              <w:left w:val="nil"/>
              <w:bottom w:val="single" w:sz="8" w:space="0" w:color="000080"/>
              <w:right w:val="nil"/>
            </w:tcBorders>
            <w:shd w:val="clear" w:color="auto" w:fill="auto"/>
            <w:noWrap/>
            <w:vAlign w:val="center"/>
            <w:hideMark/>
          </w:tcPr>
          <w:p w:rsidR="0077078E" w:rsidRPr="00617833" w:rsidRDefault="0077078E" w:rsidP="00CA3134">
            <w:pPr>
              <w:jc w:val="right"/>
              <w:rPr>
                <w:rFonts w:ascii="Verdana" w:hAnsi="Verdana" w:cs="Calibri"/>
                <w:sz w:val="20"/>
                <w:szCs w:val="20"/>
              </w:rPr>
            </w:pPr>
            <w:r w:rsidRPr="00617833">
              <w:rPr>
                <w:rFonts w:ascii="Verdana" w:hAnsi="Verdana" w:cs="Calibri"/>
                <w:sz w:val="20"/>
                <w:szCs w:val="20"/>
              </w:rPr>
              <w:t>778</w:t>
            </w:r>
          </w:p>
        </w:tc>
        <w:tc>
          <w:tcPr>
            <w:tcW w:w="1221" w:type="dxa"/>
            <w:tcBorders>
              <w:top w:val="nil"/>
              <w:left w:val="nil"/>
              <w:bottom w:val="single" w:sz="8" w:space="0" w:color="000080"/>
              <w:right w:val="nil"/>
            </w:tcBorders>
            <w:shd w:val="clear" w:color="auto" w:fill="auto"/>
            <w:vAlign w:val="center"/>
            <w:hideMark/>
          </w:tcPr>
          <w:p w:rsidR="0077078E" w:rsidRPr="00617833" w:rsidRDefault="0077078E">
            <w:pPr>
              <w:jc w:val="right"/>
              <w:rPr>
                <w:rFonts w:ascii="Verdana" w:hAnsi="Verdana" w:cs="Calibri"/>
                <w:color w:val="000000"/>
                <w:sz w:val="20"/>
                <w:szCs w:val="20"/>
              </w:rPr>
            </w:pPr>
            <w:r w:rsidRPr="00617833">
              <w:rPr>
                <w:rFonts w:ascii="Verdana" w:hAnsi="Verdana" w:cs="Calibri"/>
                <w:color w:val="000000"/>
                <w:sz w:val="20"/>
                <w:szCs w:val="20"/>
              </w:rPr>
              <w:t>-43,2%</w:t>
            </w:r>
          </w:p>
        </w:tc>
      </w:tr>
      <w:tr w:rsidR="0077078E" w:rsidRPr="00617833" w:rsidTr="00CB764C">
        <w:trPr>
          <w:trHeight w:val="300"/>
          <w:jc w:val="center"/>
        </w:trPr>
        <w:tc>
          <w:tcPr>
            <w:tcW w:w="2305" w:type="dxa"/>
            <w:vMerge w:val="restart"/>
            <w:tcBorders>
              <w:top w:val="nil"/>
              <w:left w:val="nil"/>
              <w:bottom w:val="single" w:sz="8" w:space="0" w:color="000080"/>
              <w:right w:val="nil"/>
            </w:tcBorders>
            <w:shd w:val="clear" w:color="auto" w:fill="auto"/>
            <w:vAlign w:val="center"/>
            <w:hideMark/>
          </w:tcPr>
          <w:p w:rsidR="0077078E" w:rsidRPr="00617833" w:rsidRDefault="0077078E">
            <w:pPr>
              <w:rPr>
                <w:rFonts w:ascii="Verdana" w:hAnsi="Verdana" w:cs="Calibri"/>
                <w:color w:val="000000"/>
                <w:sz w:val="20"/>
                <w:szCs w:val="20"/>
              </w:rPr>
            </w:pPr>
            <w:r w:rsidRPr="00617833">
              <w:rPr>
                <w:rFonts w:ascii="Verdana" w:hAnsi="Verdana" w:cs="Arial"/>
                <w:color w:val="000000"/>
                <w:sz w:val="20"/>
                <w:szCs w:val="20"/>
              </w:rPr>
              <w:t>Jdos. de lo Mercantil</w:t>
            </w:r>
          </w:p>
        </w:tc>
        <w:tc>
          <w:tcPr>
            <w:tcW w:w="1194" w:type="dxa"/>
            <w:tcBorders>
              <w:top w:val="nil"/>
              <w:left w:val="nil"/>
              <w:bottom w:val="nil"/>
              <w:right w:val="nil"/>
            </w:tcBorders>
            <w:shd w:val="clear" w:color="auto" w:fill="auto"/>
            <w:vAlign w:val="center"/>
            <w:hideMark/>
          </w:tcPr>
          <w:p w:rsidR="0077078E" w:rsidRPr="00617833" w:rsidRDefault="0077078E">
            <w:pPr>
              <w:jc w:val="center"/>
              <w:rPr>
                <w:rFonts w:ascii="Verdana" w:hAnsi="Verdana" w:cs="Calibri"/>
                <w:color w:val="000000"/>
                <w:sz w:val="20"/>
                <w:szCs w:val="20"/>
              </w:rPr>
            </w:pPr>
            <w:r w:rsidRPr="00617833">
              <w:rPr>
                <w:rFonts w:ascii="Verdana" w:hAnsi="Verdana" w:cs="Arial"/>
                <w:color w:val="000000"/>
                <w:sz w:val="20"/>
                <w:szCs w:val="20"/>
              </w:rPr>
              <w:t>a U.E.</w:t>
            </w:r>
          </w:p>
        </w:tc>
        <w:tc>
          <w:tcPr>
            <w:tcW w:w="1200" w:type="dxa"/>
            <w:tcBorders>
              <w:top w:val="nil"/>
              <w:left w:val="nil"/>
              <w:bottom w:val="nil"/>
              <w:right w:val="nil"/>
            </w:tcBorders>
            <w:shd w:val="clear" w:color="auto" w:fill="auto"/>
            <w:noWrap/>
            <w:vAlign w:val="center"/>
            <w:hideMark/>
          </w:tcPr>
          <w:p w:rsidR="0077078E" w:rsidRPr="00617833" w:rsidRDefault="0077078E">
            <w:pPr>
              <w:jc w:val="right"/>
              <w:rPr>
                <w:rFonts w:ascii="Verdana" w:hAnsi="Verdana" w:cs="Calibri"/>
                <w:sz w:val="20"/>
                <w:szCs w:val="20"/>
              </w:rPr>
            </w:pPr>
            <w:r w:rsidRPr="00617833">
              <w:rPr>
                <w:rFonts w:ascii="Verdana" w:hAnsi="Verdana" w:cs="Calibri"/>
                <w:sz w:val="20"/>
                <w:szCs w:val="20"/>
              </w:rPr>
              <w:t>98</w:t>
            </w:r>
          </w:p>
        </w:tc>
        <w:tc>
          <w:tcPr>
            <w:tcW w:w="1221" w:type="dxa"/>
            <w:tcBorders>
              <w:top w:val="nil"/>
              <w:left w:val="nil"/>
              <w:bottom w:val="nil"/>
              <w:right w:val="nil"/>
            </w:tcBorders>
            <w:shd w:val="clear" w:color="auto" w:fill="auto"/>
            <w:vAlign w:val="center"/>
            <w:hideMark/>
          </w:tcPr>
          <w:p w:rsidR="0077078E" w:rsidRPr="00617833" w:rsidRDefault="0077078E">
            <w:pPr>
              <w:jc w:val="right"/>
              <w:rPr>
                <w:rFonts w:ascii="Verdana" w:hAnsi="Verdana" w:cs="Calibri"/>
                <w:color w:val="000000"/>
                <w:sz w:val="20"/>
                <w:szCs w:val="20"/>
              </w:rPr>
            </w:pPr>
            <w:r w:rsidRPr="00617833">
              <w:rPr>
                <w:rFonts w:ascii="Verdana" w:hAnsi="Verdana" w:cs="Calibri"/>
                <w:color w:val="000000"/>
                <w:sz w:val="20"/>
                <w:szCs w:val="20"/>
              </w:rPr>
              <w:t>-1,0%</w:t>
            </w:r>
          </w:p>
        </w:tc>
      </w:tr>
      <w:tr w:rsidR="0077078E" w:rsidRPr="00617833" w:rsidTr="00CB764C">
        <w:trPr>
          <w:trHeight w:val="585"/>
          <w:jc w:val="center"/>
        </w:trPr>
        <w:tc>
          <w:tcPr>
            <w:tcW w:w="2305" w:type="dxa"/>
            <w:vMerge/>
            <w:tcBorders>
              <w:top w:val="nil"/>
              <w:left w:val="nil"/>
              <w:bottom w:val="single" w:sz="8" w:space="0" w:color="000080"/>
              <w:right w:val="nil"/>
            </w:tcBorders>
            <w:vAlign w:val="center"/>
            <w:hideMark/>
          </w:tcPr>
          <w:p w:rsidR="0077078E" w:rsidRPr="00617833" w:rsidRDefault="0077078E">
            <w:pPr>
              <w:rPr>
                <w:rFonts w:ascii="Verdana" w:hAnsi="Verdana" w:cs="Calibri"/>
                <w:color w:val="000000"/>
                <w:sz w:val="20"/>
                <w:szCs w:val="20"/>
              </w:rPr>
            </w:pPr>
          </w:p>
        </w:tc>
        <w:tc>
          <w:tcPr>
            <w:tcW w:w="1194" w:type="dxa"/>
            <w:tcBorders>
              <w:top w:val="nil"/>
              <w:left w:val="nil"/>
              <w:bottom w:val="single" w:sz="8" w:space="0" w:color="000080"/>
              <w:right w:val="nil"/>
            </w:tcBorders>
            <w:shd w:val="clear" w:color="auto" w:fill="auto"/>
            <w:vAlign w:val="center"/>
            <w:hideMark/>
          </w:tcPr>
          <w:p w:rsidR="0077078E" w:rsidRPr="00617833" w:rsidRDefault="00097707">
            <w:pPr>
              <w:jc w:val="center"/>
              <w:rPr>
                <w:rFonts w:ascii="Verdana" w:hAnsi="Verdana" w:cs="Calibri"/>
                <w:color w:val="000000"/>
                <w:sz w:val="20"/>
                <w:szCs w:val="20"/>
              </w:rPr>
            </w:pPr>
            <w:r w:rsidRPr="00617833">
              <w:rPr>
                <w:rFonts w:ascii="Verdana" w:hAnsi="Verdana" w:cs="Arial"/>
                <w:color w:val="000000"/>
                <w:sz w:val="20"/>
                <w:szCs w:val="20"/>
              </w:rPr>
              <w:t>al</w:t>
            </w:r>
            <w:r w:rsidR="0077078E" w:rsidRPr="00617833">
              <w:rPr>
                <w:rFonts w:ascii="Verdana" w:hAnsi="Verdana" w:cs="Arial"/>
                <w:color w:val="000000"/>
                <w:sz w:val="20"/>
                <w:szCs w:val="20"/>
              </w:rPr>
              <w:t xml:space="preserve"> resto países</w:t>
            </w:r>
          </w:p>
        </w:tc>
        <w:tc>
          <w:tcPr>
            <w:tcW w:w="1200" w:type="dxa"/>
            <w:tcBorders>
              <w:top w:val="nil"/>
              <w:left w:val="nil"/>
              <w:bottom w:val="single" w:sz="8" w:space="0" w:color="000080"/>
              <w:right w:val="nil"/>
            </w:tcBorders>
            <w:shd w:val="clear" w:color="auto" w:fill="auto"/>
            <w:noWrap/>
            <w:vAlign w:val="center"/>
            <w:hideMark/>
          </w:tcPr>
          <w:p w:rsidR="0077078E" w:rsidRPr="00617833" w:rsidRDefault="0077078E" w:rsidP="0077078E">
            <w:pPr>
              <w:jc w:val="right"/>
              <w:rPr>
                <w:rFonts w:ascii="Verdana" w:hAnsi="Verdana" w:cs="Calibri"/>
                <w:sz w:val="20"/>
                <w:szCs w:val="20"/>
              </w:rPr>
            </w:pPr>
            <w:r w:rsidRPr="00617833">
              <w:rPr>
                <w:rFonts w:ascii="Verdana" w:hAnsi="Verdana" w:cs="Calibri"/>
                <w:sz w:val="20"/>
                <w:szCs w:val="20"/>
              </w:rPr>
              <w:t>116</w:t>
            </w:r>
          </w:p>
        </w:tc>
        <w:tc>
          <w:tcPr>
            <w:tcW w:w="1221" w:type="dxa"/>
            <w:tcBorders>
              <w:top w:val="nil"/>
              <w:left w:val="nil"/>
              <w:bottom w:val="single" w:sz="8" w:space="0" w:color="000080"/>
              <w:right w:val="nil"/>
            </w:tcBorders>
            <w:shd w:val="clear" w:color="auto" w:fill="auto"/>
            <w:vAlign w:val="center"/>
            <w:hideMark/>
          </w:tcPr>
          <w:p w:rsidR="0077078E" w:rsidRPr="00617833" w:rsidRDefault="0077078E">
            <w:pPr>
              <w:jc w:val="right"/>
              <w:rPr>
                <w:rFonts w:ascii="Verdana" w:hAnsi="Verdana" w:cs="Calibri"/>
                <w:color w:val="000000"/>
                <w:sz w:val="20"/>
                <w:szCs w:val="20"/>
              </w:rPr>
            </w:pPr>
            <w:r w:rsidRPr="00617833">
              <w:rPr>
                <w:rFonts w:ascii="Verdana" w:hAnsi="Verdana" w:cs="Calibri"/>
                <w:color w:val="000000"/>
                <w:sz w:val="20"/>
                <w:szCs w:val="20"/>
              </w:rPr>
              <w:t>-22,1%</w:t>
            </w:r>
          </w:p>
        </w:tc>
      </w:tr>
    </w:tbl>
    <w:p w:rsidR="007A4BFF" w:rsidRPr="00617833" w:rsidRDefault="007A4BFF" w:rsidP="007A4BFF">
      <w:pPr>
        <w:pStyle w:val="Textoindependiente"/>
        <w:spacing w:before="120" w:after="120"/>
        <w:ind w:firstLine="357"/>
        <w:rPr>
          <w:rFonts w:ascii="Verdana" w:hAnsi="Verdana"/>
          <w:sz w:val="20"/>
        </w:rPr>
      </w:pPr>
      <w:r w:rsidRPr="00617833">
        <w:rPr>
          <w:rFonts w:ascii="Verdana" w:hAnsi="Verdana"/>
          <w:sz w:val="20"/>
        </w:rPr>
        <w:t xml:space="preserve">Respecto a los Certificados de Título Ejecutivo Europeo para créditos no impugnados (Rgl. C.E. 805/04) se han solicitado </w:t>
      </w:r>
      <w:r w:rsidR="003028E0" w:rsidRPr="00617833">
        <w:rPr>
          <w:rFonts w:ascii="Verdana" w:hAnsi="Verdana"/>
          <w:sz w:val="20"/>
        </w:rPr>
        <w:t>51</w:t>
      </w:r>
      <w:r w:rsidRPr="00617833">
        <w:rPr>
          <w:rFonts w:ascii="Verdana" w:hAnsi="Verdana"/>
          <w:sz w:val="20"/>
        </w:rPr>
        <w:t xml:space="preserve">, expedido </w:t>
      </w:r>
      <w:r w:rsidR="003028E0" w:rsidRPr="00617833">
        <w:rPr>
          <w:rFonts w:ascii="Verdana" w:hAnsi="Verdana"/>
          <w:sz w:val="20"/>
        </w:rPr>
        <w:t>51</w:t>
      </w:r>
      <w:r w:rsidRPr="00617833">
        <w:rPr>
          <w:rFonts w:ascii="Verdana" w:hAnsi="Verdana"/>
          <w:sz w:val="20"/>
        </w:rPr>
        <w:t xml:space="preserve"> y denegado </w:t>
      </w:r>
      <w:r w:rsidR="003028E0" w:rsidRPr="00617833">
        <w:rPr>
          <w:rFonts w:ascii="Verdana" w:hAnsi="Verdana"/>
          <w:sz w:val="20"/>
        </w:rPr>
        <w:t>2</w:t>
      </w:r>
      <w:r w:rsidR="00FC2BA5" w:rsidRPr="00617833">
        <w:rPr>
          <w:rFonts w:ascii="Verdana" w:hAnsi="Verdana"/>
          <w:sz w:val="20"/>
        </w:rPr>
        <w:t>, en los juzgados de primera instancia</w:t>
      </w:r>
      <w:r w:rsidR="00CA3134" w:rsidRPr="00617833">
        <w:rPr>
          <w:rFonts w:ascii="Verdana" w:hAnsi="Verdana"/>
          <w:sz w:val="20"/>
        </w:rPr>
        <w:t xml:space="preserve">, y solicitado y expedido 2 en los juzgados de </w:t>
      </w:r>
      <w:r w:rsidR="006A1CEA" w:rsidRPr="00617833">
        <w:rPr>
          <w:rFonts w:ascii="Verdana" w:hAnsi="Verdana"/>
          <w:sz w:val="20"/>
        </w:rPr>
        <w:t>lo</w:t>
      </w:r>
      <w:r w:rsidR="00CA3134" w:rsidRPr="00617833">
        <w:rPr>
          <w:rFonts w:ascii="Verdana" w:hAnsi="Verdana"/>
          <w:sz w:val="20"/>
        </w:rPr>
        <w:t xml:space="preserve"> mercantil</w:t>
      </w:r>
      <w:r w:rsidRPr="00617833">
        <w:rPr>
          <w:rFonts w:ascii="Verdana" w:hAnsi="Verdana"/>
          <w:sz w:val="20"/>
        </w:rPr>
        <w:t xml:space="preserve">. </w:t>
      </w:r>
    </w:p>
    <w:p w:rsidR="0062682F" w:rsidRPr="00617833" w:rsidRDefault="0062682F" w:rsidP="007A4BFF">
      <w:pPr>
        <w:pStyle w:val="Textoindependiente"/>
        <w:spacing w:before="120" w:after="120"/>
        <w:ind w:firstLine="357"/>
        <w:rPr>
          <w:rFonts w:ascii="Verdana" w:hAnsi="Verdana"/>
          <w:sz w:val="20"/>
        </w:rPr>
      </w:pPr>
    </w:p>
    <w:p w:rsidR="001B4EE3" w:rsidRPr="00617833" w:rsidRDefault="001B4EE3">
      <w:pPr>
        <w:pStyle w:val="Ttulo2"/>
        <w:numPr>
          <w:ilvl w:val="1"/>
          <w:numId w:val="4"/>
        </w:numPr>
        <w:rPr>
          <w:rFonts w:ascii="Verdana" w:hAnsi="Verdana"/>
          <w:color w:val="333399"/>
        </w:rPr>
      </w:pPr>
      <w:r w:rsidRPr="00617833">
        <w:rPr>
          <w:rFonts w:ascii="Verdana" w:hAnsi="Verdana"/>
          <w:color w:val="333399"/>
        </w:rPr>
        <w:lastRenderedPageBreak/>
        <w:t xml:space="preserve"> </w:t>
      </w:r>
      <w:r w:rsidR="00730B87" w:rsidRPr="00617833">
        <w:rPr>
          <w:rFonts w:ascii="Verdana" w:hAnsi="Verdana"/>
          <w:color w:val="333399"/>
        </w:rPr>
        <w:t xml:space="preserve">2.2   </w:t>
      </w:r>
      <w:r w:rsidRPr="00617833">
        <w:rPr>
          <w:rFonts w:ascii="Verdana" w:hAnsi="Verdana"/>
          <w:color w:val="333399"/>
        </w:rPr>
        <w:t>Terminación por  Sentencia</w:t>
      </w:r>
    </w:p>
    <w:p w:rsidR="001B4EE3" w:rsidRPr="00617833" w:rsidRDefault="00D64978">
      <w:pPr>
        <w:pStyle w:val="Textoindependiente"/>
        <w:spacing w:before="120" w:after="120"/>
        <w:ind w:firstLine="357"/>
        <w:rPr>
          <w:rFonts w:ascii="Verdana" w:hAnsi="Verdana"/>
          <w:sz w:val="20"/>
        </w:rPr>
      </w:pPr>
      <w:r w:rsidRPr="00617833">
        <w:rPr>
          <w:rFonts w:ascii="Verdana" w:hAnsi="Verdana"/>
          <w:sz w:val="20"/>
        </w:rPr>
        <w:t xml:space="preserve">En </w:t>
      </w:r>
      <w:r w:rsidR="00FE25D7" w:rsidRPr="00617833">
        <w:rPr>
          <w:rFonts w:ascii="Verdana" w:hAnsi="Verdana"/>
          <w:sz w:val="20"/>
        </w:rPr>
        <w:t>la</w:t>
      </w:r>
      <w:r w:rsidRPr="00617833">
        <w:rPr>
          <w:rFonts w:ascii="Verdana" w:hAnsi="Verdana"/>
          <w:sz w:val="20"/>
        </w:rPr>
        <w:t xml:space="preserve"> jurisdicción se han dictado </w:t>
      </w:r>
      <w:r w:rsidR="0062682F" w:rsidRPr="00617833">
        <w:rPr>
          <w:rFonts w:ascii="Verdana" w:hAnsi="Verdana"/>
          <w:sz w:val="20"/>
        </w:rPr>
        <w:t>526</w:t>
      </w:r>
      <w:r w:rsidR="005907E3" w:rsidRPr="00617833">
        <w:rPr>
          <w:rFonts w:ascii="Verdana" w:hAnsi="Verdana"/>
          <w:sz w:val="20"/>
        </w:rPr>
        <w:t>.</w:t>
      </w:r>
      <w:r w:rsidR="0062682F" w:rsidRPr="00617833">
        <w:rPr>
          <w:rFonts w:ascii="Verdana" w:hAnsi="Verdana"/>
          <w:sz w:val="20"/>
        </w:rPr>
        <w:t>551</w:t>
      </w:r>
      <w:r w:rsidRPr="00617833">
        <w:rPr>
          <w:rFonts w:ascii="Verdana" w:hAnsi="Verdana"/>
          <w:sz w:val="20"/>
        </w:rPr>
        <w:t xml:space="preserve"> sentencias, </w:t>
      </w:r>
      <w:r w:rsidR="00F975A0" w:rsidRPr="00617833">
        <w:rPr>
          <w:rFonts w:ascii="Verdana" w:hAnsi="Verdana"/>
          <w:sz w:val="20"/>
        </w:rPr>
        <w:t>un</w:t>
      </w:r>
      <w:r w:rsidR="0034377D" w:rsidRPr="00617833">
        <w:rPr>
          <w:rFonts w:ascii="Verdana" w:hAnsi="Verdana"/>
          <w:sz w:val="20"/>
        </w:rPr>
        <w:t xml:space="preserve"> </w:t>
      </w:r>
      <w:r w:rsidR="0062682F" w:rsidRPr="00617833">
        <w:rPr>
          <w:rFonts w:ascii="Verdana" w:hAnsi="Verdana"/>
          <w:sz w:val="20"/>
        </w:rPr>
        <w:t>1</w:t>
      </w:r>
      <w:r w:rsidR="00B94B96" w:rsidRPr="00617833">
        <w:rPr>
          <w:rFonts w:ascii="Verdana" w:hAnsi="Verdana"/>
          <w:sz w:val="20"/>
        </w:rPr>
        <w:t>,</w:t>
      </w:r>
      <w:r w:rsidR="0062682F" w:rsidRPr="00617833">
        <w:rPr>
          <w:rFonts w:ascii="Verdana" w:hAnsi="Verdana"/>
          <w:sz w:val="20"/>
        </w:rPr>
        <w:t>5</w:t>
      </w:r>
      <w:r w:rsidR="0034377D" w:rsidRPr="00617833">
        <w:rPr>
          <w:rFonts w:ascii="Verdana" w:hAnsi="Verdana"/>
          <w:sz w:val="20"/>
        </w:rPr>
        <w:t>%</w:t>
      </w:r>
      <w:r w:rsidR="00F975A0" w:rsidRPr="00617833">
        <w:rPr>
          <w:rFonts w:ascii="Verdana" w:hAnsi="Verdana"/>
          <w:sz w:val="20"/>
        </w:rPr>
        <w:t xml:space="preserve"> </w:t>
      </w:r>
      <w:r w:rsidR="0010693B" w:rsidRPr="00617833">
        <w:rPr>
          <w:rFonts w:ascii="Verdana" w:hAnsi="Verdana"/>
          <w:sz w:val="20"/>
        </w:rPr>
        <w:t>más</w:t>
      </w:r>
      <w:r w:rsidR="00260980" w:rsidRPr="00617833">
        <w:rPr>
          <w:rFonts w:ascii="Verdana" w:hAnsi="Verdana"/>
          <w:sz w:val="20"/>
        </w:rPr>
        <w:t xml:space="preserve"> que las dictadas en 201</w:t>
      </w:r>
      <w:r w:rsidR="0062682F" w:rsidRPr="00617833">
        <w:rPr>
          <w:rFonts w:ascii="Verdana" w:hAnsi="Verdana"/>
          <w:sz w:val="20"/>
        </w:rPr>
        <w:t>6</w:t>
      </w:r>
      <w:r w:rsidR="003E24F9" w:rsidRPr="00617833">
        <w:rPr>
          <w:rFonts w:ascii="Verdana" w:hAnsi="Verdana"/>
          <w:sz w:val="20"/>
        </w:rPr>
        <w:t xml:space="preserve">. </w:t>
      </w:r>
    </w:p>
    <w:p w:rsidR="00ED0545" w:rsidRPr="00617833" w:rsidRDefault="0064679E" w:rsidP="00ED0545">
      <w:pPr>
        <w:pStyle w:val="Textoindependiente"/>
        <w:spacing w:before="120" w:after="120"/>
        <w:ind w:firstLine="357"/>
        <w:jc w:val="center"/>
        <w:rPr>
          <w:rFonts w:ascii="Verdana" w:hAnsi="Verdana"/>
          <w:sz w:val="20"/>
        </w:rPr>
      </w:pPr>
      <w:r w:rsidRPr="00617833">
        <w:rPr>
          <w:noProof/>
        </w:rPr>
        <w:drawing>
          <wp:inline distT="0" distB="0" distL="0" distR="0" wp14:anchorId="37EB7C90" wp14:editId="6016774D">
            <wp:extent cx="5191125" cy="3362325"/>
            <wp:effectExtent l="0" t="0" r="9525" b="9525"/>
            <wp:docPr id="1066" name="Gráfico 10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F2E50" w:rsidRPr="00617833" w:rsidRDefault="004F2E50" w:rsidP="004F2E50">
      <w:pPr>
        <w:pStyle w:val="Textoindependiente"/>
        <w:spacing w:before="120" w:after="120"/>
        <w:ind w:firstLine="357"/>
        <w:rPr>
          <w:rFonts w:ascii="Verdana" w:hAnsi="Verdana"/>
          <w:sz w:val="20"/>
        </w:rPr>
      </w:pPr>
      <w:r w:rsidRPr="00617833">
        <w:rPr>
          <w:rFonts w:ascii="Verdana" w:hAnsi="Verdana"/>
          <w:sz w:val="20"/>
        </w:rPr>
        <w:tab/>
      </w:r>
    </w:p>
    <w:p w:rsidR="004F2E50" w:rsidRPr="00617833" w:rsidRDefault="004F2E50" w:rsidP="004F2E50">
      <w:pPr>
        <w:pStyle w:val="Textoindependiente"/>
        <w:spacing w:before="120" w:after="120"/>
        <w:ind w:firstLine="357"/>
        <w:rPr>
          <w:rFonts w:ascii="Verdana" w:hAnsi="Verdana"/>
          <w:sz w:val="20"/>
        </w:rPr>
      </w:pPr>
      <w:r w:rsidRPr="00617833">
        <w:rPr>
          <w:rFonts w:ascii="Verdana" w:hAnsi="Verdana"/>
          <w:sz w:val="20"/>
        </w:rPr>
        <w:t>Las sentencias dictadas en los órganos de esta jurisdicción se reparten  de la siguiente forma:</w:t>
      </w:r>
    </w:p>
    <w:tbl>
      <w:tblPr>
        <w:tblW w:w="4200" w:type="dxa"/>
        <w:jc w:val="center"/>
        <w:tblInd w:w="55" w:type="dxa"/>
        <w:tblCellMar>
          <w:left w:w="70" w:type="dxa"/>
          <w:right w:w="70" w:type="dxa"/>
        </w:tblCellMar>
        <w:tblLook w:val="04A0" w:firstRow="1" w:lastRow="0" w:firstColumn="1" w:lastColumn="0" w:noHBand="0" w:noVBand="1"/>
      </w:tblPr>
      <w:tblGrid>
        <w:gridCol w:w="2740"/>
        <w:gridCol w:w="1460"/>
      </w:tblGrid>
      <w:tr w:rsidR="0064679E" w:rsidRPr="00617833" w:rsidTr="0064679E">
        <w:trPr>
          <w:trHeight w:val="315"/>
          <w:jc w:val="center"/>
        </w:trPr>
        <w:tc>
          <w:tcPr>
            <w:tcW w:w="2740" w:type="dxa"/>
            <w:tcBorders>
              <w:top w:val="nil"/>
              <w:left w:val="nil"/>
              <w:bottom w:val="single" w:sz="8" w:space="0" w:color="auto"/>
              <w:right w:val="nil"/>
            </w:tcBorders>
            <w:shd w:val="clear" w:color="auto" w:fill="auto"/>
            <w:vAlign w:val="center"/>
            <w:hideMark/>
          </w:tcPr>
          <w:p w:rsidR="0064679E" w:rsidRPr="00617833" w:rsidRDefault="0064679E">
            <w:pPr>
              <w:jc w:val="center"/>
              <w:rPr>
                <w:rFonts w:ascii="Verdana" w:hAnsi="Verdana" w:cs="Calibri"/>
                <w:b/>
                <w:bCs/>
                <w:color w:val="000080"/>
                <w:sz w:val="20"/>
                <w:szCs w:val="20"/>
              </w:rPr>
            </w:pPr>
            <w:r w:rsidRPr="00617833">
              <w:rPr>
                <w:rFonts w:ascii="Verdana" w:hAnsi="Verdana" w:cs="Arial"/>
                <w:b/>
                <w:bCs/>
                <w:color w:val="000080"/>
                <w:sz w:val="20"/>
                <w:szCs w:val="20"/>
              </w:rPr>
              <w:t> </w:t>
            </w:r>
          </w:p>
        </w:tc>
        <w:tc>
          <w:tcPr>
            <w:tcW w:w="1460" w:type="dxa"/>
            <w:tcBorders>
              <w:top w:val="single" w:sz="8" w:space="0" w:color="auto"/>
              <w:left w:val="nil"/>
              <w:bottom w:val="single" w:sz="8" w:space="0" w:color="auto"/>
              <w:right w:val="nil"/>
            </w:tcBorders>
            <w:shd w:val="clear" w:color="auto" w:fill="auto"/>
            <w:vAlign w:val="center"/>
            <w:hideMark/>
          </w:tcPr>
          <w:p w:rsidR="0064679E" w:rsidRPr="00617833" w:rsidRDefault="0064679E">
            <w:pPr>
              <w:jc w:val="center"/>
              <w:rPr>
                <w:rFonts w:ascii="Verdana" w:hAnsi="Verdana" w:cs="Calibri"/>
                <w:b/>
                <w:bCs/>
                <w:color w:val="000080"/>
                <w:sz w:val="18"/>
                <w:szCs w:val="18"/>
              </w:rPr>
            </w:pPr>
            <w:r w:rsidRPr="00617833">
              <w:rPr>
                <w:rFonts w:ascii="Verdana" w:hAnsi="Verdana" w:cs="Arial"/>
                <w:b/>
                <w:bCs/>
                <w:color w:val="000080"/>
                <w:sz w:val="18"/>
                <w:szCs w:val="18"/>
              </w:rPr>
              <w:t>Sentencias</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 xml:space="preserve">Jdos. 1ª Instancia   </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200.540</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Jdos. de lo Mercantil</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22.667</w:t>
            </w:r>
          </w:p>
        </w:tc>
      </w:tr>
      <w:tr w:rsidR="0064679E" w:rsidRPr="00617833" w:rsidTr="0064679E">
        <w:trPr>
          <w:trHeight w:val="51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Jdos. Violencia contra la Mujer</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8.775</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 xml:space="preserve">Jdos. Familia                                   </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64.071</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 xml:space="preserve">Jdos. 1ª Instª. e Instr.                        </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166.963</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 xml:space="preserve">A.P. Secciones Civiles </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56.753</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 xml:space="preserve">A.P. Secciones Mixtas  </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5.797</w:t>
            </w:r>
          </w:p>
        </w:tc>
      </w:tr>
      <w:tr w:rsidR="0064679E" w:rsidRPr="00617833" w:rsidTr="0064679E">
        <w:trPr>
          <w:trHeight w:val="300"/>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T.S.J. Sala Civil y Penal</w:t>
            </w:r>
          </w:p>
        </w:tc>
        <w:tc>
          <w:tcPr>
            <w:tcW w:w="1460" w:type="dxa"/>
            <w:tcBorders>
              <w:top w:val="nil"/>
              <w:left w:val="nil"/>
              <w:bottom w:val="nil"/>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286</w:t>
            </w:r>
          </w:p>
        </w:tc>
      </w:tr>
      <w:tr w:rsidR="0064679E" w:rsidRPr="00617833" w:rsidTr="0064679E">
        <w:trPr>
          <w:trHeight w:val="315"/>
          <w:jc w:val="center"/>
        </w:trPr>
        <w:tc>
          <w:tcPr>
            <w:tcW w:w="2740" w:type="dxa"/>
            <w:tcBorders>
              <w:top w:val="nil"/>
              <w:left w:val="nil"/>
              <w:bottom w:val="nil"/>
              <w:right w:val="nil"/>
            </w:tcBorders>
            <w:shd w:val="clear" w:color="auto" w:fill="auto"/>
            <w:vAlign w:val="center"/>
            <w:hideMark/>
          </w:tcPr>
          <w:p w:rsidR="0064679E" w:rsidRPr="00617833" w:rsidRDefault="0064679E">
            <w:pPr>
              <w:jc w:val="both"/>
              <w:rPr>
                <w:rFonts w:ascii="Verdana" w:hAnsi="Verdana" w:cs="Calibri"/>
                <w:color w:val="000000"/>
                <w:sz w:val="20"/>
                <w:szCs w:val="20"/>
              </w:rPr>
            </w:pPr>
            <w:r w:rsidRPr="00617833">
              <w:rPr>
                <w:rFonts w:ascii="Verdana" w:hAnsi="Verdana" w:cs="Arial"/>
                <w:color w:val="000000"/>
                <w:sz w:val="20"/>
                <w:szCs w:val="20"/>
              </w:rPr>
              <w:t>Tribunal Supremo: Sala 1ª</w:t>
            </w:r>
          </w:p>
        </w:tc>
        <w:tc>
          <w:tcPr>
            <w:tcW w:w="1460" w:type="dxa"/>
            <w:tcBorders>
              <w:top w:val="nil"/>
              <w:left w:val="nil"/>
              <w:bottom w:val="single" w:sz="8" w:space="0" w:color="auto"/>
              <w:right w:val="nil"/>
            </w:tcBorders>
            <w:shd w:val="clear" w:color="auto" w:fill="auto"/>
            <w:vAlign w:val="center"/>
            <w:hideMark/>
          </w:tcPr>
          <w:p w:rsidR="0064679E" w:rsidRPr="00617833" w:rsidRDefault="0064679E">
            <w:pPr>
              <w:jc w:val="right"/>
              <w:rPr>
                <w:rFonts w:ascii="Verdana" w:hAnsi="Verdana" w:cs="Calibri"/>
                <w:color w:val="000000"/>
                <w:sz w:val="20"/>
                <w:szCs w:val="20"/>
              </w:rPr>
            </w:pPr>
            <w:r w:rsidRPr="00617833">
              <w:rPr>
                <w:rFonts w:ascii="Verdana" w:hAnsi="Verdana" w:cs="Calibri"/>
                <w:color w:val="000000"/>
                <w:sz w:val="20"/>
                <w:szCs w:val="20"/>
              </w:rPr>
              <w:t>699</w:t>
            </w:r>
          </w:p>
        </w:tc>
      </w:tr>
      <w:tr w:rsidR="0064679E" w:rsidRPr="00617833" w:rsidTr="0064679E">
        <w:trPr>
          <w:trHeight w:val="315"/>
          <w:jc w:val="center"/>
        </w:trPr>
        <w:tc>
          <w:tcPr>
            <w:tcW w:w="2740" w:type="dxa"/>
            <w:tcBorders>
              <w:top w:val="single" w:sz="8" w:space="0" w:color="auto"/>
              <w:left w:val="nil"/>
              <w:bottom w:val="single" w:sz="8" w:space="0" w:color="auto"/>
              <w:right w:val="nil"/>
            </w:tcBorders>
            <w:shd w:val="clear" w:color="auto" w:fill="auto"/>
            <w:vAlign w:val="center"/>
            <w:hideMark/>
          </w:tcPr>
          <w:p w:rsidR="0064679E" w:rsidRPr="00617833" w:rsidRDefault="0064679E">
            <w:pPr>
              <w:rPr>
                <w:rFonts w:ascii="Verdana" w:hAnsi="Verdana" w:cs="Calibri"/>
                <w:b/>
                <w:bCs/>
                <w:color w:val="000080"/>
                <w:sz w:val="20"/>
                <w:szCs w:val="20"/>
              </w:rPr>
            </w:pPr>
            <w:r w:rsidRPr="00617833">
              <w:rPr>
                <w:rFonts w:ascii="Verdana" w:hAnsi="Verdana" w:cs="Arial"/>
                <w:b/>
                <w:bCs/>
                <w:color w:val="000080"/>
                <w:sz w:val="20"/>
                <w:szCs w:val="20"/>
              </w:rPr>
              <w:t>TOTAL</w:t>
            </w:r>
          </w:p>
        </w:tc>
        <w:tc>
          <w:tcPr>
            <w:tcW w:w="1460" w:type="dxa"/>
            <w:tcBorders>
              <w:top w:val="nil"/>
              <w:left w:val="nil"/>
              <w:bottom w:val="single" w:sz="8" w:space="0" w:color="auto"/>
              <w:right w:val="nil"/>
            </w:tcBorders>
            <w:shd w:val="clear" w:color="auto" w:fill="auto"/>
            <w:vAlign w:val="center"/>
            <w:hideMark/>
          </w:tcPr>
          <w:p w:rsidR="0064679E" w:rsidRPr="00617833" w:rsidRDefault="0064679E">
            <w:pPr>
              <w:jc w:val="right"/>
              <w:rPr>
                <w:rFonts w:ascii="Verdana" w:hAnsi="Verdana" w:cs="Calibri"/>
                <w:b/>
                <w:bCs/>
                <w:color w:val="000080"/>
                <w:sz w:val="20"/>
                <w:szCs w:val="20"/>
              </w:rPr>
            </w:pPr>
            <w:r w:rsidRPr="00617833">
              <w:rPr>
                <w:rFonts w:ascii="Verdana" w:hAnsi="Verdana" w:cs="Calibri"/>
                <w:b/>
                <w:bCs/>
                <w:color w:val="000080"/>
                <w:sz w:val="20"/>
                <w:szCs w:val="20"/>
              </w:rPr>
              <w:t>526.551</w:t>
            </w:r>
          </w:p>
        </w:tc>
      </w:tr>
    </w:tbl>
    <w:p w:rsidR="004F2E50" w:rsidRPr="00617833" w:rsidRDefault="004F2E50" w:rsidP="00AE23F0">
      <w:pPr>
        <w:pStyle w:val="Textoindependiente"/>
        <w:spacing w:before="120" w:after="120"/>
        <w:ind w:firstLine="357"/>
        <w:rPr>
          <w:rFonts w:ascii="Verdana" w:hAnsi="Verdana"/>
          <w:sz w:val="20"/>
        </w:rPr>
      </w:pPr>
    </w:p>
    <w:p w:rsidR="00F44E1C" w:rsidRPr="00617833" w:rsidRDefault="004F2E50" w:rsidP="00AE23F0">
      <w:pPr>
        <w:pStyle w:val="Textoindependiente"/>
        <w:spacing w:before="120" w:after="120"/>
        <w:ind w:firstLine="357"/>
        <w:rPr>
          <w:rFonts w:ascii="Verdana" w:hAnsi="Verdana"/>
          <w:sz w:val="20"/>
        </w:rPr>
      </w:pPr>
      <w:r w:rsidRPr="00617833">
        <w:rPr>
          <w:rFonts w:ascii="Verdana" w:hAnsi="Verdana"/>
          <w:sz w:val="20"/>
        </w:rPr>
        <w:t>E</w:t>
      </w:r>
      <w:r w:rsidR="00AE23F0" w:rsidRPr="00617833">
        <w:rPr>
          <w:rFonts w:ascii="Verdana" w:hAnsi="Verdana"/>
          <w:sz w:val="20"/>
        </w:rPr>
        <w:t>l incremento</w:t>
      </w:r>
      <w:r w:rsidRPr="00617833">
        <w:rPr>
          <w:rFonts w:ascii="Verdana" w:hAnsi="Verdana"/>
          <w:sz w:val="20"/>
        </w:rPr>
        <w:t xml:space="preserve"> del número de sentencias </w:t>
      </w:r>
      <w:r w:rsidR="00F44E1C" w:rsidRPr="00617833">
        <w:rPr>
          <w:rFonts w:ascii="Verdana" w:hAnsi="Verdana"/>
          <w:sz w:val="20"/>
        </w:rPr>
        <w:t>observado en 2017 se ha dado, principalmente, en los juzgados de prim</w:t>
      </w:r>
      <w:r w:rsidR="00DE0D53" w:rsidRPr="00617833">
        <w:rPr>
          <w:rFonts w:ascii="Verdana" w:hAnsi="Verdana"/>
          <w:sz w:val="20"/>
        </w:rPr>
        <w:t>e</w:t>
      </w:r>
      <w:r w:rsidR="00F44E1C" w:rsidRPr="00617833">
        <w:rPr>
          <w:rFonts w:ascii="Verdana" w:hAnsi="Verdana"/>
          <w:sz w:val="20"/>
        </w:rPr>
        <w:t xml:space="preserve">ra instancia, </w:t>
      </w:r>
      <w:r w:rsidR="00DE0D53" w:rsidRPr="00617833">
        <w:rPr>
          <w:rFonts w:ascii="Verdana" w:hAnsi="Verdana"/>
          <w:sz w:val="20"/>
        </w:rPr>
        <w:t xml:space="preserve">de familia, y </w:t>
      </w:r>
      <w:r w:rsidR="00B02A4D" w:rsidRPr="00617833">
        <w:rPr>
          <w:rFonts w:ascii="Verdana" w:hAnsi="Verdana"/>
          <w:sz w:val="20"/>
        </w:rPr>
        <w:t>primera</w:t>
      </w:r>
      <w:r w:rsidR="00DE0D53" w:rsidRPr="00617833">
        <w:rPr>
          <w:rFonts w:ascii="Verdana" w:hAnsi="Verdana"/>
          <w:sz w:val="20"/>
        </w:rPr>
        <w:t xml:space="preserve"> instancia e </w:t>
      </w:r>
      <w:r w:rsidR="00B02A4D" w:rsidRPr="00617833">
        <w:rPr>
          <w:rFonts w:ascii="Verdana" w:hAnsi="Verdana"/>
          <w:sz w:val="20"/>
        </w:rPr>
        <w:t>instrucción</w:t>
      </w:r>
      <w:r w:rsidR="00DE0D53" w:rsidRPr="00617833">
        <w:rPr>
          <w:rFonts w:ascii="Verdana" w:hAnsi="Verdana"/>
          <w:sz w:val="20"/>
        </w:rPr>
        <w:t>, donde ha sido del 2,4%. En las audiencias civiles y secciones civiles de las mixtas, el incremento ha sido del 5,5%. Por el contrario, en</w:t>
      </w:r>
      <w:r w:rsidR="00F44E1C" w:rsidRPr="00617833">
        <w:rPr>
          <w:rFonts w:ascii="Verdana" w:hAnsi="Verdana"/>
          <w:sz w:val="20"/>
        </w:rPr>
        <w:t xml:space="preserve"> los</w:t>
      </w:r>
      <w:r w:rsidR="00DE0D53" w:rsidRPr="00617833">
        <w:rPr>
          <w:rFonts w:ascii="Verdana" w:hAnsi="Verdana"/>
          <w:sz w:val="20"/>
        </w:rPr>
        <w:t xml:space="preserve"> juzgados de lo mercantil, el nú</w:t>
      </w:r>
      <w:r w:rsidR="00F44E1C" w:rsidRPr="00617833">
        <w:rPr>
          <w:rFonts w:ascii="Verdana" w:hAnsi="Verdana"/>
          <w:sz w:val="20"/>
        </w:rPr>
        <w:t>mero de sentencias dictadas ha disminuido un 19% respecto a las dictadas en 2016.</w:t>
      </w:r>
    </w:p>
    <w:p w:rsidR="00DE0D53" w:rsidRPr="00617833" w:rsidRDefault="00AE23F0" w:rsidP="00AE23F0">
      <w:pPr>
        <w:pStyle w:val="Textoindependiente"/>
        <w:spacing w:before="120" w:after="120"/>
        <w:ind w:firstLine="357"/>
        <w:rPr>
          <w:rFonts w:ascii="Verdana" w:hAnsi="Verdana"/>
          <w:sz w:val="20"/>
        </w:rPr>
      </w:pPr>
      <w:r w:rsidRPr="00617833">
        <w:rPr>
          <w:rFonts w:ascii="Verdana" w:hAnsi="Verdana"/>
          <w:sz w:val="20"/>
        </w:rPr>
        <w:t>Analizando las sentencias civiles dictadas por los juzgados de primera instancia</w:t>
      </w:r>
      <w:r w:rsidR="009A0666" w:rsidRPr="00617833">
        <w:rPr>
          <w:rFonts w:ascii="Verdana" w:hAnsi="Verdana"/>
          <w:sz w:val="20"/>
        </w:rPr>
        <w:t xml:space="preserve">, familia </w:t>
      </w:r>
      <w:r w:rsidRPr="00617833">
        <w:rPr>
          <w:rFonts w:ascii="Verdana" w:hAnsi="Verdana"/>
          <w:sz w:val="20"/>
        </w:rPr>
        <w:t xml:space="preserve"> y primera instancia e instrucción, se observa que </w:t>
      </w:r>
      <w:r w:rsidR="00DE0D53" w:rsidRPr="00617833">
        <w:rPr>
          <w:rFonts w:ascii="Verdana" w:hAnsi="Verdana"/>
          <w:sz w:val="20"/>
        </w:rPr>
        <w:t>las sentencias de derecho de familia han descendido un 0,4%, mientras que las de procesos contenciosos civiles han aumentado un 3,8%.</w:t>
      </w:r>
    </w:p>
    <w:tbl>
      <w:tblPr>
        <w:tblW w:w="6120" w:type="dxa"/>
        <w:jc w:val="center"/>
        <w:tblInd w:w="55" w:type="dxa"/>
        <w:tblCellMar>
          <w:left w:w="70" w:type="dxa"/>
          <w:right w:w="70" w:type="dxa"/>
        </w:tblCellMar>
        <w:tblLook w:val="04A0" w:firstRow="1" w:lastRow="0" w:firstColumn="1" w:lastColumn="0" w:noHBand="0" w:noVBand="1"/>
      </w:tblPr>
      <w:tblGrid>
        <w:gridCol w:w="2540"/>
        <w:gridCol w:w="1740"/>
        <w:gridCol w:w="1840"/>
      </w:tblGrid>
      <w:tr w:rsidR="00704B82" w:rsidRPr="00617833" w:rsidTr="00856365">
        <w:trPr>
          <w:trHeight w:val="1264"/>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lastRenderedPageBreak/>
              <w:t>  </w:t>
            </w:r>
          </w:p>
        </w:tc>
        <w:tc>
          <w:tcPr>
            <w:tcW w:w="1740" w:type="dxa"/>
            <w:tcBorders>
              <w:top w:val="single" w:sz="8" w:space="0" w:color="auto"/>
              <w:left w:val="nil"/>
              <w:bottom w:val="single" w:sz="8" w:space="0" w:color="auto"/>
              <w:right w:val="nil"/>
            </w:tcBorders>
            <w:shd w:val="clear" w:color="auto" w:fill="auto"/>
            <w:vAlign w:val="center"/>
            <w:hideMark/>
          </w:tcPr>
          <w:p w:rsidR="00704B82" w:rsidRPr="00617833" w:rsidRDefault="00704B82">
            <w:pPr>
              <w:jc w:val="center"/>
              <w:rPr>
                <w:rFonts w:ascii="Verdana" w:hAnsi="Verdana" w:cs="Calibri"/>
                <w:b/>
                <w:bCs/>
                <w:color w:val="000000"/>
                <w:sz w:val="20"/>
                <w:szCs w:val="20"/>
              </w:rPr>
            </w:pPr>
            <w:r w:rsidRPr="00617833">
              <w:rPr>
                <w:rFonts w:ascii="Verdana" w:hAnsi="Verdana" w:cs="Calibri"/>
                <w:b/>
                <w:bCs/>
                <w:color w:val="000000"/>
                <w:sz w:val="20"/>
                <w:szCs w:val="20"/>
              </w:rPr>
              <w:t>Evolución de sentencias Procesos contenciosos</w:t>
            </w:r>
          </w:p>
        </w:tc>
        <w:tc>
          <w:tcPr>
            <w:tcW w:w="1840" w:type="dxa"/>
            <w:tcBorders>
              <w:top w:val="single" w:sz="8" w:space="0" w:color="auto"/>
              <w:left w:val="nil"/>
              <w:bottom w:val="single" w:sz="8" w:space="0" w:color="auto"/>
              <w:right w:val="nil"/>
            </w:tcBorders>
            <w:shd w:val="clear" w:color="auto" w:fill="auto"/>
            <w:vAlign w:val="center"/>
            <w:hideMark/>
          </w:tcPr>
          <w:p w:rsidR="00704B82" w:rsidRPr="00617833" w:rsidRDefault="00704B82">
            <w:pPr>
              <w:jc w:val="center"/>
              <w:rPr>
                <w:rFonts w:ascii="Verdana" w:hAnsi="Verdana" w:cs="Calibri"/>
                <w:b/>
                <w:bCs/>
                <w:color w:val="000000"/>
                <w:sz w:val="20"/>
                <w:szCs w:val="20"/>
              </w:rPr>
            </w:pPr>
            <w:r w:rsidRPr="00617833">
              <w:rPr>
                <w:rFonts w:ascii="Verdana" w:hAnsi="Verdana" w:cs="Calibri"/>
                <w:b/>
                <w:bCs/>
                <w:color w:val="000000"/>
                <w:sz w:val="20"/>
                <w:szCs w:val="20"/>
              </w:rPr>
              <w:t>Evolución de sentencias Procesos de familia</w:t>
            </w:r>
          </w:p>
        </w:tc>
      </w:tr>
      <w:tr w:rsidR="00704B82" w:rsidRPr="00617833" w:rsidTr="00704B82">
        <w:trPr>
          <w:trHeight w:val="300"/>
          <w:jc w:val="center"/>
        </w:trPr>
        <w:tc>
          <w:tcPr>
            <w:tcW w:w="2540" w:type="dxa"/>
            <w:tcBorders>
              <w:top w:val="single" w:sz="8" w:space="0" w:color="auto"/>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Andalucía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21,1%</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0,4%</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Aragón</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26,9%</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6,5%</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Asturias</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23,3%</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0,2%</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Illes Balears</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15,9%</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14,0%</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Canarias</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26,9%</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-0,3%</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Cantabria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8,7%</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14,2%</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Castilla y León</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-5,6%</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-5,3%</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Castilla-La Mancha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12,5%</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-0,6%</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Cataluña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10,8%</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-3,5%</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097707">
            <w:pPr>
              <w:rPr>
                <w:rFonts w:ascii="Verdana" w:hAnsi="Verdana" w:cs="Calibri"/>
                <w:color w:val="000000"/>
                <w:sz w:val="20"/>
                <w:szCs w:val="20"/>
              </w:rPr>
            </w:pPr>
            <w:r w:rsidRPr="00617833">
              <w:rPr>
                <w:rFonts w:ascii="Verdana" w:hAnsi="Verdana" w:cs="Calibri"/>
                <w:color w:val="000000"/>
                <w:sz w:val="20"/>
                <w:szCs w:val="20"/>
              </w:rPr>
              <w:t>C.</w:t>
            </w:r>
            <w:r w:rsidR="00704B82" w:rsidRPr="00617833">
              <w:rPr>
                <w:rFonts w:ascii="Verdana" w:hAnsi="Verdana" w:cs="Calibri"/>
                <w:color w:val="000000"/>
                <w:sz w:val="20"/>
                <w:szCs w:val="20"/>
              </w:rPr>
              <w:t xml:space="preserve"> Valenciana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-22,5%</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-9,3%</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Extremadura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15,2%</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-5,1%</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Galicia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13,2%</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2,7%</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Madrid</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-12,7%</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2,4%</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Murcia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7,4%</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8,0%</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Navarra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7,3%</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17,7%</w:t>
            </w:r>
          </w:p>
        </w:tc>
      </w:tr>
      <w:tr w:rsidR="00704B82" w:rsidRPr="00617833" w:rsidTr="00704B82">
        <w:trPr>
          <w:trHeight w:val="300"/>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País Vasco</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23,9%</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2,3%</w:t>
            </w:r>
          </w:p>
        </w:tc>
      </w:tr>
      <w:tr w:rsidR="00704B82" w:rsidRPr="00617833" w:rsidTr="00704B82">
        <w:trPr>
          <w:trHeight w:val="315"/>
          <w:jc w:val="center"/>
        </w:trPr>
        <w:tc>
          <w:tcPr>
            <w:tcW w:w="2540" w:type="dxa"/>
            <w:tcBorders>
              <w:top w:val="nil"/>
              <w:left w:val="nil"/>
              <w:bottom w:val="nil"/>
              <w:right w:val="nil"/>
            </w:tcBorders>
            <w:shd w:val="clear" w:color="auto" w:fill="auto"/>
            <w:noWrap/>
            <w:vAlign w:val="center"/>
            <w:hideMark/>
          </w:tcPr>
          <w:p w:rsidR="00704B82" w:rsidRPr="00617833" w:rsidRDefault="00704B82">
            <w:pPr>
              <w:rPr>
                <w:rFonts w:ascii="Verdana" w:hAnsi="Verdana" w:cs="Calibri"/>
                <w:color w:val="000000"/>
                <w:sz w:val="20"/>
                <w:szCs w:val="20"/>
              </w:rPr>
            </w:pPr>
            <w:r w:rsidRPr="00617833">
              <w:rPr>
                <w:rFonts w:ascii="Verdana" w:hAnsi="Verdana" w:cs="Calibri"/>
                <w:color w:val="000000"/>
                <w:sz w:val="20"/>
                <w:szCs w:val="20"/>
              </w:rPr>
              <w:t>La Rioja</w:t>
            </w:r>
          </w:p>
        </w:tc>
        <w:tc>
          <w:tcPr>
            <w:tcW w:w="17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-29,6%</w:t>
            </w:r>
          </w:p>
        </w:tc>
        <w:tc>
          <w:tcPr>
            <w:tcW w:w="1840" w:type="dxa"/>
            <w:tcBorders>
              <w:top w:val="nil"/>
              <w:left w:val="nil"/>
              <w:bottom w:val="nil"/>
              <w:right w:val="nil"/>
            </w:tcBorders>
            <w:shd w:val="clear" w:color="auto" w:fill="auto"/>
            <w:noWrap/>
            <w:vAlign w:val="center"/>
            <w:hideMark/>
          </w:tcPr>
          <w:p w:rsidR="00704B82" w:rsidRPr="00617833" w:rsidRDefault="00704B82">
            <w:pPr>
              <w:jc w:val="right"/>
              <w:rPr>
                <w:rFonts w:ascii="Verdana" w:hAnsi="Verdana" w:cs="Calibri"/>
                <w:color w:val="000000"/>
                <w:sz w:val="20"/>
                <w:szCs w:val="20"/>
              </w:rPr>
            </w:pPr>
            <w:r w:rsidRPr="00617833">
              <w:rPr>
                <w:rFonts w:ascii="Verdana" w:hAnsi="Verdana" w:cs="Calibri"/>
                <w:color w:val="000000"/>
                <w:sz w:val="20"/>
                <w:szCs w:val="20"/>
              </w:rPr>
              <w:t>11,1%</w:t>
            </w:r>
          </w:p>
        </w:tc>
      </w:tr>
      <w:tr w:rsidR="00704B82" w:rsidRPr="00617833" w:rsidTr="00704B82">
        <w:trPr>
          <w:trHeight w:val="315"/>
          <w:jc w:val="center"/>
        </w:trPr>
        <w:tc>
          <w:tcPr>
            <w:tcW w:w="2540" w:type="dxa"/>
            <w:tcBorders>
              <w:top w:val="single" w:sz="8" w:space="0" w:color="auto"/>
              <w:left w:val="nil"/>
              <w:bottom w:val="single" w:sz="8" w:space="0" w:color="auto"/>
              <w:right w:val="nil"/>
            </w:tcBorders>
            <w:shd w:val="clear" w:color="auto" w:fill="auto"/>
            <w:noWrap/>
            <w:vAlign w:val="center"/>
            <w:hideMark/>
          </w:tcPr>
          <w:p w:rsidR="00704B82" w:rsidRPr="00617833" w:rsidRDefault="00704B82">
            <w:pPr>
              <w:rPr>
                <w:rFonts w:ascii="Verdana" w:hAnsi="Verdana" w:cs="Calibri"/>
                <w:b/>
                <w:bCs/>
                <w:color w:val="000000"/>
                <w:sz w:val="20"/>
                <w:szCs w:val="20"/>
              </w:rPr>
            </w:pPr>
            <w:r w:rsidRPr="00617833">
              <w:rPr>
                <w:rFonts w:ascii="Verdana" w:hAnsi="Verdana" w:cs="Calibri"/>
                <w:b/>
                <w:bCs/>
                <w:color w:val="000000"/>
                <w:sz w:val="20"/>
                <w:szCs w:val="20"/>
              </w:rPr>
              <w:t>Nacional</w:t>
            </w:r>
          </w:p>
        </w:tc>
        <w:tc>
          <w:tcPr>
            <w:tcW w:w="1740" w:type="dxa"/>
            <w:tcBorders>
              <w:top w:val="single" w:sz="8" w:space="0" w:color="auto"/>
              <w:left w:val="nil"/>
              <w:bottom w:val="single" w:sz="8" w:space="0" w:color="auto"/>
              <w:right w:val="nil"/>
            </w:tcBorders>
            <w:shd w:val="clear" w:color="auto" w:fill="auto"/>
            <w:noWrap/>
            <w:vAlign w:val="center"/>
            <w:hideMark/>
          </w:tcPr>
          <w:p w:rsidR="00704B82" w:rsidRPr="00617833" w:rsidRDefault="00704B82">
            <w:pPr>
              <w:jc w:val="right"/>
              <w:rPr>
                <w:rFonts w:ascii="Verdana" w:hAnsi="Verdana" w:cs="Calibri"/>
                <w:b/>
                <w:bCs/>
                <w:color w:val="000000"/>
                <w:sz w:val="20"/>
                <w:szCs w:val="20"/>
              </w:rPr>
            </w:pPr>
            <w:r w:rsidRPr="00617833">
              <w:rPr>
                <w:rFonts w:ascii="Verdana" w:hAnsi="Verdana" w:cs="Calibri"/>
                <w:b/>
                <w:bCs/>
                <w:color w:val="000000"/>
                <w:sz w:val="20"/>
                <w:szCs w:val="20"/>
              </w:rPr>
              <w:t>3,8%</w:t>
            </w:r>
          </w:p>
        </w:tc>
        <w:tc>
          <w:tcPr>
            <w:tcW w:w="1840" w:type="dxa"/>
            <w:tcBorders>
              <w:top w:val="single" w:sz="8" w:space="0" w:color="auto"/>
              <w:left w:val="nil"/>
              <w:bottom w:val="single" w:sz="8" w:space="0" w:color="auto"/>
              <w:right w:val="nil"/>
            </w:tcBorders>
            <w:shd w:val="clear" w:color="auto" w:fill="auto"/>
            <w:noWrap/>
            <w:vAlign w:val="center"/>
            <w:hideMark/>
          </w:tcPr>
          <w:p w:rsidR="00704B82" w:rsidRPr="00617833" w:rsidRDefault="00704B82">
            <w:pPr>
              <w:jc w:val="right"/>
              <w:rPr>
                <w:rFonts w:ascii="Verdana" w:hAnsi="Verdana" w:cs="Calibri"/>
                <w:b/>
                <w:bCs/>
                <w:color w:val="000000"/>
                <w:sz w:val="20"/>
                <w:szCs w:val="20"/>
              </w:rPr>
            </w:pPr>
            <w:r w:rsidRPr="00617833">
              <w:rPr>
                <w:rFonts w:ascii="Verdana" w:hAnsi="Verdana" w:cs="Calibri"/>
                <w:b/>
                <w:bCs/>
                <w:color w:val="000000"/>
                <w:sz w:val="20"/>
                <w:szCs w:val="20"/>
              </w:rPr>
              <w:t>-0,4%</w:t>
            </w:r>
          </w:p>
        </w:tc>
      </w:tr>
    </w:tbl>
    <w:p w:rsidR="00AE23F0" w:rsidRPr="00617833" w:rsidRDefault="00A95EF0" w:rsidP="00AE23F0">
      <w:pPr>
        <w:pStyle w:val="Textoindependiente"/>
        <w:spacing w:before="120" w:after="120"/>
        <w:ind w:firstLine="357"/>
        <w:rPr>
          <w:rFonts w:ascii="Verdana" w:hAnsi="Verdana"/>
          <w:sz w:val="20"/>
        </w:rPr>
      </w:pPr>
      <w:r w:rsidRPr="00617833">
        <w:rPr>
          <w:rFonts w:ascii="Verdana" w:hAnsi="Verdana"/>
          <w:sz w:val="20"/>
        </w:rPr>
        <w:t>L</w:t>
      </w:r>
      <w:r w:rsidR="000037F9" w:rsidRPr="00617833">
        <w:rPr>
          <w:rFonts w:ascii="Verdana" w:hAnsi="Verdana"/>
          <w:sz w:val="20"/>
        </w:rPr>
        <w:t xml:space="preserve">a disminución de sentencias en </w:t>
      </w:r>
      <w:r w:rsidRPr="00617833">
        <w:rPr>
          <w:rFonts w:ascii="Verdana" w:hAnsi="Verdana"/>
          <w:sz w:val="20"/>
        </w:rPr>
        <w:t>procesos de familia es consecuencia de la ya mencionada reforma operada por la Ley 15/2015, en materia de divorcios “notariales”.</w:t>
      </w:r>
    </w:p>
    <w:p w:rsidR="00DD4FB4" w:rsidRPr="00617833" w:rsidRDefault="001B4EE3" w:rsidP="00DD4FB4">
      <w:pPr>
        <w:pStyle w:val="Textoindependiente"/>
        <w:spacing w:before="120" w:after="120"/>
        <w:ind w:firstLine="357"/>
        <w:rPr>
          <w:rFonts w:ascii="Verdana" w:hAnsi="Verdana"/>
          <w:sz w:val="20"/>
        </w:rPr>
      </w:pPr>
      <w:r w:rsidRPr="00617833">
        <w:rPr>
          <w:rFonts w:ascii="Verdana" w:hAnsi="Verdana"/>
          <w:sz w:val="20"/>
        </w:rPr>
        <w:t>Es interesante conocer la distribución de sentencias dictadas por el tipo</w:t>
      </w:r>
      <w:r w:rsidR="00E22100" w:rsidRPr="00617833">
        <w:rPr>
          <w:rFonts w:ascii="Verdana" w:hAnsi="Verdana"/>
          <w:sz w:val="20"/>
        </w:rPr>
        <w:t xml:space="preserve"> y carácter de actuación</w:t>
      </w:r>
      <w:r w:rsidRPr="00617833">
        <w:rPr>
          <w:rFonts w:ascii="Verdana" w:hAnsi="Verdana"/>
          <w:sz w:val="20"/>
        </w:rPr>
        <w:t xml:space="preserve"> de juez que las dict</w:t>
      </w:r>
      <w:r w:rsidR="0072445C" w:rsidRPr="00617833">
        <w:rPr>
          <w:rFonts w:ascii="Verdana" w:hAnsi="Verdana"/>
          <w:sz w:val="20"/>
        </w:rPr>
        <w:t>ó</w:t>
      </w:r>
      <w:r w:rsidRPr="00617833">
        <w:rPr>
          <w:rFonts w:ascii="Verdana" w:hAnsi="Verdana"/>
          <w:sz w:val="20"/>
        </w:rPr>
        <w:t>.</w:t>
      </w:r>
      <w:r w:rsidR="00DD4FB4" w:rsidRPr="00617833">
        <w:rPr>
          <w:rFonts w:ascii="Verdana" w:hAnsi="Verdana"/>
          <w:sz w:val="20"/>
        </w:rPr>
        <w:t xml:space="preserve"> La siguiente tabla presenta un resumen de los datos nacionales:</w:t>
      </w:r>
    </w:p>
    <w:tbl>
      <w:tblPr>
        <w:tblW w:w="11480" w:type="dxa"/>
        <w:jc w:val="center"/>
        <w:tblInd w:w="55" w:type="dxa"/>
        <w:tblCellMar>
          <w:left w:w="70" w:type="dxa"/>
          <w:right w:w="70" w:type="dxa"/>
        </w:tblCellMar>
        <w:tblLook w:val="04A0" w:firstRow="1" w:lastRow="0" w:firstColumn="1" w:lastColumn="0" w:noHBand="0" w:noVBand="1"/>
      </w:tblPr>
      <w:tblGrid>
        <w:gridCol w:w="3140"/>
        <w:gridCol w:w="1120"/>
        <w:gridCol w:w="940"/>
        <w:gridCol w:w="760"/>
        <w:gridCol w:w="890"/>
        <w:gridCol w:w="760"/>
        <w:gridCol w:w="900"/>
        <w:gridCol w:w="780"/>
        <w:gridCol w:w="960"/>
        <w:gridCol w:w="1250"/>
      </w:tblGrid>
      <w:tr w:rsidR="00F44E1C" w:rsidRPr="00617833" w:rsidTr="00F44E1C">
        <w:trPr>
          <w:trHeight w:val="315"/>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p>
        </w:tc>
        <w:tc>
          <w:tcPr>
            <w:tcW w:w="2060" w:type="dxa"/>
            <w:gridSpan w:val="2"/>
            <w:tcBorders>
              <w:top w:val="single" w:sz="8" w:space="0" w:color="1F497D"/>
              <w:left w:val="nil"/>
              <w:bottom w:val="single" w:sz="8" w:space="0" w:color="1F497D"/>
              <w:right w:val="nil"/>
            </w:tcBorders>
            <w:shd w:val="clear" w:color="auto" w:fill="auto"/>
            <w:noWrap/>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Titular del órgano</w:t>
            </w:r>
          </w:p>
        </w:tc>
        <w:tc>
          <w:tcPr>
            <w:tcW w:w="1640" w:type="dxa"/>
            <w:gridSpan w:val="2"/>
            <w:tcBorders>
              <w:top w:val="single" w:sz="8" w:space="0" w:color="1F497D"/>
              <w:left w:val="nil"/>
              <w:bottom w:val="single" w:sz="8" w:space="0" w:color="1F497D"/>
              <w:right w:val="nil"/>
            </w:tcBorders>
            <w:shd w:val="clear" w:color="auto" w:fill="auto"/>
            <w:noWrap/>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Suplente</w:t>
            </w:r>
          </w:p>
        </w:tc>
        <w:tc>
          <w:tcPr>
            <w:tcW w:w="1660" w:type="dxa"/>
            <w:gridSpan w:val="2"/>
            <w:tcBorders>
              <w:top w:val="single" w:sz="8" w:space="0" w:color="1F497D"/>
              <w:left w:val="nil"/>
              <w:bottom w:val="single" w:sz="8" w:space="0" w:color="1F497D"/>
              <w:right w:val="nil"/>
            </w:tcBorders>
            <w:shd w:val="clear" w:color="auto" w:fill="auto"/>
            <w:noWrap/>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Sustituto</w:t>
            </w:r>
          </w:p>
        </w:tc>
        <w:tc>
          <w:tcPr>
            <w:tcW w:w="1740" w:type="dxa"/>
            <w:gridSpan w:val="2"/>
            <w:tcBorders>
              <w:top w:val="single" w:sz="8" w:space="0" w:color="1F497D"/>
              <w:left w:val="nil"/>
              <w:bottom w:val="single" w:sz="8" w:space="0" w:color="1F497D"/>
              <w:right w:val="nil"/>
            </w:tcBorders>
            <w:shd w:val="clear" w:color="auto" w:fill="auto"/>
            <w:noWrap/>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JAT</w:t>
            </w:r>
          </w:p>
        </w:tc>
        <w:tc>
          <w:tcPr>
            <w:tcW w:w="1240" w:type="dxa"/>
            <w:vMerge w:val="restart"/>
            <w:tcBorders>
              <w:top w:val="single" w:sz="8" w:space="0" w:color="1F497D"/>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Otros magistrados</w:t>
            </w:r>
          </w:p>
        </w:tc>
      </w:tr>
      <w:tr w:rsidR="00F44E1C" w:rsidRPr="00617833" w:rsidTr="00F44E1C">
        <w:trPr>
          <w:trHeight w:val="690"/>
          <w:jc w:val="center"/>
        </w:trPr>
        <w:tc>
          <w:tcPr>
            <w:tcW w:w="3140" w:type="dxa"/>
            <w:tcBorders>
              <w:top w:val="nil"/>
              <w:left w:val="nil"/>
              <w:bottom w:val="nil"/>
              <w:right w:val="nil"/>
            </w:tcBorders>
            <w:shd w:val="clear" w:color="auto" w:fill="auto"/>
            <w:vAlign w:val="center"/>
            <w:hideMark/>
          </w:tcPr>
          <w:p w:rsidR="00F44E1C" w:rsidRPr="00617833" w:rsidRDefault="00F44E1C">
            <w:pPr>
              <w:rPr>
                <w:rFonts w:ascii="Verdana" w:hAnsi="Verdana" w:cs="Calibri"/>
                <w:color w:val="000000"/>
                <w:sz w:val="20"/>
                <w:szCs w:val="20"/>
              </w:rPr>
            </w:pPr>
          </w:p>
        </w:tc>
        <w:tc>
          <w:tcPr>
            <w:tcW w:w="112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 xml:space="preserve"> Actuación ordinaria</w:t>
            </w:r>
          </w:p>
        </w:tc>
        <w:tc>
          <w:tcPr>
            <w:tcW w:w="94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Refuerzo</w:t>
            </w:r>
          </w:p>
        </w:tc>
        <w:tc>
          <w:tcPr>
            <w:tcW w:w="76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como titular</w:t>
            </w:r>
          </w:p>
        </w:tc>
        <w:tc>
          <w:tcPr>
            <w:tcW w:w="88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como  refuerzo</w:t>
            </w:r>
          </w:p>
        </w:tc>
        <w:tc>
          <w:tcPr>
            <w:tcW w:w="76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como titular</w:t>
            </w:r>
          </w:p>
        </w:tc>
        <w:tc>
          <w:tcPr>
            <w:tcW w:w="90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como refuerzo</w:t>
            </w:r>
          </w:p>
        </w:tc>
        <w:tc>
          <w:tcPr>
            <w:tcW w:w="78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Como titular</w:t>
            </w:r>
          </w:p>
        </w:tc>
        <w:tc>
          <w:tcPr>
            <w:tcW w:w="960" w:type="dxa"/>
            <w:tcBorders>
              <w:top w:val="nil"/>
              <w:left w:val="nil"/>
              <w:bottom w:val="nil"/>
              <w:right w:val="nil"/>
            </w:tcBorders>
            <w:shd w:val="clear" w:color="auto" w:fill="auto"/>
            <w:vAlign w:val="center"/>
            <w:hideMark/>
          </w:tcPr>
          <w:p w:rsidR="00F44E1C" w:rsidRPr="00617833" w:rsidRDefault="00F44E1C">
            <w:pPr>
              <w:jc w:val="center"/>
              <w:rPr>
                <w:rFonts w:ascii="Verdana" w:hAnsi="Verdana" w:cs="Calibri"/>
                <w:color w:val="000000"/>
                <w:sz w:val="18"/>
                <w:szCs w:val="18"/>
              </w:rPr>
            </w:pPr>
            <w:r w:rsidRPr="00617833">
              <w:rPr>
                <w:rFonts w:ascii="Verdana" w:hAnsi="Verdana" w:cs="Calibri"/>
                <w:color w:val="000000"/>
                <w:sz w:val="18"/>
                <w:szCs w:val="18"/>
              </w:rPr>
              <w:t xml:space="preserve"> Como refuerzo</w:t>
            </w:r>
          </w:p>
        </w:tc>
        <w:tc>
          <w:tcPr>
            <w:tcW w:w="1240" w:type="dxa"/>
            <w:vMerge/>
            <w:tcBorders>
              <w:top w:val="single" w:sz="8" w:space="0" w:color="1F497D"/>
              <w:left w:val="nil"/>
              <w:bottom w:val="nil"/>
              <w:right w:val="nil"/>
            </w:tcBorders>
            <w:vAlign w:val="center"/>
            <w:hideMark/>
          </w:tcPr>
          <w:p w:rsidR="00F44E1C" w:rsidRPr="00617833" w:rsidRDefault="00F44E1C">
            <w:pPr>
              <w:rPr>
                <w:rFonts w:ascii="Verdana" w:hAnsi="Verdana" w:cs="Calibri"/>
                <w:color w:val="000000"/>
                <w:sz w:val="18"/>
                <w:szCs w:val="18"/>
              </w:rPr>
            </w:pPr>
          </w:p>
        </w:tc>
      </w:tr>
      <w:tr w:rsidR="00F44E1C" w:rsidRPr="00617833" w:rsidTr="00F44E1C">
        <w:trPr>
          <w:trHeight w:val="300"/>
          <w:jc w:val="center"/>
        </w:trPr>
        <w:tc>
          <w:tcPr>
            <w:tcW w:w="3140" w:type="dxa"/>
            <w:tcBorders>
              <w:top w:val="single" w:sz="8" w:space="0" w:color="auto"/>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 xml:space="preserve">Jdos. 1ª Instancia </w:t>
            </w:r>
          </w:p>
        </w:tc>
        <w:tc>
          <w:tcPr>
            <w:tcW w:w="112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84,7</w:t>
            </w:r>
          </w:p>
        </w:tc>
        <w:tc>
          <w:tcPr>
            <w:tcW w:w="94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c>
          <w:tcPr>
            <w:tcW w:w="76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w:t>
            </w:r>
          </w:p>
        </w:tc>
        <w:tc>
          <w:tcPr>
            <w:tcW w:w="88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0,4</w:t>
            </w:r>
          </w:p>
        </w:tc>
        <w:tc>
          <w:tcPr>
            <w:tcW w:w="76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5,2</w:t>
            </w:r>
          </w:p>
        </w:tc>
        <w:tc>
          <w:tcPr>
            <w:tcW w:w="90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3,9</w:t>
            </w:r>
          </w:p>
        </w:tc>
        <w:tc>
          <w:tcPr>
            <w:tcW w:w="78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1,8</w:t>
            </w:r>
          </w:p>
        </w:tc>
        <w:tc>
          <w:tcPr>
            <w:tcW w:w="96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2,5</w:t>
            </w:r>
          </w:p>
        </w:tc>
        <w:tc>
          <w:tcPr>
            <w:tcW w:w="1240" w:type="dxa"/>
            <w:tcBorders>
              <w:top w:val="single" w:sz="8" w:space="0" w:color="auto"/>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0,5</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 xml:space="preserve">Jdos. Familia </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78,4</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2,0</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1,7</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4,8</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0,8</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3,1</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8,0</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Jdos. 1ª Inst. e Instr.</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80,3</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0,6</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0,3</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12,9</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2,1</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2,6</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Jdos. Violencia sobre la mujer</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90,0</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2,0</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6,2</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0,4</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0,2</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Jdos. Mercantiles</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52,8</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0,3</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10,9</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3,3</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3,8</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0,2</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26,1</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1,4</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 xml:space="preserve">A.P. Secc. Mixtas  </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93,0</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0,2</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2,4</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1,6</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0,5</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0,9</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 xml:space="preserve">A.P. Secc. Civiles </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87,0</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0,9</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6,2</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2,1</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0,9</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1,7</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A.P. Secc. Mercantiles</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90,0</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0,8</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4,8</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2,8</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0,1</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0,3</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1,2</w:t>
            </w:r>
          </w:p>
        </w:tc>
      </w:tr>
      <w:tr w:rsidR="00F44E1C" w:rsidRPr="00617833" w:rsidTr="00F44E1C">
        <w:trPr>
          <w:trHeight w:val="300"/>
          <w:jc w:val="center"/>
        </w:trPr>
        <w:tc>
          <w:tcPr>
            <w:tcW w:w="3140" w:type="dxa"/>
            <w:tcBorders>
              <w:top w:val="nil"/>
              <w:left w:val="nil"/>
              <w:bottom w:val="nil"/>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 xml:space="preserve">T.S.J. Sala Civil y Penal  </w:t>
            </w:r>
          </w:p>
        </w:tc>
        <w:tc>
          <w:tcPr>
            <w:tcW w:w="112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95,8</w:t>
            </w:r>
          </w:p>
        </w:tc>
        <w:tc>
          <w:tcPr>
            <w:tcW w:w="9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3,1</w:t>
            </w:r>
          </w:p>
        </w:tc>
        <w:tc>
          <w:tcPr>
            <w:tcW w:w="7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0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8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6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1240" w:type="dxa"/>
            <w:tcBorders>
              <w:top w:val="nil"/>
              <w:left w:val="nil"/>
              <w:bottom w:val="nil"/>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w:t>
            </w:r>
          </w:p>
        </w:tc>
      </w:tr>
      <w:tr w:rsidR="00F44E1C" w:rsidRPr="00617833" w:rsidTr="00F44E1C">
        <w:trPr>
          <w:trHeight w:val="315"/>
          <w:jc w:val="center"/>
        </w:trPr>
        <w:tc>
          <w:tcPr>
            <w:tcW w:w="3140" w:type="dxa"/>
            <w:tcBorders>
              <w:top w:val="nil"/>
              <w:left w:val="nil"/>
              <w:bottom w:val="single" w:sz="8" w:space="0" w:color="auto"/>
              <w:right w:val="nil"/>
            </w:tcBorders>
            <w:shd w:val="clear" w:color="auto" w:fill="auto"/>
            <w:noWrap/>
            <w:vAlign w:val="bottom"/>
            <w:hideMark/>
          </w:tcPr>
          <w:p w:rsidR="00F44E1C" w:rsidRPr="00617833" w:rsidRDefault="00F44E1C">
            <w:pPr>
              <w:rPr>
                <w:rFonts w:ascii="Verdana" w:hAnsi="Verdana" w:cs="Calibri"/>
                <w:color w:val="000000"/>
                <w:sz w:val="20"/>
                <w:szCs w:val="20"/>
              </w:rPr>
            </w:pPr>
            <w:r w:rsidRPr="00617833">
              <w:rPr>
                <w:rFonts w:ascii="Verdana" w:hAnsi="Verdana" w:cs="Calibri"/>
                <w:color w:val="000000"/>
                <w:sz w:val="20"/>
                <w:szCs w:val="20"/>
              </w:rPr>
              <w:t>Tribunal Supremo: Sala 1ª</w:t>
            </w:r>
          </w:p>
        </w:tc>
        <w:tc>
          <w:tcPr>
            <w:tcW w:w="112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100,0</w:t>
            </w:r>
          </w:p>
        </w:tc>
        <w:tc>
          <w:tcPr>
            <w:tcW w:w="94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88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6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0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78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c>
          <w:tcPr>
            <w:tcW w:w="1240" w:type="dxa"/>
            <w:tcBorders>
              <w:top w:val="nil"/>
              <w:left w:val="nil"/>
              <w:bottom w:val="single" w:sz="8" w:space="0" w:color="auto"/>
              <w:right w:val="nil"/>
            </w:tcBorders>
            <w:shd w:val="clear" w:color="auto" w:fill="auto"/>
            <w:noWrap/>
            <w:vAlign w:val="bottom"/>
            <w:hideMark/>
          </w:tcPr>
          <w:p w:rsidR="00F44E1C" w:rsidRPr="00617833" w:rsidRDefault="00F44E1C">
            <w:pPr>
              <w:jc w:val="right"/>
              <w:rPr>
                <w:rFonts w:ascii="Verdana" w:hAnsi="Verdana" w:cs="Calibri"/>
                <w:color w:val="000000"/>
                <w:sz w:val="20"/>
                <w:szCs w:val="20"/>
              </w:rPr>
            </w:pPr>
            <w:r w:rsidRPr="00617833">
              <w:rPr>
                <w:rFonts w:ascii="Verdana" w:hAnsi="Verdana" w:cs="Calibri"/>
                <w:color w:val="000000"/>
                <w:sz w:val="20"/>
                <w:szCs w:val="20"/>
              </w:rPr>
              <w:t>0,0</w:t>
            </w:r>
          </w:p>
        </w:tc>
      </w:tr>
    </w:tbl>
    <w:p w:rsidR="00417E29" w:rsidRPr="00617833" w:rsidRDefault="00DD4FB4">
      <w:pPr>
        <w:pStyle w:val="Textoindependiente"/>
        <w:spacing w:before="120" w:after="120"/>
        <w:ind w:firstLine="357"/>
        <w:rPr>
          <w:rFonts w:ascii="Verdana" w:hAnsi="Verdana"/>
          <w:sz w:val="20"/>
        </w:rPr>
      </w:pPr>
      <w:r w:rsidRPr="00617833">
        <w:rPr>
          <w:rFonts w:ascii="Verdana" w:hAnsi="Verdana"/>
          <w:sz w:val="20"/>
        </w:rPr>
        <w:lastRenderedPageBreak/>
        <w:t>E</w:t>
      </w:r>
      <w:r w:rsidR="001B4EE3" w:rsidRPr="00617833">
        <w:rPr>
          <w:rFonts w:ascii="Verdana" w:hAnsi="Verdana"/>
          <w:sz w:val="20"/>
        </w:rPr>
        <w:t>n lo</w:t>
      </w:r>
      <w:r w:rsidR="00614C7F" w:rsidRPr="00617833">
        <w:rPr>
          <w:rFonts w:ascii="Verdana" w:hAnsi="Verdana"/>
          <w:sz w:val="20"/>
        </w:rPr>
        <w:t>s juzgados de primera i</w:t>
      </w:r>
      <w:r w:rsidR="001B4EE3" w:rsidRPr="00617833">
        <w:rPr>
          <w:rFonts w:ascii="Verdana" w:hAnsi="Verdana"/>
          <w:sz w:val="20"/>
        </w:rPr>
        <w:t>nstancia</w:t>
      </w:r>
      <w:r w:rsidR="000C121E" w:rsidRPr="00617833">
        <w:rPr>
          <w:rFonts w:ascii="Verdana" w:hAnsi="Verdana"/>
          <w:sz w:val="20"/>
        </w:rPr>
        <w:t xml:space="preserve"> e instrucción</w:t>
      </w:r>
      <w:r w:rsidR="004D7ADA" w:rsidRPr="00617833">
        <w:rPr>
          <w:rStyle w:val="Refdenotaalpie"/>
          <w:rFonts w:ascii="Verdana" w:hAnsi="Verdana"/>
          <w:sz w:val="20"/>
        </w:rPr>
        <w:footnoteReference w:id="3"/>
      </w:r>
      <w:r w:rsidR="001B4EE3" w:rsidRPr="00617833">
        <w:rPr>
          <w:rFonts w:ascii="Verdana" w:hAnsi="Verdana"/>
          <w:sz w:val="20"/>
        </w:rPr>
        <w:t xml:space="preserve"> los jueces titulares dictaron un </w:t>
      </w:r>
      <w:r w:rsidR="00CF601C" w:rsidRPr="00617833">
        <w:rPr>
          <w:rFonts w:ascii="Verdana" w:hAnsi="Verdana"/>
          <w:sz w:val="20"/>
        </w:rPr>
        <w:t>8</w:t>
      </w:r>
      <w:r w:rsidR="00B23463" w:rsidRPr="00617833">
        <w:rPr>
          <w:rFonts w:ascii="Verdana" w:hAnsi="Verdana"/>
          <w:sz w:val="20"/>
        </w:rPr>
        <w:t>4</w:t>
      </w:r>
      <w:r w:rsidR="00B14C48" w:rsidRPr="00617833">
        <w:rPr>
          <w:rFonts w:ascii="Verdana" w:hAnsi="Verdana"/>
          <w:sz w:val="20"/>
        </w:rPr>
        <w:t>,</w:t>
      </w:r>
      <w:r w:rsidR="00B23463" w:rsidRPr="00617833">
        <w:rPr>
          <w:rFonts w:ascii="Verdana" w:hAnsi="Verdana"/>
          <w:sz w:val="20"/>
        </w:rPr>
        <w:t>8</w:t>
      </w:r>
      <w:r w:rsidR="00101D48" w:rsidRPr="00617833">
        <w:rPr>
          <w:rFonts w:ascii="Verdana" w:hAnsi="Verdana"/>
          <w:sz w:val="20"/>
        </w:rPr>
        <w:t>% de las sentencias</w:t>
      </w:r>
      <w:r w:rsidR="00E74E3E" w:rsidRPr="00617833">
        <w:rPr>
          <w:rFonts w:ascii="Verdana" w:hAnsi="Verdana"/>
          <w:sz w:val="20"/>
        </w:rPr>
        <w:t>, de ellas un 0,</w:t>
      </w:r>
      <w:r w:rsidR="00CF601C" w:rsidRPr="00617833">
        <w:rPr>
          <w:rFonts w:ascii="Verdana" w:hAnsi="Verdana"/>
          <w:sz w:val="20"/>
        </w:rPr>
        <w:t>1</w:t>
      </w:r>
      <w:r w:rsidR="00E74E3E" w:rsidRPr="00617833">
        <w:rPr>
          <w:rFonts w:ascii="Verdana" w:hAnsi="Verdana"/>
          <w:sz w:val="20"/>
        </w:rPr>
        <w:t xml:space="preserve">% actuando como </w:t>
      </w:r>
      <w:r w:rsidR="007A5651" w:rsidRPr="00617833">
        <w:rPr>
          <w:rFonts w:ascii="Verdana" w:hAnsi="Verdana"/>
          <w:sz w:val="20"/>
        </w:rPr>
        <w:t>auto refuerzo</w:t>
      </w:r>
      <w:r w:rsidR="001B4EE3" w:rsidRPr="00617833">
        <w:rPr>
          <w:rFonts w:ascii="Verdana" w:hAnsi="Verdana"/>
          <w:sz w:val="20"/>
        </w:rPr>
        <w:t>.  Las comunidades con el mayor porcentaje de sentencias d</w:t>
      </w:r>
      <w:r w:rsidR="00101D48" w:rsidRPr="00617833">
        <w:rPr>
          <w:rFonts w:ascii="Verdana" w:hAnsi="Verdana"/>
          <w:sz w:val="20"/>
        </w:rPr>
        <w:t xml:space="preserve">ictadas por titulares han sido </w:t>
      </w:r>
      <w:r w:rsidR="00CF601C" w:rsidRPr="00617833">
        <w:rPr>
          <w:rFonts w:ascii="Verdana" w:hAnsi="Verdana"/>
          <w:sz w:val="20"/>
        </w:rPr>
        <w:t>Extremadura, 99,</w:t>
      </w:r>
      <w:r w:rsidR="00B23463" w:rsidRPr="00617833">
        <w:rPr>
          <w:rFonts w:ascii="Verdana" w:hAnsi="Verdana"/>
          <w:sz w:val="20"/>
        </w:rPr>
        <w:t>2</w:t>
      </w:r>
      <w:r w:rsidR="00CF601C" w:rsidRPr="00617833">
        <w:rPr>
          <w:rFonts w:ascii="Verdana" w:hAnsi="Verdana"/>
          <w:sz w:val="20"/>
        </w:rPr>
        <w:t xml:space="preserve">%; Cantabria, </w:t>
      </w:r>
      <w:r w:rsidR="00B23463" w:rsidRPr="00617833">
        <w:rPr>
          <w:rFonts w:ascii="Verdana" w:hAnsi="Verdana"/>
          <w:sz w:val="20"/>
        </w:rPr>
        <w:t>97</w:t>
      </w:r>
      <w:r w:rsidR="0099325B" w:rsidRPr="00617833">
        <w:rPr>
          <w:rFonts w:ascii="Verdana" w:hAnsi="Verdana"/>
          <w:sz w:val="20"/>
        </w:rPr>
        <w:t>,</w:t>
      </w:r>
      <w:r w:rsidR="00B23463" w:rsidRPr="00617833">
        <w:rPr>
          <w:rFonts w:ascii="Verdana" w:hAnsi="Verdana"/>
          <w:sz w:val="20"/>
        </w:rPr>
        <w:t>2</w:t>
      </w:r>
      <w:r w:rsidR="0099325B" w:rsidRPr="00617833">
        <w:rPr>
          <w:rFonts w:ascii="Verdana" w:hAnsi="Verdana"/>
          <w:sz w:val="20"/>
        </w:rPr>
        <w:t>%; La R</w:t>
      </w:r>
      <w:r w:rsidR="00CF601C" w:rsidRPr="00617833">
        <w:rPr>
          <w:rFonts w:ascii="Verdana" w:hAnsi="Verdana"/>
          <w:sz w:val="20"/>
        </w:rPr>
        <w:t>ioja, 9</w:t>
      </w:r>
      <w:r w:rsidR="00B23463" w:rsidRPr="00617833">
        <w:rPr>
          <w:rFonts w:ascii="Verdana" w:hAnsi="Verdana"/>
          <w:sz w:val="20"/>
        </w:rPr>
        <w:t>7</w:t>
      </w:r>
      <w:r w:rsidR="00CF601C" w:rsidRPr="00617833">
        <w:rPr>
          <w:rFonts w:ascii="Verdana" w:hAnsi="Verdana"/>
          <w:sz w:val="20"/>
        </w:rPr>
        <w:t>,</w:t>
      </w:r>
      <w:r w:rsidR="00B23463" w:rsidRPr="00617833">
        <w:rPr>
          <w:rFonts w:ascii="Verdana" w:hAnsi="Verdana"/>
          <w:sz w:val="20"/>
        </w:rPr>
        <w:t>5</w:t>
      </w:r>
      <w:r w:rsidR="00CF601C" w:rsidRPr="00617833">
        <w:rPr>
          <w:rFonts w:ascii="Verdana" w:hAnsi="Verdana"/>
          <w:sz w:val="20"/>
        </w:rPr>
        <w:t xml:space="preserve">%; </w:t>
      </w:r>
      <w:r w:rsidR="00B23463" w:rsidRPr="00617833">
        <w:rPr>
          <w:rFonts w:ascii="Verdana" w:hAnsi="Verdana"/>
          <w:sz w:val="20"/>
        </w:rPr>
        <w:t xml:space="preserve">Madrid, 93,4%; </w:t>
      </w:r>
      <w:r w:rsidR="00CF601C" w:rsidRPr="00617833">
        <w:rPr>
          <w:rFonts w:ascii="Verdana" w:hAnsi="Verdana"/>
          <w:sz w:val="20"/>
        </w:rPr>
        <w:t>Asturias, 9</w:t>
      </w:r>
      <w:r w:rsidR="00B23463" w:rsidRPr="00617833">
        <w:rPr>
          <w:rFonts w:ascii="Verdana" w:hAnsi="Verdana"/>
          <w:sz w:val="20"/>
        </w:rPr>
        <w:t>0</w:t>
      </w:r>
      <w:r w:rsidR="00CF601C" w:rsidRPr="00617833">
        <w:rPr>
          <w:rFonts w:ascii="Verdana" w:hAnsi="Verdana"/>
          <w:sz w:val="20"/>
        </w:rPr>
        <w:t>,4</w:t>
      </w:r>
      <w:r w:rsidR="00F97490" w:rsidRPr="00617833">
        <w:rPr>
          <w:rFonts w:ascii="Verdana" w:hAnsi="Verdana"/>
          <w:sz w:val="20"/>
        </w:rPr>
        <w:t>%</w:t>
      </w:r>
      <w:r w:rsidR="00B23463" w:rsidRPr="00617833">
        <w:rPr>
          <w:rFonts w:ascii="Verdana" w:hAnsi="Verdana"/>
          <w:sz w:val="20"/>
        </w:rPr>
        <w:t>.</w:t>
      </w:r>
      <w:r w:rsidR="00E74E3E" w:rsidRPr="00617833">
        <w:rPr>
          <w:rFonts w:ascii="Verdana" w:hAnsi="Verdana"/>
          <w:sz w:val="20"/>
        </w:rPr>
        <w:t xml:space="preserve"> </w:t>
      </w:r>
      <w:r w:rsidR="001B4EE3" w:rsidRPr="00617833">
        <w:rPr>
          <w:rFonts w:ascii="Verdana" w:hAnsi="Verdana"/>
          <w:sz w:val="20"/>
        </w:rPr>
        <w:t xml:space="preserve">La que </w:t>
      </w:r>
      <w:r w:rsidR="008C50D7" w:rsidRPr="00617833">
        <w:rPr>
          <w:rFonts w:ascii="Verdana" w:hAnsi="Verdana"/>
          <w:sz w:val="20"/>
        </w:rPr>
        <w:t xml:space="preserve">ha </w:t>
      </w:r>
      <w:r w:rsidR="001B4EE3" w:rsidRPr="00617833">
        <w:rPr>
          <w:rFonts w:ascii="Verdana" w:hAnsi="Verdana"/>
          <w:sz w:val="20"/>
        </w:rPr>
        <w:t>presenta</w:t>
      </w:r>
      <w:r w:rsidR="008C50D7" w:rsidRPr="00617833">
        <w:rPr>
          <w:rFonts w:ascii="Verdana" w:hAnsi="Verdana"/>
          <w:sz w:val="20"/>
        </w:rPr>
        <w:t>do</w:t>
      </w:r>
      <w:r w:rsidR="001B4EE3" w:rsidRPr="00617833">
        <w:rPr>
          <w:rFonts w:ascii="Verdana" w:hAnsi="Verdana"/>
          <w:sz w:val="20"/>
        </w:rPr>
        <w:t xml:space="preserve"> el </w:t>
      </w:r>
      <w:r w:rsidR="0072445C" w:rsidRPr="00617833">
        <w:rPr>
          <w:rFonts w:ascii="Verdana" w:hAnsi="Verdana"/>
          <w:sz w:val="20"/>
        </w:rPr>
        <w:t xml:space="preserve">porcentaje </w:t>
      </w:r>
      <w:r w:rsidR="001B4EE3" w:rsidRPr="00617833">
        <w:rPr>
          <w:rFonts w:ascii="Verdana" w:hAnsi="Verdana"/>
          <w:sz w:val="20"/>
        </w:rPr>
        <w:t xml:space="preserve">más bajo </w:t>
      </w:r>
      <w:r w:rsidR="008C50D7" w:rsidRPr="00617833">
        <w:rPr>
          <w:rFonts w:ascii="Verdana" w:hAnsi="Verdana"/>
          <w:sz w:val="20"/>
        </w:rPr>
        <w:t>ha sido</w:t>
      </w:r>
      <w:r w:rsidR="001B4EE3" w:rsidRPr="00617833">
        <w:rPr>
          <w:rFonts w:ascii="Verdana" w:hAnsi="Verdana"/>
          <w:sz w:val="20"/>
        </w:rPr>
        <w:t xml:space="preserve"> </w:t>
      </w:r>
      <w:r w:rsidR="00CF601C" w:rsidRPr="00617833">
        <w:rPr>
          <w:rFonts w:ascii="Verdana" w:hAnsi="Verdana"/>
          <w:sz w:val="20"/>
        </w:rPr>
        <w:t xml:space="preserve">la C. Valenciana, </w:t>
      </w:r>
      <w:r w:rsidR="00B23463" w:rsidRPr="00617833">
        <w:rPr>
          <w:rFonts w:ascii="Verdana" w:hAnsi="Verdana"/>
          <w:sz w:val="20"/>
        </w:rPr>
        <w:t>75</w:t>
      </w:r>
      <w:r w:rsidR="00CF601C" w:rsidRPr="00617833">
        <w:rPr>
          <w:rFonts w:ascii="Verdana" w:hAnsi="Verdana"/>
          <w:sz w:val="20"/>
        </w:rPr>
        <w:t>,</w:t>
      </w:r>
      <w:r w:rsidR="00B23463" w:rsidRPr="00617833">
        <w:rPr>
          <w:rFonts w:ascii="Verdana" w:hAnsi="Verdana"/>
          <w:sz w:val="20"/>
        </w:rPr>
        <w:t>6</w:t>
      </w:r>
      <w:r w:rsidR="00CF601C" w:rsidRPr="00617833">
        <w:rPr>
          <w:rFonts w:ascii="Verdana" w:hAnsi="Verdana"/>
          <w:sz w:val="20"/>
        </w:rPr>
        <w:t xml:space="preserve">%. </w:t>
      </w:r>
      <w:r w:rsidR="00B14C48" w:rsidRPr="00617833">
        <w:rPr>
          <w:rFonts w:ascii="Verdana" w:hAnsi="Verdana"/>
          <w:sz w:val="20"/>
        </w:rPr>
        <w:t xml:space="preserve">Como refuerzo se han dictado el </w:t>
      </w:r>
      <w:r w:rsidR="00B23463" w:rsidRPr="00617833">
        <w:rPr>
          <w:rFonts w:ascii="Verdana" w:hAnsi="Verdana"/>
          <w:sz w:val="20"/>
        </w:rPr>
        <w:t>6</w:t>
      </w:r>
      <w:r w:rsidR="005D1BE1" w:rsidRPr="00617833">
        <w:rPr>
          <w:rFonts w:ascii="Verdana" w:hAnsi="Verdana"/>
          <w:sz w:val="20"/>
        </w:rPr>
        <w:t>,</w:t>
      </w:r>
      <w:r w:rsidR="00B23463" w:rsidRPr="00617833">
        <w:rPr>
          <w:rFonts w:ascii="Verdana" w:hAnsi="Verdana"/>
          <w:sz w:val="20"/>
        </w:rPr>
        <w:t>9</w:t>
      </w:r>
      <w:r w:rsidR="00B14C48" w:rsidRPr="00617833">
        <w:rPr>
          <w:rFonts w:ascii="Verdana" w:hAnsi="Verdana"/>
          <w:sz w:val="20"/>
        </w:rPr>
        <w:t xml:space="preserve">% de las sentencias, </w:t>
      </w:r>
      <w:r w:rsidR="005D1BE1" w:rsidRPr="00617833">
        <w:rPr>
          <w:rFonts w:ascii="Verdana" w:hAnsi="Verdana"/>
          <w:sz w:val="20"/>
        </w:rPr>
        <w:t xml:space="preserve">alcanzándose el </w:t>
      </w:r>
      <w:r w:rsidR="00B23463" w:rsidRPr="00617833">
        <w:rPr>
          <w:rFonts w:ascii="Verdana" w:hAnsi="Verdana"/>
          <w:sz w:val="20"/>
        </w:rPr>
        <w:t>16</w:t>
      </w:r>
      <w:r w:rsidR="005D1BE1" w:rsidRPr="00617833">
        <w:rPr>
          <w:rFonts w:ascii="Verdana" w:hAnsi="Verdana"/>
          <w:sz w:val="20"/>
        </w:rPr>
        <w:t>,</w:t>
      </w:r>
      <w:r w:rsidR="00B23463" w:rsidRPr="00617833">
        <w:rPr>
          <w:rFonts w:ascii="Verdana" w:hAnsi="Verdana"/>
          <w:sz w:val="20"/>
        </w:rPr>
        <w:t xml:space="preserve">6% en la C. Valenciana; en La </w:t>
      </w:r>
      <w:r w:rsidR="00F97490" w:rsidRPr="00617833">
        <w:rPr>
          <w:rFonts w:ascii="Verdana" w:hAnsi="Verdana"/>
          <w:sz w:val="20"/>
        </w:rPr>
        <w:t>R</w:t>
      </w:r>
      <w:r w:rsidR="00B23463" w:rsidRPr="00617833">
        <w:rPr>
          <w:rFonts w:ascii="Verdana" w:hAnsi="Verdana"/>
          <w:sz w:val="20"/>
        </w:rPr>
        <w:t xml:space="preserve">ioja el 12,7%, pero todas como </w:t>
      </w:r>
      <w:r w:rsidR="002F644C" w:rsidRPr="00617833">
        <w:rPr>
          <w:rFonts w:ascii="Verdana" w:hAnsi="Verdana"/>
          <w:sz w:val="20"/>
        </w:rPr>
        <w:t>auto refuerzo</w:t>
      </w:r>
      <w:r w:rsidR="00B23463" w:rsidRPr="00617833">
        <w:rPr>
          <w:rFonts w:ascii="Verdana" w:hAnsi="Verdana"/>
          <w:sz w:val="20"/>
        </w:rPr>
        <w:t>; el 13,1</w:t>
      </w:r>
      <w:r w:rsidR="005D1BE1" w:rsidRPr="00617833">
        <w:rPr>
          <w:rFonts w:ascii="Verdana" w:hAnsi="Verdana"/>
          <w:sz w:val="20"/>
        </w:rPr>
        <w:t xml:space="preserve">% en Murcia; </w:t>
      </w:r>
      <w:r w:rsidR="00B23463" w:rsidRPr="00617833">
        <w:rPr>
          <w:rFonts w:ascii="Verdana" w:hAnsi="Verdana"/>
          <w:sz w:val="20"/>
        </w:rPr>
        <w:t xml:space="preserve">el 10,5% en Castilla y León; </w:t>
      </w:r>
      <w:r w:rsidR="005D1BE1" w:rsidRPr="00617833">
        <w:rPr>
          <w:rFonts w:ascii="Verdana" w:hAnsi="Verdana"/>
          <w:sz w:val="20"/>
        </w:rPr>
        <w:t xml:space="preserve">el </w:t>
      </w:r>
      <w:r w:rsidR="00B23463" w:rsidRPr="00617833">
        <w:rPr>
          <w:rFonts w:ascii="Verdana" w:hAnsi="Verdana"/>
          <w:sz w:val="20"/>
        </w:rPr>
        <w:t>10</w:t>
      </w:r>
      <w:r w:rsidR="005D1BE1" w:rsidRPr="00617833">
        <w:rPr>
          <w:rFonts w:ascii="Verdana" w:hAnsi="Verdana"/>
          <w:sz w:val="20"/>
        </w:rPr>
        <w:t>,</w:t>
      </w:r>
      <w:r w:rsidR="00B23463" w:rsidRPr="00617833">
        <w:rPr>
          <w:rFonts w:ascii="Verdana" w:hAnsi="Verdana"/>
          <w:sz w:val="20"/>
        </w:rPr>
        <w:t>1</w:t>
      </w:r>
      <w:r w:rsidR="005D1BE1" w:rsidRPr="00617833">
        <w:rPr>
          <w:rFonts w:ascii="Verdana" w:hAnsi="Verdana"/>
          <w:sz w:val="20"/>
        </w:rPr>
        <w:t xml:space="preserve">% en </w:t>
      </w:r>
      <w:r w:rsidR="006A1CEA" w:rsidRPr="00617833">
        <w:rPr>
          <w:rFonts w:ascii="Verdana" w:hAnsi="Verdana"/>
          <w:sz w:val="20"/>
        </w:rPr>
        <w:t>Illes</w:t>
      </w:r>
      <w:r w:rsidR="005D1BE1" w:rsidRPr="00617833">
        <w:rPr>
          <w:rFonts w:ascii="Verdana" w:hAnsi="Verdana"/>
          <w:sz w:val="20"/>
        </w:rPr>
        <w:t xml:space="preserve"> Balears; el </w:t>
      </w:r>
      <w:r w:rsidR="00B23463" w:rsidRPr="00617833">
        <w:rPr>
          <w:rFonts w:ascii="Verdana" w:hAnsi="Verdana"/>
          <w:sz w:val="20"/>
        </w:rPr>
        <w:t>9</w:t>
      </w:r>
      <w:r w:rsidR="005D1BE1" w:rsidRPr="00617833">
        <w:rPr>
          <w:rFonts w:ascii="Verdana" w:hAnsi="Verdana"/>
          <w:sz w:val="20"/>
        </w:rPr>
        <w:t>,</w:t>
      </w:r>
      <w:r w:rsidR="00B23463" w:rsidRPr="00617833">
        <w:rPr>
          <w:rFonts w:ascii="Verdana" w:hAnsi="Verdana"/>
          <w:sz w:val="20"/>
        </w:rPr>
        <w:t>5</w:t>
      </w:r>
      <w:r w:rsidR="005D1BE1" w:rsidRPr="00617833">
        <w:rPr>
          <w:rFonts w:ascii="Verdana" w:hAnsi="Verdana"/>
          <w:sz w:val="20"/>
        </w:rPr>
        <w:t xml:space="preserve">% en </w:t>
      </w:r>
      <w:r w:rsidR="00B23463" w:rsidRPr="00617833">
        <w:rPr>
          <w:rFonts w:ascii="Verdana" w:hAnsi="Verdana"/>
          <w:sz w:val="20"/>
        </w:rPr>
        <w:t>Aragón; el 9,3% en País Vasco y el 9,1% en Navarra</w:t>
      </w:r>
      <w:r w:rsidR="005D1BE1" w:rsidRPr="00617833">
        <w:rPr>
          <w:rFonts w:ascii="Verdana" w:hAnsi="Verdana"/>
          <w:sz w:val="20"/>
        </w:rPr>
        <w:t xml:space="preserve">.  Los jueces de adscripción territorial han dictado el </w:t>
      </w:r>
      <w:r w:rsidR="00B23463" w:rsidRPr="00617833">
        <w:rPr>
          <w:rFonts w:ascii="Verdana" w:hAnsi="Verdana"/>
          <w:sz w:val="20"/>
        </w:rPr>
        <w:t>4</w:t>
      </w:r>
      <w:r w:rsidR="005D1BE1" w:rsidRPr="00617833">
        <w:rPr>
          <w:rFonts w:ascii="Verdana" w:hAnsi="Verdana"/>
          <w:sz w:val="20"/>
        </w:rPr>
        <w:t>,</w:t>
      </w:r>
      <w:r w:rsidR="00B23463" w:rsidRPr="00617833">
        <w:rPr>
          <w:rFonts w:ascii="Verdana" w:hAnsi="Verdana"/>
          <w:sz w:val="20"/>
        </w:rPr>
        <w:t>2</w:t>
      </w:r>
      <w:r w:rsidR="005D1BE1" w:rsidRPr="00617833">
        <w:rPr>
          <w:rFonts w:ascii="Verdana" w:hAnsi="Verdana"/>
          <w:sz w:val="20"/>
        </w:rPr>
        <w:t xml:space="preserve">%, llegando al </w:t>
      </w:r>
      <w:r w:rsidR="00B23463" w:rsidRPr="00617833">
        <w:rPr>
          <w:rFonts w:ascii="Verdana" w:hAnsi="Verdana"/>
          <w:sz w:val="20"/>
        </w:rPr>
        <w:t>8</w:t>
      </w:r>
      <w:r w:rsidR="005D1BE1" w:rsidRPr="00617833">
        <w:rPr>
          <w:rFonts w:ascii="Verdana" w:hAnsi="Verdana"/>
          <w:sz w:val="20"/>
        </w:rPr>
        <w:t xml:space="preserve">,9% en la C. Valenciana; </w:t>
      </w:r>
      <w:r w:rsidR="00B23463" w:rsidRPr="00617833">
        <w:rPr>
          <w:rFonts w:ascii="Verdana" w:hAnsi="Verdana"/>
          <w:sz w:val="20"/>
        </w:rPr>
        <w:t>8,8</w:t>
      </w:r>
      <w:r w:rsidR="005D1BE1" w:rsidRPr="00617833">
        <w:rPr>
          <w:rFonts w:ascii="Verdana" w:hAnsi="Verdana"/>
          <w:sz w:val="20"/>
        </w:rPr>
        <w:t xml:space="preserve">% en </w:t>
      </w:r>
      <w:r w:rsidR="00B23463" w:rsidRPr="00617833">
        <w:rPr>
          <w:rFonts w:ascii="Verdana" w:hAnsi="Verdana"/>
          <w:sz w:val="20"/>
        </w:rPr>
        <w:t>Asturias; 8</w:t>
      </w:r>
      <w:r w:rsidR="005D1BE1" w:rsidRPr="00617833">
        <w:rPr>
          <w:rFonts w:ascii="Verdana" w:hAnsi="Verdana"/>
          <w:sz w:val="20"/>
        </w:rPr>
        <w:t>,</w:t>
      </w:r>
      <w:r w:rsidR="00B23463" w:rsidRPr="00617833">
        <w:rPr>
          <w:rFonts w:ascii="Verdana" w:hAnsi="Verdana"/>
          <w:sz w:val="20"/>
        </w:rPr>
        <w:t>5</w:t>
      </w:r>
      <w:r w:rsidR="005D1BE1" w:rsidRPr="00617833">
        <w:rPr>
          <w:rFonts w:ascii="Verdana" w:hAnsi="Verdana"/>
          <w:sz w:val="20"/>
        </w:rPr>
        <w:t xml:space="preserve">% en </w:t>
      </w:r>
      <w:r w:rsidR="00B23463" w:rsidRPr="00617833">
        <w:rPr>
          <w:rFonts w:ascii="Verdana" w:hAnsi="Verdana"/>
          <w:sz w:val="20"/>
        </w:rPr>
        <w:t>Murcia; y 7,2</w:t>
      </w:r>
      <w:r w:rsidR="005D1BE1" w:rsidRPr="00617833">
        <w:rPr>
          <w:rFonts w:ascii="Verdana" w:hAnsi="Verdana"/>
          <w:sz w:val="20"/>
        </w:rPr>
        <w:t>% en Andalucía</w:t>
      </w:r>
      <w:r w:rsidR="005C70C7" w:rsidRPr="00617833">
        <w:rPr>
          <w:rFonts w:ascii="Verdana" w:hAnsi="Verdana"/>
          <w:sz w:val="20"/>
        </w:rPr>
        <w:t>.</w:t>
      </w:r>
      <w:r w:rsidR="003411CC" w:rsidRPr="00617833">
        <w:rPr>
          <w:rFonts w:ascii="Verdana" w:hAnsi="Verdana"/>
          <w:sz w:val="20"/>
        </w:rPr>
        <w:t xml:space="preserve">  </w:t>
      </w:r>
      <w:r w:rsidR="007C6B17" w:rsidRPr="00617833">
        <w:rPr>
          <w:rFonts w:ascii="Verdana" w:hAnsi="Verdana"/>
          <w:sz w:val="20"/>
        </w:rPr>
        <w:t>Las sentencias dictadas por jueces sustitutos han representa</w:t>
      </w:r>
      <w:r w:rsidR="004A2B7F" w:rsidRPr="00617833">
        <w:rPr>
          <w:rFonts w:ascii="Verdana" w:hAnsi="Verdana"/>
          <w:sz w:val="20"/>
        </w:rPr>
        <w:t xml:space="preserve">do el </w:t>
      </w:r>
      <w:r w:rsidR="00417E29" w:rsidRPr="00617833">
        <w:rPr>
          <w:rFonts w:ascii="Verdana" w:hAnsi="Verdana"/>
          <w:sz w:val="20"/>
        </w:rPr>
        <w:t>5</w:t>
      </w:r>
      <w:r w:rsidR="005C70C7" w:rsidRPr="00617833">
        <w:rPr>
          <w:rFonts w:ascii="Verdana" w:hAnsi="Verdana"/>
          <w:sz w:val="20"/>
        </w:rPr>
        <w:t>,</w:t>
      </w:r>
      <w:r w:rsidR="00417E29" w:rsidRPr="00617833">
        <w:rPr>
          <w:rFonts w:ascii="Verdana" w:hAnsi="Verdana"/>
          <w:sz w:val="20"/>
        </w:rPr>
        <w:t>2</w:t>
      </w:r>
      <w:r w:rsidR="004A2B7F" w:rsidRPr="00617833">
        <w:rPr>
          <w:rFonts w:ascii="Verdana" w:hAnsi="Verdana"/>
          <w:sz w:val="20"/>
        </w:rPr>
        <w:t>%</w:t>
      </w:r>
      <w:r w:rsidR="005C70C7" w:rsidRPr="00617833">
        <w:rPr>
          <w:rFonts w:ascii="Verdana" w:hAnsi="Verdana"/>
          <w:sz w:val="20"/>
        </w:rPr>
        <w:t xml:space="preserve"> actuando como sustitución del titular, y el </w:t>
      </w:r>
      <w:r w:rsidR="00417E29" w:rsidRPr="00617833">
        <w:rPr>
          <w:rFonts w:ascii="Verdana" w:hAnsi="Verdana"/>
          <w:sz w:val="20"/>
        </w:rPr>
        <w:t>3</w:t>
      </w:r>
      <w:r w:rsidR="005C70C7" w:rsidRPr="00617833">
        <w:rPr>
          <w:rFonts w:ascii="Verdana" w:hAnsi="Verdana"/>
          <w:sz w:val="20"/>
        </w:rPr>
        <w:t>,</w:t>
      </w:r>
      <w:r w:rsidR="00417E29" w:rsidRPr="00617833">
        <w:rPr>
          <w:rFonts w:ascii="Verdana" w:hAnsi="Verdana"/>
          <w:sz w:val="20"/>
        </w:rPr>
        <w:t>9</w:t>
      </w:r>
      <w:r w:rsidR="005C70C7" w:rsidRPr="00617833">
        <w:rPr>
          <w:rFonts w:ascii="Verdana" w:hAnsi="Verdana"/>
          <w:sz w:val="20"/>
        </w:rPr>
        <w:t xml:space="preserve">% como refuerzo; </w:t>
      </w:r>
      <w:r w:rsidR="00417E29" w:rsidRPr="00617833">
        <w:rPr>
          <w:rFonts w:ascii="Verdana" w:hAnsi="Verdana"/>
          <w:sz w:val="20"/>
        </w:rPr>
        <w:t>destacando</w:t>
      </w:r>
      <w:r w:rsidR="005C70C7" w:rsidRPr="00617833">
        <w:rPr>
          <w:rFonts w:ascii="Verdana" w:hAnsi="Verdana"/>
          <w:sz w:val="20"/>
        </w:rPr>
        <w:t xml:space="preserve"> la C. Valenciana </w:t>
      </w:r>
      <w:r w:rsidR="00417E29" w:rsidRPr="00617833">
        <w:rPr>
          <w:rFonts w:ascii="Verdana" w:hAnsi="Verdana"/>
          <w:sz w:val="20"/>
        </w:rPr>
        <w:t>con el 10,3% y 10,1% respectivamente; Galicia, con el 12,5% y 4,5%; Cataluña, 8,8% y 3,3%; Castilla y León, 5,3% y 9%; País Vasco, 5,2% y 8,9%; y Navarra, 5,2% y 6,9%.</w:t>
      </w:r>
    </w:p>
    <w:p w:rsidR="003E24B0" w:rsidRPr="00617833" w:rsidRDefault="00614C7F" w:rsidP="009D5CF4">
      <w:pPr>
        <w:pStyle w:val="Textoindependiente"/>
        <w:spacing w:before="120" w:after="120"/>
        <w:ind w:firstLine="357"/>
        <w:rPr>
          <w:rFonts w:ascii="Verdana" w:hAnsi="Verdana"/>
          <w:sz w:val="20"/>
          <w:szCs w:val="20"/>
          <w:lang w:val="es-ES_tradnl"/>
        </w:rPr>
      </w:pPr>
      <w:r w:rsidRPr="00617833">
        <w:rPr>
          <w:rFonts w:ascii="Verdana" w:hAnsi="Verdana"/>
          <w:sz w:val="20"/>
        </w:rPr>
        <w:t>En los juzgados de f</w:t>
      </w:r>
      <w:r w:rsidR="001B4EE3" w:rsidRPr="00617833">
        <w:rPr>
          <w:rFonts w:ascii="Verdana" w:hAnsi="Verdana"/>
          <w:sz w:val="20"/>
        </w:rPr>
        <w:t>amilia, el porcentaje nacional de sentencias dictadas por titular</w:t>
      </w:r>
      <w:r w:rsidR="002C5CF9" w:rsidRPr="00617833">
        <w:rPr>
          <w:rFonts w:ascii="Verdana" w:hAnsi="Verdana"/>
          <w:sz w:val="20"/>
        </w:rPr>
        <w:t>es</w:t>
      </w:r>
      <w:r w:rsidR="001B4EE3" w:rsidRPr="00617833">
        <w:rPr>
          <w:rFonts w:ascii="Verdana" w:hAnsi="Verdana"/>
          <w:sz w:val="20"/>
        </w:rPr>
        <w:t xml:space="preserve"> </w:t>
      </w:r>
      <w:r w:rsidR="00401399" w:rsidRPr="00617833">
        <w:rPr>
          <w:rFonts w:ascii="Verdana" w:hAnsi="Verdana"/>
          <w:sz w:val="20"/>
        </w:rPr>
        <w:t xml:space="preserve">del órgano </w:t>
      </w:r>
      <w:r w:rsidR="001B4EE3" w:rsidRPr="00617833">
        <w:rPr>
          <w:rFonts w:ascii="Verdana" w:hAnsi="Verdana"/>
          <w:sz w:val="20"/>
        </w:rPr>
        <w:t xml:space="preserve">ha sido del </w:t>
      </w:r>
      <w:r w:rsidR="00D3066A" w:rsidRPr="00617833">
        <w:rPr>
          <w:rFonts w:ascii="Verdana" w:hAnsi="Verdana"/>
          <w:sz w:val="20"/>
        </w:rPr>
        <w:t>7</w:t>
      </w:r>
      <w:r w:rsidR="00A02C39" w:rsidRPr="00617833">
        <w:rPr>
          <w:rFonts w:ascii="Verdana" w:hAnsi="Verdana"/>
          <w:sz w:val="20"/>
        </w:rPr>
        <w:t>8</w:t>
      </w:r>
      <w:r w:rsidR="00056AE8" w:rsidRPr="00617833">
        <w:rPr>
          <w:rFonts w:ascii="Verdana" w:hAnsi="Verdana"/>
          <w:sz w:val="20"/>
        </w:rPr>
        <w:t>,</w:t>
      </w:r>
      <w:r w:rsidR="00A02C39" w:rsidRPr="00617833">
        <w:rPr>
          <w:rFonts w:ascii="Verdana" w:hAnsi="Verdana"/>
          <w:sz w:val="20"/>
        </w:rPr>
        <w:t>4</w:t>
      </w:r>
      <w:r w:rsidR="00990915" w:rsidRPr="00617833">
        <w:rPr>
          <w:rFonts w:ascii="Verdana" w:hAnsi="Verdana"/>
          <w:sz w:val="20"/>
        </w:rPr>
        <w:t>%</w:t>
      </w:r>
      <w:r w:rsidR="007A5CE7" w:rsidRPr="00617833">
        <w:rPr>
          <w:rFonts w:ascii="Verdana" w:hAnsi="Verdana"/>
          <w:sz w:val="20"/>
        </w:rPr>
        <w:t>, alcanzándose el 100% en</w:t>
      </w:r>
      <w:r w:rsidR="00B328F4" w:rsidRPr="00617833">
        <w:rPr>
          <w:rFonts w:ascii="Verdana" w:hAnsi="Verdana"/>
          <w:sz w:val="20"/>
        </w:rPr>
        <w:t xml:space="preserve"> </w:t>
      </w:r>
      <w:r w:rsidR="00A02C39" w:rsidRPr="00617833">
        <w:rPr>
          <w:rFonts w:ascii="Verdana" w:hAnsi="Verdana"/>
          <w:sz w:val="20"/>
        </w:rPr>
        <w:t xml:space="preserve">Illes Balears, </w:t>
      </w:r>
      <w:r w:rsidR="00631D95" w:rsidRPr="00617833">
        <w:rPr>
          <w:rFonts w:ascii="Verdana" w:hAnsi="Verdana"/>
          <w:sz w:val="20"/>
        </w:rPr>
        <w:t>Extremadura</w:t>
      </w:r>
      <w:r w:rsidR="00056AE8" w:rsidRPr="00617833">
        <w:rPr>
          <w:rFonts w:ascii="Verdana" w:hAnsi="Verdana"/>
          <w:sz w:val="20"/>
        </w:rPr>
        <w:t xml:space="preserve"> y la Rioja;</w:t>
      </w:r>
      <w:r w:rsidR="00B328F4" w:rsidRPr="00617833">
        <w:rPr>
          <w:rFonts w:ascii="Verdana" w:hAnsi="Verdana"/>
          <w:sz w:val="20"/>
        </w:rPr>
        <w:t xml:space="preserve"> el 99,</w:t>
      </w:r>
      <w:r w:rsidR="00A02C39" w:rsidRPr="00617833">
        <w:rPr>
          <w:rFonts w:ascii="Verdana" w:hAnsi="Verdana"/>
          <w:sz w:val="20"/>
        </w:rPr>
        <w:t>5</w:t>
      </w:r>
      <w:r w:rsidR="002C5CF9" w:rsidRPr="00617833">
        <w:rPr>
          <w:rFonts w:ascii="Verdana" w:hAnsi="Verdana"/>
          <w:sz w:val="20"/>
        </w:rPr>
        <w:t>%</w:t>
      </w:r>
      <w:r w:rsidR="00B328F4" w:rsidRPr="00617833">
        <w:rPr>
          <w:rFonts w:ascii="Verdana" w:hAnsi="Verdana"/>
          <w:sz w:val="20"/>
        </w:rPr>
        <w:t xml:space="preserve"> en </w:t>
      </w:r>
      <w:r w:rsidR="00056AE8" w:rsidRPr="00617833">
        <w:rPr>
          <w:rFonts w:ascii="Verdana" w:hAnsi="Verdana"/>
          <w:sz w:val="20"/>
        </w:rPr>
        <w:t>Cantabria.</w:t>
      </w:r>
      <w:r w:rsidR="00B328F4" w:rsidRPr="00617833">
        <w:rPr>
          <w:rFonts w:ascii="Verdana" w:hAnsi="Verdana"/>
          <w:sz w:val="20"/>
        </w:rPr>
        <w:t xml:space="preserve"> </w:t>
      </w:r>
      <w:r w:rsidR="00FF4F82" w:rsidRPr="00617833">
        <w:rPr>
          <w:rFonts w:ascii="Verdana" w:hAnsi="Verdana"/>
          <w:sz w:val="20"/>
        </w:rPr>
        <w:t xml:space="preserve"> </w:t>
      </w:r>
      <w:r w:rsidR="00A02C39" w:rsidRPr="00617833">
        <w:rPr>
          <w:rFonts w:ascii="Verdana" w:hAnsi="Verdana"/>
          <w:sz w:val="20"/>
        </w:rPr>
        <w:t>Por el contrario, en Andalucía los titulares han dictado solo el 72,7% y en</w:t>
      </w:r>
      <w:r w:rsidR="00B328F4" w:rsidRPr="00617833">
        <w:rPr>
          <w:rFonts w:ascii="Verdana" w:hAnsi="Verdana"/>
          <w:sz w:val="20"/>
        </w:rPr>
        <w:t xml:space="preserve"> </w:t>
      </w:r>
      <w:r w:rsidR="00E047FF" w:rsidRPr="00617833">
        <w:rPr>
          <w:rFonts w:ascii="Verdana" w:hAnsi="Verdana"/>
          <w:sz w:val="20"/>
        </w:rPr>
        <w:t>Castilla la Mancha</w:t>
      </w:r>
      <w:r w:rsidR="00B328F4" w:rsidRPr="00617833">
        <w:rPr>
          <w:rFonts w:ascii="Verdana" w:hAnsi="Verdana"/>
          <w:sz w:val="20"/>
        </w:rPr>
        <w:t xml:space="preserve"> </w:t>
      </w:r>
      <w:r w:rsidR="00A02C39" w:rsidRPr="00617833">
        <w:rPr>
          <w:rFonts w:ascii="Verdana" w:hAnsi="Verdana"/>
          <w:sz w:val="20"/>
        </w:rPr>
        <w:t>el 75,4%.</w:t>
      </w:r>
      <w:r w:rsidR="00B328F4" w:rsidRPr="00617833">
        <w:rPr>
          <w:rFonts w:ascii="Verdana" w:hAnsi="Verdana"/>
          <w:sz w:val="20"/>
        </w:rPr>
        <w:t xml:space="preserve"> Las sent</w:t>
      </w:r>
      <w:r w:rsidR="00990915" w:rsidRPr="00617833">
        <w:rPr>
          <w:rFonts w:ascii="Verdana" w:hAnsi="Verdana"/>
          <w:sz w:val="20"/>
        </w:rPr>
        <w:t>encias dictadas por jueces sust</w:t>
      </w:r>
      <w:r w:rsidR="00B328F4" w:rsidRPr="00617833">
        <w:rPr>
          <w:rFonts w:ascii="Verdana" w:hAnsi="Verdana"/>
          <w:sz w:val="20"/>
        </w:rPr>
        <w:t>itutos</w:t>
      </w:r>
      <w:r w:rsidR="00B223C1" w:rsidRPr="00617833">
        <w:rPr>
          <w:rFonts w:ascii="Verdana" w:hAnsi="Verdana"/>
          <w:sz w:val="20"/>
        </w:rPr>
        <w:t xml:space="preserve"> h</w:t>
      </w:r>
      <w:r w:rsidR="00B328F4" w:rsidRPr="00617833">
        <w:rPr>
          <w:rFonts w:ascii="Verdana" w:hAnsi="Verdana"/>
          <w:sz w:val="20"/>
        </w:rPr>
        <w:t>a</w:t>
      </w:r>
      <w:r w:rsidR="00B223C1" w:rsidRPr="00617833">
        <w:rPr>
          <w:rFonts w:ascii="Verdana" w:hAnsi="Verdana"/>
          <w:sz w:val="20"/>
        </w:rPr>
        <w:t>n representado</w:t>
      </w:r>
      <w:r w:rsidR="00B328F4" w:rsidRPr="00617833">
        <w:rPr>
          <w:rFonts w:ascii="Verdana" w:hAnsi="Verdana"/>
          <w:sz w:val="20"/>
        </w:rPr>
        <w:t xml:space="preserve"> </w:t>
      </w:r>
      <w:r w:rsidR="00401399" w:rsidRPr="00617833">
        <w:rPr>
          <w:rFonts w:ascii="Verdana" w:hAnsi="Verdana"/>
          <w:sz w:val="20"/>
        </w:rPr>
        <w:t xml:space="preserve">el </w:t>
      </w:r>
      <w:r w:rsidR="00A02C39" w:rsidRPr="00617833">
        <w:rPr>
          <w:rFonts w:ascii="Verdana" w:hAnsi="Verdana"/>
          <w:sz w:val="20"/>
        </w:rPr>
        <w:t>4</w:t>
      </w:r>
      <w:r w:rsidR="00B328F4" w:rsidRPr="00617833">
        <w:rPr>
          <w:rFonts w:ascii="Verdana" w:hAnsi="Verdana"/>
          <w:sz w:val="20"/>
        </w:rPr>
        <w:t>,</w:t>
      </w:r>
      <w:r w:rsidR="00A02C39" w:rsidRPr="00617833">
        <w:rPr>
          <w:rFonts w:ascii="Verdana" w:hAnsi="Verdana"/>
          <w:sz w:val="20"/>
        </w:rPr>
        <w:t>8</w:t>
      </w:r>
      <w:r w:rsidR="00B328F4" w:rsidRPr="00617833">
        <w:rPr>
          <w:rFonts w:ascii="Verdana" w:hAnsi="Verdana"/>
          <w:sz w:val="20"/>
        </w:rPr>
        <w:t>%</w:t>
      </w:r>
      <w:r w:rsidR="00E047FF" w:rsidRPr="00617833">
        <w:rPr>
          <w:rFonts w:ascii="Verdana" w:hAnsi="Verdana"/>
          <w:sz w:val="20"/>
        </w:rPr>
        <w:t xml:space="preserve"> como sustitución del titular y el 0,</w:t>
      </w:r>
      <w:r w:rsidR="00A02C39" w:rsidRPr="00617833">
        <w:rPr>
          <w:rFonts w:ascii="Verdana" w:hAnsi="Verdana"/>
          <w:sz w:val="20"/>
        </w:rPr>
        <w:t>8</w:t>
      </w:r>
      <w:r w:rsidR="00E047FF" w:rsidRPr="00617833">
        <w:rPr>
          <w:rFonts w:ascii="Verdana" w:hAnsi="Verdana"/>
          <w:sz w:val="20"/>
        </w:rPr>
        <w:t>% como refuerzo</w:t>
      </w:r>
      <w:r w:rsidR="00401399" w:rsidRPr="00617833">
        <w:rPr>
          <w:rFonts w:ascii="Verdana" w:hAnsi="Verdana"/>
          <w:sz w:val="20"/>
        </w:rPr>
        <w:t xml:space="preserve">, aunque en </w:t>
      </w:r>
      <w:r w:rsidR="00A02C39" w:rsidRPr="00617833">
        <w:rPr>
          <w:rFonts w:ascii="Verdana" w:hAnsi="Verdana"/>
          <w:sz w:val="20"/>
        </w:rPr>
        <w:t xml:space="preserve">Cataluña </w:t>
      </w:r>
      <w:r w:rsidR="00401399" w:rsidRPr="00617833">
        <w:rPr>
          <w:rFonts w:ascii="Verdana" w:hAnsi="Verdana"/>
          <w:sz w:val="20"/>
        </w:rPr>
        <w:t xml:space="preserve">han representado el </w:t>
      </w:r>
      <w:r w:rsidR="00A02C39" w:rsidRPr="00617833">
        <w:rPr>
          <w:rFonts w:ascii="Verdana" w:hAnsi="Verdana"/>
          <w:sz w:val="20"/>
        </w:rPr>
        <w:t>16</w:t>
      </w:r>
      <w:r w:rsidR="00401399" w:rsidRPr="00617833">
        <w:rPr>
          <w:rFonts w:ascii="Verdana" w:hAnsi="Verdana"/>
          <w:sz w:val="20"/>
        </w:rPr>
        <w:t>,</w:t>
      </w:r>
      <w:r w:rsidR="00A02C39" w:rsidRPr="00617833">
        <w:rPr>
          <w:rFonts w:ascii="Verdana" w:hAnsi="Verdana"/>
          <w:sz w:val="20"/>
        </w:rPr>
        <w:t>8</w:t>
      </w:r>
      <w:r w:rsidR="00401399" w:rsidRPr="00617833">
        <w:rPr>
          <w:rFonts w:ascii="Verdana" w:hAnsi="Verdana"/>
          <w:sz w:val="20"/>
        </w:rPr>
        <w:t>%</w:t>
      </w:r>
      <w:r w:rsidR="00E047FF" w:rsidRPr="00617833">
        <w:rPr>
          <w:rFonts w:ascii="Verdana" w:hAnsi="Verdana"/>
          <w:sz w:val="20"/>
        </w:rPr>
        <w:t>;</w:t>
      </w:r>
      <w:r w:rsidR="00401399" w:rsidRPr="00617833">
        <w:rPr>
          <w:rFonts w:ascii="Verdana" w:hAnsi="Verdana"/>
          <w:sz w:val="20"/>
        </w:rPr>
        <w:t xml:space="preserve"> </w:t>
      </w:r>
      <w:r w:rsidR="003B4C9F" w:rsidRPr="00617833">
        <w:rPr>
          <w:rFonts w:ascii="Verdana" w:hAnsi="Verdana"/>
          <w:sz w:val="20"/>
        </w:rPr>
        <w:t>en Castilla y León el 1</w:t>
      </w:r>
      <w:r w:rsidR="00A02C39" w:rsidRPr="00617833">
        <w:rPr>
          <w:rFonts w:ascii="Verdana" w:hAnsi="Verdana"/>
          <w:sz w:val="20"/>
        </w:rPr>
        <w:t>2</w:t>
      </w:r>
      <w:r w:rsidR="003B4C9F" w:rsidRPr="00617833">
        <w:rPr>
          <w:rFonts w:ascii="Verdana" w:hAnsi="Verdana"/>
          <w:sz w:val="20"/>
        </w:rPr>
        <w:t>,</w:t>
      </w:r>
      <w:r w:rsidR="00A02C39" w:rsidRPr="00617833">
        <w:rPr>
          <w:rFonts w:ascii="Verdana" w:hAnsi="Verdana"/>
          <w:sz w:val="20"/>
        </w:rPr>
        <w:t>3</w:t>
      </w:r>
      <w:r w:rsidR="003B4C9F" w:rsidRPr="00617833">
        <w:rPr>
          <w:rFonts w:ascii="Verdana" w:hAnsi="Verdana"/>
          <w:sz w:val="20"/>
        </w:rPr>
        <w:t xml:space="preserve">%. </w:t>
      </w:r>
      <w:r w:rsidR="00B328F4" w:rsidRPr="00617833">
        <w:rPr>
          <w:rFonts w:ascii="Verdana" w:hAnsi="Verdana"/>
          <w:sz w:val="20"/>
        </w:rPr>
        <w:t>Los refuerzos</w:t>
      </w:r>
      <w:r w:rsidR="00401399" w:rsidRPr="00617833">
        <w:rPr>
          <w:rFonts w:ascii="Verdana" w:hAnsi="Verdana"/>
          <w:sz w:val="20"/>
        </w:rPr>
        <w:t xml:space="preserve">, que a nivel nacional han representado el </w:t>
      </w:r>
      <w:r w:rsidR="00E047FF" w:rsidRPr="00617833">
        <w:rPr>
          <w:rFonts w:ascii="Verdana" w:hAnsi="Verdana"/>
          <w:sz w:val="20"/>
        </w:rPr>
        <w:t>10</w:t>
      </w:r>
      <w:r w:rsidR="00401399" w:rsidRPr="00617833">
        <w:rPr>
          <w:rFonts w:ascii="Verdana" w:hAnsi="Verdana"/>
          <w:sz w:val="20"/>
        </w:rPr>
        <w:t>,</w:t>
      </w:r>
      <w:r w:rsidR="00A02C39" w:rsidRPr="00617833">
        <w:rPr>
          <w:rFonts w:ascii="Verdana" w:hAnsi="Verdana"/>
          <w:sz w:val="20"/>
        </w:rPr>
        <w:t>5</w:t>
      </w:r>
      <w:r w:rsidR="00401399" w:rsidRPr="00617833">
        <w:rPr>
          <w:rFonts w:ascii="Verdana" w:hAnsi="Verdana"/>
          <w:sz w:val="20"/>
        </w:rPr>
        <w:t xml:space="preserve">% de las sentencias, </w:t>
      </w:r>
      <w:r w:rsidR="00E047FF" w:rsidRPr="00617833">
        <w:rPr>
          <w:rFonts w:ascii="Verdana" w:hAnsi="Verdana"/>
          <w:sz w:val="20"/>
        </w:rPr>
        <w:t xml:space="preserve"> han representado el </w:t>
      </w:r>
      <w:r w:rsidR="00A02C39" w:rsidRPr="00617833">
        <w:rPr>
          <w:rFonts w:ascii="Verdana" w:hAnsi="Verdana"/>
          <w:sz w:val="20"/>
        </w:rPr>
        <w:t>24</w:t>
      </w:r>
      <w:r w:rsidR="00E047FF" w:rsidRPr="00617833">
        <w:rPr>
          <w:rFonts w:ascii="Verdana" w:hAnsi="Verdana"/>
          <w:sz w:val="20"/>
        </w:rPr>
        <w:t>,</w:t>
      </w:r>
      <w:r w:rsidR="00A02C39" w:rsidRPr="00617833">
        <w:rPr>
          <w:rFonts w:ascii="Verdana" w:hAnsi="Verdana"/>
          <w:sz w:val="20"/>
        </w:rPr>
        <w:t>6</w:t>
      </w:r>
      <w:r w:rsidR="00E047FF" w:rsidRPr="00617833">
        <w:rPr>
          <w:rFonts w:ascii="Verdana" w:hAnsi="Verdana"/>
          <w:sz w:val="20"/>
        </w:rPr>
        <w:t>%</w:t>
      </w:r>
      <w:r w:rsidR="00F97490" w:rsidRPr="00617833">
        <w:rPr>
          <w:rFonts w:ascii="Verdana" w:hAnsi="Verdana"/>
          <w:sz w:val="20"/>
        </w:rPr>
        <w:t xml:space="preserve"> en Castilla la Mancha</w:t>
      </w:r>
      <w:r w:rsidR="00E047FF" w:rsidRPr="00617833">
        <w:rPr>
          <w:rFonts w:ascii="Verdana" w:hAnsi="Verdana"/>
          <w:sz w:val="20"/>
        </w:rPr>
        <w:t>; en Murcia, el 2</w:t>
      </w:r>
      <w:r w:rsidR="00A02C39" w:rsidRPr="00617833">
        <w:rPr>
          <w:rFonts w:ascii="Verdana" w:hAnsi="Verdana"/>
          <w:sz w:val="20"/>
        </w:rPr>
        <w:t>0</w:t>
      </w:r>
      <w:r w:rsidR="00E047FF" w:rsidRPr="00617833">
        <w:rPr>
          <w:rFonts w:ascii="Verdana" w:hAnsi="Verdana"/>
          <w:sz w:val="20"/>
        </w:rPr>
        <w:t>,</w:t>
      </w:r>
      <w:r w:rsidR="00A02C39" w:rsidRPr="00617833">
        <w:rPr>
          <w:rFonts w:ascii="Verdana" w:hAnsi="Verdana"/>
          <w:sz w:val="20"/>
        </w:rPr>
        <w:t>8</w:t>
      </w:r>
      <w:r w:rsidR="00E047FF" w:rsidRPr="00617833">
        <w:rPr>
          <w:rFonts w:ascii="Verdana" w:hAnsi="Verdana"/>
          <w:sz w:val="20"/>
        </w:rPr>
        <w:t xml:space="preserve">%; </w:t>
      </w:r>
      <w:r w:rsidR="00B328F4" w:rsidRPr="00617833">
        <w:rPr>
          <w:rFonts w:ascii="Verdana" w:hAnsi="Verdana"/>
          <w:sz w:val="20"/>
        </w:rPr>
        <w:t xml:space="preserve"> </w:t>
      </w:r>
      <w:r w:rsidR="00A02C39" w:rsidRPr="00617833">
        <w:rPr>
          <w:rFonts w:ascii="Verdana" w:hAnsi="Verdana"/>
          <w:sz w:val="20"/>
        </w:rPr>
        <w:t xml:space="preserve">en Cataluña el 19,8%; en Navarra el 16,8%; </w:t>
      </w:r>
      <w:r w:rsidR="00E047FF" w:rsidRPr="00617833">
        <w:rPr>
          <w:rFonts w:ascii="Verdana" w:hAnsi="Verdana"/>
          <w:sz w:val="20"/>
        </w:rPr>
        <w:t>en Aragón el 1</w:t>
      </w:r>
      <w:r w:rsidR="00A02C39" w:rsidRPr="00617833">
        <w:rPr>
          <w:rFonts w:ascii="Verdana" w:hAnsi="Verdana"/>
          <w:sz w:val="20"/>
        </w:rPr>
        <w:t>5</w:t>
      </w:r>
      <w:r w:rsidR="00E047FF" w:rsidRPr="00617833">
        <w:rPr>
          <w:rFonts w:ascii="Verdana" w:hAnsi="Verdana"/>
          <w:sz w:val="20"/>
        </w:rPr>
        <w:t xml:space="preserve">%; </w:t>
      </w:r>
      <w:r w:rsidR="00A02C39" w:rsidRPr="00617833">
        <w:rPr>
          <w:rFonts w:ascii="Verdana" w:hAnsi="Verdana"/>
          <w:sz w:val="20"/>
        </w:rPr>
        <w:t xml:space="preserve">y en Andalucía el 14,9%.  </w:t>
      </w:r>
      <w:r w:rsidR="00E047FF" w:rsidRPr="00617833">
        <w:rPr>
          <w:rFonts w:ascii="Verdana" w:hAnsi="Verdana"/>
          <w:sz w:val="20"/>
        </w:rPr>
        <w:t>L</w:t>
      </w:r>
      <w:r w:rsidR="00B328F4" w:rsidRPr="00617833">
        <w:rPr>
          <w:rFonts w:ascii="Verdana" w:hAnsi="Verdana"/>
          <w:sz w:val="20"/>
        </w:rPr>
        <w:t xml:space="preserve">os jueces de adscripción territorial han dictado el </w:t>
      </w:r>
      <w:r w:rsidR="00A02C39" w:rsidRPr="00617833">
        <w:rPr>
          <w:rFonts w:ascii="Verdana" w:hAnsi="Verdana"/>
          <w:sz w:val="20"/>
        </w:rPr>
        <w:t>3</w:t>
      </w:r>
      <w:r w:rsidR="00B328F4" w:rsidRPr="00617833">
        <w:rPr>
          <w:rFonts w:ascii="Verdana" w:hAnsi="Verdana"/>
          <w:sz w:val="20"/>
        </w:rPr>
        <w:t>,</w:t>
      </w:r>
      <w:r w:rsidR="004B7815" w:rsidRPr="00617833">
        <w:rPr>
          <w:rFonts w:ascii="Verdana" w:hAnsi="Verdana"/>
          <w:sz w:val="20"/>
        </w:rPr>
        <w:t>1</w:t>
      </w:r>
      <w:r w:rsidR="00B328F4" w:rsidRPr="00617833">
        <w:rPr>
          <w:rFonts w:ascii="Verdana" w:hAnsi="Verdana"/>
          <w:sz w:val="20"/>
        </w:rPr>
        <w:t xml:space="preserve">% de las </w:t>
      </w:r>
      <w:r w:rsidR="00B328F4" w:rsidRPr="00617833">
        <w:rPr>
          <w:rFonts w:ascii="Verdana" w:hAnsi="Verdana"/>
          <w:sz w:val="20"/>
          <w:szCs w:val="20"/>
          <w:lang w:val="es-ES_tradnl"/>
        </w:rPr>
        <w:t>sentencias</w:t>
      </w:r>
      <w:r w:rsidR="00B96542" w:rsidRPr="00617833">
        <w:rPr>
          <w:rFonts w:ascii="Verdana" w:hAnsi="Verdana"/>
          <w:sz w:val="20"/>
          <w:szCs w:val="20"/>
          <w:lang w:val="es-ES_tradnl"/>
        </w:rPr>
        <w:t xml:space="preserve"> </w:t>
      </w:r>
      <w:r w:rsidR="009D5CF4" w:rsidRPr="00617833">
        <w:rPr>
          <w:rFonts w:ascii="Verdana" w:hAnsi="Verdana"/>
          <w:sz w:val="20"/>
          <w:szCs w:val="20"/>
          <w:lang w:val="es-ES_tradnl"/>
        </w:rPr>
        <w:t xml:space="preserve">actuando en </w:t>
      </w:r>
      <w:r w:rsidR="00B96542" w:rsidRPr="00617833">
        <w:rPr>
          <w:rFonts w:ascii="Verdana" w:hAnsi="Verdana"/>
          <w:sz w:val="20"/>
          <w:szCs w:val="20"/>
          <w:lang w:val="es-ES_tradnl"/>
        </w:rPr>
        <w:t xml:space="preserve">sustitución del titular, y el 8% como refuerzo, </w:t>
      </w:r>
      <w:r w:rsidR="00B328F4" w:rsidRPr="00617833">
        <w:rPr>
          <w:rFonts w:ascii="Verdana" w:hAnsi="Verdana"/>
          <w:sz w:val="20"/>
          <w:szCs w:val="20"/>
          <w:lang w:val="es-ES_tradnl"/>
        </w:rPr>
        <w:t xml:space="preserve"> </w:t>
      </w:r>
      <w:r w:rsidR="00990915" w:rsidRPr="00617833">
        <w:rPr>
          <w:rFonts w:ascii="Verdana" w:hAnsi="Verdana"/>
          <w:sz w:val="20"/>
          <w:szCs w:val="20"/>
          <w:lang w:val="es-ES_tradnl"/>
        </w:rPr>
        <w:t>destacando</w:t>
      </w:r>
      <w:r w:rsidR="00B96542" w:rsidRPr="00617833">
        <w:rPr>
          <w:rFonts w:ascii="Verdana" w:hAnsi="Verdana"/>
          <w:sz w:val="20"/>
          <w:szCs w:val="20"/>
          <w:lang w:val="es-ES_tradnl"/>
        </w:rPr>
        <w:t xml:space="preserve"> su participación en </w:t>
      </w:r>
      <w:r w:rsidR="00A02C39" w:rsidRPr="00617833">
        <w:rPr>
          <w:rFonts w:ascii="Verdana" w:hAnsi="Verdana"/>
          <w:sz w:val="20"/>
          <w:szCs w:val="20"/>
          <w:lang w:val="es-ES_tradnl"/>
        </w:rPr>
        <w:t>Cataluña</w:t>
      </w:r>
      <w:r w:rsidR="00B96542" w:rsidRPr="00617833">
        <w:rPr>
          <w:rFonts w:ascii="Verdana" w:hAnsi="Verdana"/>
          <w:sz w:val="20"/>
          <w:szCs w:val="20"/>
          <w:lang w:val="es-ES_tradnl"/>
        </w:rPr>
        <w:t xml:space="preserve">, con un </w:t>
      </w:r>
      <w:r w:rsidR="00A02C39" w:rsidRPr="00617833">
        <w:rPr>
          <w:rFonts w:ascii="Verdana" w:hAnsi="Verdana"/>
          <w:sz w:val="20"/>
          <w:szCs w:val="20"/>
          <w:lang w:val="es-ES_tradnl"/>
        </w:rPr>
        <w:t>11,7</w:t>
      </w:r>
      <w:r w:rsidR="00B96542" w:rsidRPr="00617833">
        <w:rPr>
          <w:rFonts w:ascii="Verdana" w:hAnsi="Verdana"/>
          <w:sz w:val="20"/>
          <w:szCs w:val="20"/>
          <w:lang w:val="es-ES_tradnl"/>
        </w:rPr>
        <w:t>% y 1</w:t>
      </w:r>
      <w:r w:rsidR="00A02C39" w:rsidRPr="00617833">
        <w:rPr>
          <w:rFonts w:ascii="Verdana" w:hAnsi="Verdana"/>
          <w:sz w:val="20"/>
          <w:szCs w:val="20"/>
          <w:lang w:val="es-ES_tradnl"/>
        </w:rPr>
        <w:t>7</w:t>
      </w:r>
      <w:r w:rsidR="00B96542" w:rsidRPr="00617833">
        <w:rPr>
          <w:rFonts w:ascii="Verdana" w:hAnsi="Verdana"/>
          <w:sz w:val="20"/>
          <w:szCs w:val="20"/>
          <w:lang w:val="es-ES_tradnl"/>
        </w:rPr>
        <w:t>,</w:t>
      </w:r>
      <w:r w:rsidR="00A02C39" w:rsidRPr="00617833">
        <w:rPr>
          <w:rFonts w:ascii="Verdana" w:hAnsi="Verdana"/>
          <w:sz w:val="20"/>
          <w:szCs w:val="20"/>
          <w:lang w:val="es-ES_tradnl"/>
        </w:rPr>
        <w:t>2</w:t>
      </w:r>
      <w:r w:rsidR="00B96542" w:rsidRPr="00617833">
        <w:rPr>
          <w:rFonts w:ascii="Verdana" w:hAnsi="Verdana"/>
          <w:sz w:val="20"/>
          <w:szCs w:val="20"/>
          <w:lang w:val="es-ES_tradnl"/>
        </w:rPr>
        <w:t xml:space="preserve">% respectivamente; </w:t>
      </w:r>
      <w:r w:rsidR="00A02C39" w:rsidRPr="00617833">
        <w:rPr>
          <w:rFonts w:ascii="Verdana" w:hAnsi="Verdana"/>
          <w:sz w:val="20"/>
          <w:szCs w:val="20"/>
          <w:lang w:val="es-ES_tradnl"/>
        </w:rPr>
        <w:t>Andalucía</w:t>
      </w:r>
      <w:r w:rsidR="00990915" w:rsidRPr="00617833">
        <w:rPr>
          <w:rFonts w:ascii="Verdana" w:hAnsi="Verdana"/>
          <w:sz w:val="20"/>
          <w:szCs w:val="20"/>
          <w:lang w:val="es-ES_tradnl"/>
        </w:rPr>
        <w:t xml:space="preserve"> con el </w:t>
      </w:r>
      <w:r w:rsidR="00A02C39" w:rsidRPr="00617833">
        <w:rPr>
          <w:rFonts w:ascii="Verdana" w:hAnsi="Verdana"/>
          <w:sz w:val="20"/>
          <w:szCs w:val="20"/>
          <w:lang w:val="es-ES_tradnl"/>
        </w:rPr>
        <w:t>4</w:t>
      </w:r>
      <w:r w:rsidR="003B4C9F" w:rsidRPr="00617833">
        <w:rPr>
          <w:rFonts w:ascii="Verdana" w:hAnsi="Verdana"/>
          <w:sz w:val="20"/>
          <w:szCs w:val="20"/>
          <w:lang w:val="es-ES_tradnl"/>
        </w:rPr>
        <w:t>,</w:t>
      </w:r>
      <w:r w:rsidR="00A02C39" w:rsidRPr="00617833">
        <w:rPr>
          <w:rFonts w:ascii="Verdana" w:hAnsi="Verdana"/>
          <w:sz w:val="20"/>
          <w:szCs w:val="20"/>
          <w:lang w:val="es-ES_tradnl"/>
        </w:rPr>
        <w:t>4</w:t>
      </w:r>
      <w:r w:rsidR="00990915" w:rsidRPr="00617833">
        <w:rPr>
          <w:rFonts w:ascii="Verdana" w:hAnsi="Verdana"/>
          <w:sz w:val="20"/>
          <w:szCs w:val="20"/>
          <w:lang w:val="es-ES_tradnl"/>
        </w:rPr>
        <w:t>%</w:t>
      </w:r>
      <w:r w:rsidR="00B96542" w:rsidRPr="00617833">
        <w:rPr>
          <w:rFonts w:ascii="Verdana" w:hAnsi="Verdana"/>
          <w:sz w:val="20"/>
          <w:szCs w:val="20"/>
          <w:lang w:val="es-ES_tradnl"/>
        </w:rPr>
        <w:t xml:space="preserve"> y </w:t>
      </w:r>
      <w:r w:rsidR="00A02C39" w:rsidRPr="00617833">
        <w:rPr>
          <w:rFonts w:ascii="Verdana" w:hAnsi="Verdana"/>
          <w:sz w:val="20"/>
          <w:szCs w:val="20"/>
          <w:lang w:val="es-ES_tradnl"/>
        </w:rPr>
        <w:t>12</w:t>
      </w:r>
      <w:r w:rsidR="00B96542" w:rsidRPr="00617833">
        <w:rPr>
          <w:rFonts w:ascii="Verdana" w:hAnsi="Verdana"/>
          <w:sz w:val="20"/>
          <w:szCs w:val="20"/>
          <w:lang w:val="es-ES_tradnl"/>
        </w:rPr>
        <w:t>%</w:t>
      </w:r>
      <w:r w:rsidR="003B4C9F" w:rsidRPr="00617833">
        <w:rPr>
          <w:rFonts w:ascii="Verdana" w:hAnsi="Verdana"/>
          <w:sz w:val="20"/>
          <w:szCs w:val="20"/>
          <w:lang w:val="es-ES_tradnl"/>
        </w:rPr>
        <w:t xml:space="preserve">; </w:t>
      </w:r>
      <w:r w:rsidR="00401399" w:rsidRPr="00617833">
        <w:rPr>
          <w:rFonts w:ascii="Verdana" w:hAnsi="Verdana"/>
          <w:sz w:val="20"/>
          <w:szCs w:val="20"/>
          <w:lang w:val="es-ES_tradnl"/>
        </w:rPr>
        <w:t xml:space="preserve"> </w:t>
      </w:r>
      <w:r w:rsidR="00B96542" w:rsidRPr="00617833">
        <w:rPr>
          <w:rFonts w:ascii="Verdana" w:hAnsi="Verdana"/>
          <w:sz w:val="20"/>
          <w:szCs w:val="20"/>
          <w:lang w:val="es-ES_tradnl"/>
        </w:rPr>
        <w:t xml:space="preserve">Aragón </w:t>
      </w:r>
      <w:r w:rsidR="00A02C39" w:rsidRPr="00617833">
        <w:rPr>
          <w:rFonts w:ascii="Verdana" w:hAnsi="Verdana"/>
          <w:sz w:val="20"/>
          <w:szCs w:val="20"/>
          <w:lang w:val="es-ES_tradnl"/>
        </w:rPr>
        <w:t xml:space="preserve">con el 15% actuando como refuerzo; </w:t>
      </w:r>
      <w:r w:rsidR="003E24B0" w:rsidRPr="00617833">
        <w:rPr>
          <w:rFonts w:ascii="Verdana" w:hAnsi="Verdana"/>
          <w:sz w:val="20"/>
          <w:szCs w:val="20"/>
          <w:lang w:val="es-ES_tradnl"/>
        </w:rPr>
        <w:t>Navarra</w:t>
      </w:r>
      <w:r w:rsidR="00B96542" w:rsidRPr="00617833">
        <w:rPr>
          <w:rFonts w:ascii="Verdana" w:hAnsi="Verdana"/>
          <w:sz w:val="20"/>
          <w:szCs w:val="20"/>
          <w:lang w:val="es-ES_tradnl"/>
        </w:rPr>
        <w:t xml:space="preserve">, </w:t>
      </w:r>
      <w:r w:rsidR="003E24B0" w:rsidRPr="00617833">
        <w:rPr>
          <w:rFonts w:ascii="Verdana" w:hAnsi="Verdana"/>
          <w:sz w:val="20"/>
          <w:szCs w:val="20"/>
          <w:lang w:val="es-ES_tradnl"/>
        </w:rPr>
        <w:t xml:space="preserve">9,6% también como refuerzo; </w:t>
      </w:r>
      <w:r w:rsidR="00972762" w:rsidRPr="00617833">
        <w:rPr>
          <w:rFonts w:ascii="Verdana" w:hAnsi="Verdana"/>
          <w:sz w:val="20"/>
          <w:szCs w:val="20"/>
          <w:lang w:val="es-ES_tradnl"/>
        </w:rPr>
        <w:t>y Can</w:t>
      </w:r>
      <w:r w:rsidR="003E24B0" w:rsidRPr="00617833">
        <w:rPr>
          <w:rFonts w:ascii="Verdana" w:hAnsi="Verdana"/>
          <w:sz w:val="20"/>
          <w:szCs w:val="20"/>
          <w:lang w:val="es-ES_tradnl"/>
        </w:rPr>
        <w:t>a</w:t>
      </w:r>
      <w:r w:rsidR="00972762" w:rsidRPr="00617833">
        <w:rPr>
          <w:rFonts w:ascii="Verdana" w:hAnsi="Verdana"/>
          <w:sz w:val="20"/>
          <w:szCs w:val="20"/>
          <w:lang w:val="es-ES_tradnl"/>
        </w:rPr>
        <w:t>r</w:t>
      </w:r>
      <w:r w:rsidR="003E24B0" w:rsidRPr="00617833">
        <w:rPr>
          <w:rFonts w:ascii="Verdana" w:hAnsi="Verdana"/>
          <w:sz w:val="20"/>
          <w:szCs w:val="20"/>
          <w:lang w:val="es-ES_tradnl"/>
        </w:rPr>
        <w:t>ia</w:t>
      </w:r>
      <w:r w:rsidR="00972762" w:rsidRPr="00617833">
        <w:rPr>
          <w:rFonts w:ascii="Verdana" w:hAnsi="Verdana"/>
          <w:sz w:val="20"/>
          <w:szCs w:val="20"/>
          <w:lang w:val="es-ES_tradnl"/>
        </w:rPr>
        <w:t>s</w:t>
      </w:r>
      <w:r w:rsidR="003E24B0" w:rsidRPr="00617833">
        <w:rPr>
          <w:rFonts w:ascii="Verdana" w:hAnsi="Verdana"/>
          <w:sz w:val="20"/>
          <w:szCs w:val="20"/>
          <w:lang w:val="es-ES_tradnl"/>
        </w:rPr>
        <w:t>, con el 0,1% sustituyendo al titular y el 9,4% como refuerzo.</w:t>
      </w:r>
    </w:p>
    <w:p w:rsidR="00972762" w:rsidRPr="00617833" w:rsidRDefault="00614C7F" w:rsidP="00972762">
      <w:pPr>
        <w:pStyle w:val="Textoindependiente"/>
        <w:spacing w:before="120" w:after="120"/>
        <w:ind w:firstLine="357"/>
        <w:rPr>
          <w:rFonts w:ascii="Verdana" w:hAnsi="Verdana"/>
          <w:sz w:val="20"/>
        </w:rPr>
      </w:pPr>
      <w:r w:rsidRPr="00617833">
        <w:rPr>
          <w:rFonts w:ascii="Verdana" w:hAnsi="Verdana"/>
          <w:sz w:val="20"/>
        </w:rPr>
        <w:t>En los juzgados de p</w:t>
      </w:r>
      <w:r w:rsidR="00AB6608" w:rsidRPr="00617833">
        <w:rPr>
          <w:rFonts w:ascii="Verdana" w:hAnsi="Verdana"/>
          <w:sz w:val="20"/>
        </w:rPr>
        <w:t>ri</w:t>
      </w:r>
      <w:r w:rsidR="00132820" w:rsidRPr="00617833">
        <w:rPr>
          <w:rFonts w:ascii="Verdana" w:hAnsi="Verdana"/>
          <w:sz w:val="20"/>
        </w:rPr>
        <w:t>mera</w:t>
      </w:r>
      <w:r w:rsidRPr="00617833">
        <w:rPr>
          <w:rFonts w:ascii="Verdana" w:hAnsi="Verdana"/>
          <w:sz w:val="20"/>
        </w:rPr>
        <w:t xml:space="preserve"> </w:t>
      </w:r>
      <w:r w:rsidR="00132820" w:rsidRPr="00617833">
        <w:rPr>
          <w:rFonts w:ascii="Verdana" w:hAnsi="Verdana"/>
          <w:sz w:val="20"/>
        </w:rPr>
        <w:t>in</w:t>
      </w:r>
      <w:r w:rsidRPr="00617833">
        <w:rPr>
          <w:rFonts w:ascii="Verdana" w:hAnsi="Verdana"/>
          <w:sz w:val="20"/>
        </w:rPr>
        <w:t>stancia e i</w:t>
      </w:r>
      <w:r w:rsidR="00AB6608" w:rsidRPr="00617833">
        <w:rPr>
          <w:rFonts w:ascii="Verdana" w:hAnsi="Verdana"/>
          <w:sz w:val="20"/>
        </w:rPr>
        <w:t xml:space="preserve">nstrucción el </w:t>
      </w:r>
      <w:r w:rsidR="005E6BA0" w:rsidRPr="00617833">
        <w:rPr>
          <w:rFonts w:ascii="Verdana" w:hAnsi="Verdana"/>
          <w:sz w:val="20"/>
        </w:rPr>
        <w:t>80</w:t>
      </w:r>
      <w:r w:rsidR="00F5233B" w:rsidRPr="00617833">
        <w:rPr>
          <w:rFonts w:ascii="Verdana" w:hAnsi="Verdana"/>
          <w:sz w:val="20"/>
        </w:rPr>
        <w:t>,</w:t>
      </w:r>
      <w:r w:rsidR="005E6BA0" w:rsidRPr="00617833">
        <w:rPr>
          <w:rFonts w:ascii="Verdana" w:hAnsi="Verdana"/>
          <w:sz w:val="20"/>
        </w:rPr>
        <w:t>4</w:t>
      </w:r>
      <w:r w:rsidR="00AB6608" w:rsidRPr="00617833">
        <w:rPr>
          <w:rFonts w:ascii="Verdana" w:hAnsi="Verdana"/>
          <w:sz w:val="20"/>
        </w:rPr>
        <w:t xml:space="preserve">% de las sentencias </w:t>
      </w:r>
      <w:r w:rsidR="00AD22DB" w:rsidRPr="00617833">
        <w:rPr>
          <w:rFonts w:ascii="Verdana" w:hAnsi="Verdana"/>
          <w:sz w:val="20"/>
        </w:rPr>
        <w:t xml:space="preserve"> en asuntos </w:t>
      </w:r>
      <w:r w:rsidR="00AB6608" w:rsidRPr="00617833">
        <w:rPr>
          <w:rFonts w:ascii="Verdana" w:hAnsi="Verdana"/>
          <w:sz w:val="20"/>
        </w:rPr>
        <w:t>contenciosos y de familia</w:t>
      </w:r>
      <w:r w:rsidR="00AD22DB" w:rsidRPr="00617833">
        <w:rPr>
          <w:rFonts w:ascii="Verdana" w:hAnsi="Verdana"/>
          <w:sz w:val="20"/>
        </w:rPr>
        <w:t xml:space="preserve"> han sido dictadas po</w:t>
      </w:r>
      <w:r w:rsidR="00F5233B" w:rsidRPr="00617833">
        <w:rPr>
          <w:rFonts w:ascii="Verdana" w:hAnsi="Verdana"/>
          <w:sz w:val="20"/>
        </w:rPr>
        <w:t>r</w:t>
      </w:r>
      <w:r w:rsidR="00AD22DB" w:rsidRPr="00617833">
        <w:rPr>
          <w:rFonts w:ascii="Verdana" w:hAnsi="Verdana"/>
          <w:sz w:val="20"/>
        </w:rPr>
        <w:t xml:space="preserve"> </w:t>
      </w:r>
      <w:r w:rsidR="00C90A61" w:rsidRPr="00617833">
        <w:rPr>
          <w:rFonts w:ascii="Verdana" w:hAnsi="Verdana"/>
          <w:sz w:val="20"/>
        </w:rPr>
        <w:t>titulares</w:t>
      </w:r>
      <w:r w:rsidR="00B223C1" w:rsidRPr="00617833">
        <w:rPr>
          <w:rFonts w:ascii="Verdana" w:hAnsi="Verdana"/>
          <w:sz w:val="20"/>
        </w:rPr>
        <w:t xml:space="preserve"> del órgano</w:t>
      </w:r>
      <w:r w:rsidR="00AB6608" w:rsidRPr="00617833">
        <w:rPr>
          <w:rFonts w:ascii="Verdana" w:hAnsi="Verdana"/>
          <w:sz w:val="20"/>
        </w:rPr>
        <w:t xml:space="preserve">, alcanzándose </w:t>
      </w:r>
      <w:r w:rsidR="00B40758" w:rsidRPr="00617833">
        <w:rPr>
          <w:rFonts w:ascii="Verdana" w:hAnsi="Verdana"/>
          <w:sz w:val="20"/>
        </w:rPr>
        <w:t xml:space="preserve">el </w:t>
      </w:r>
      <w:r w:rsidR="005E6BA0" w:rsidRPr="00617833">
        <w:rPr>
          <w:rFonts w:ascii="Verdana" w:hAnsi="Verdana"/>
          <w:sz w:val="20"/>
        </w:rPr>
        <w:t>89,5</w:t>
      </w:r>
      <w:r w:rsidR="00F5233B" w:rsidRPr="00617833">
        <w:rPr>
          <w:rFonts w:ascii="Verdana" w:hAnsi="Verdana"/>
          <w:sz w:val="20"/>
        </w:rPr>
        <w:t xml:space="preserve">% en </w:t>
      </w:r>
      <w:r w:rsidR="005E6BA0" w:rsidRPr="00617833">
        <w:rPr>
          <w:rFonts w:ascii="Verdana" w:hAnsi="Verdana"/>
          <w:sz w:val="20"/>
        </w:rPr>
        <w:t>Madrid</w:t>
      </w:r>
      <w:r w:rsidR="00F5233B" w:rsidRPr="00617833">
        <w:rPr>
          <w:rFonts w:ascii="Verdana" w:hAnsi="Verdana"/>
          <w:sz w:val="20"/>
        </w:rPr>
        <w:t xml:space="preserve">; </w:t>
      </w:r>
      <w:r w:rsidR="005E6BA0" w:rsidRPr="00617833">
        <w:rPr>
          <w:rFonts w:ascii="Verdana" w:hAnsi="Verdana"/>
          <w:sz w:val="20"/>
        </w:rPr>
        <w:t xml:space="preserve">a la que </w:t>
      </w:r>
      <w:r w:rsidR="00F5233B" w:rsidRPr="00617833">
        <w:rPr>
          <w:rFonts w:ascii="Verdana" w:hAnsi="Verdana"/>
          <w:sz w:val="20"/>
        </w:rPr>
        <w:t xml:space="preserve">siguen </w:t>
      </w:r>
      <w:r w:rsidR="00B40758" w:rsidRPr="00617833">
        <w:rPr>
          <w:rFonts w:ascii="Verdana" w:hAnsi="Verdana"/>
          <w:sz w:val="20"/>
        </w:rPr>
        <w:t xml:space="preserve">en </w:t>
      </w:r>
      <w:r w:rsidR="00E3482E" w:rsidRPr="00617833">
        <w:rPr>
          <w:rFonts w:ascii="Verdana" w:hAnsi="Verdana"/>
          <w:sz w:val="20"/>
        </w:rPr>
        <w:t>Cantabria</w:t>
      </w:r>
      <w:r w:rsidR="007C2C36" w:rsidRPr="00617833">
        <w:rPr>
          <w:rFonts w:ascii="Verdana" w:hAnsi="Verdana"/>
          <w:sz w:val="20"/>
        </w:rPr>
        <w:t xml:space="preserve">, </w:t>
      </w:r>
      <w:r w:rsidR="005E6BA0" w:rsidRPr="00617833">
        <w:rPr>
          <w:rFonts w:ascii="Verdana" w:hAnsi="Verdana"/>
          <w:sz w:val="20"/>
        </w:rPr>
        <w:t>88</w:t>
      </w:r>
      <w:r w:rsidR="007C2C36" w:rsidRPr="00617833">
        <w:rPr>
          <w:rFonts w:ascii="Verdana" w:hAnsi="Verdana"/>
          <w:sz w:val="20"/>
        </w:rPr>
        <w:t>,</w:t>
      </w:r>
      <w:r w:rsidR="005E6BA0" w:rsidRPr="00617833">
        <w:rPr>
          <w:rFonts w:ascii="Verdana" w:hAnsi="Verdana"/>
          <w:sz w:val="20"/>
        </w:rPr>
        <w:t>8</w:t>
      </w:r>
      <w:r w:rsidR="007C2C36" w:rsidRPr="00617833">
        <w:rPr>
          <w:rFonts w:ascii="Verdana" w:hAnsi="Verdana"/>
          <w:sz w:val="20"/>
        </w:rPr>
        <w:t xml:space="preserve">%; </w:t>
      </w:r>
      <w:r w:rsidR="005E6BA0" w:rsidRPr="00617833">
        <w:rPr>
          <w:rFonts w:ascii="Verdana" w:hAnsi="Verdana"/>
          <w:sz w:val="20"/>
          <w:szCs w:val="20"/>
          <w:lang w:val="es-ES_tradnl"/>
        </w:rPr>
        <w:t>Aragón</w:t>
      </w:r>
      <w:r w:rsidR="00F5233B" w:rsidRPr="00617833">
        <w:rPr>
          <w:rFonts w:ascii="Verdana" w:hAnsi="Verdana"/>
          <w:sz w:val="20"/>
          <w:szCs w:val="20"/>
          <w:lang w:val="es-ES_tradnl"/>
        </w:rPr>
        <w:t>,</w:t>
      </w:r>
      <w:r w:rsidR="00F5233B" w:rsidRPr="00617833">
        <w:rPr>
          <w:rFonts w:ascii="Verdana" w:hAnsi="Verdana"/>
          <w:sz w:val="20"/>
        </w:rPr>
        <w:t xml:space="preserve"> </w:t>
      </w:r>
      <w:r w:rsidR="005E6BA0" w:rsidRPr="00617833">
        <w:rPr>
          <w:rFonts w:ascii="Verdana" w:hAnsi="Verdana"/>
          <w:sz w:val="20"/>
        </w:rPr>
        <w:t>88,3</w:t>
      </w:r>
      <w:r w:rsidR="00F5233B" w:rsidRPr="00617833">
        <w:rPr>
          <w:rFonts w:ascii="Verdana" w:hAnsi="Verdana"/>
          <w:sz w:val="20"/>
        </w:rPr>
        <w:t xml:space="preserve">%; y </w:t>
      </w:r>
      <w:r w:rsidR="005E6BA0" w:rsidRPr="00617833">
        <w:rPr>
          <w:rFonts w:ascii="Verdana" w:hAnsi="Verdana"/>
          <w:sz w:val="20"/>
        </w:rPr>
        <w:t>País Vasco</w:t>
      </w:r>
      <w:r w:rsidR="00F5233B" w:rsidRPr="00617833">
        <w:rPr>
          <w:rFonts w:ascii="Verdana" w:hAnsi="Verdana"/>
          <w:sz w:val="20"/>
        </w:rPr>
        <w:t xml:space="preserve">, </w:t>
      </w:r>
      <w:r w:rsidR="00E3482E" w:rsidRPr="00617833">
        <w:rPr>
          <w:rFonts w:ascii="Verdana" w:hAnsi="Verdana"/>
          <w:sz w:val="20"/>
        </w:rPr>
        <w:t>87</w:t>
      </w:r>
      <w:r w:rsidR="00F5233B" w:rsidRPr="00617833">
        <w:rPr>
          <w:rFonts w:ascii="Verdana" w:hAnsi="Verdana"/>
          <w:sz w:val="20"/>
        </w:rPr>
        <w:t>,</w:t>
      </w:r>
      <w:r w:rsidR="005E6BA0" w:rsidRPr="00617833">
        <w:rPr>
          <w:rFonts w:ascii="Verdana" w:hAnsi="Verdana"/>
          <w:sz w:val="20"/>
        </w:rPr>
        <w:t>3</w:t>
      </w:r>
      <w:r w:rsidR="00F5233B" w:rsidRPr="00617833">
        <w:rPr>
          <w:rFonts w:ascii="Verdana" w:hAnsi="Verdana"/>
          <w:sz w:val="20"/>
        </w:rPr>
        <w:t xml:space="preserve">%.  </w:t>
      </w:r>
      <w:r w:rsidR="0083320F" w:rsidRPr="00617833">
        <w:rPr>
          <w:rFonts w:ascii="Verdana" w:hAnsi="Verdana"/>
          <w:sz w:val="20"/>
        </w:rPr>
        <w:t xml:space="preserve">Las sentencias dictadas por jueces sustitutos han representado el </w:t>
      </w:r>
      <w:r w:rsidR="00E3482E" w:rsidRPr="00617833">
        <w:rPr>
          <w:rFonts w:ascii="Verdana" w:hAnsi="Verdana"/>
          <w:sz w:val="20"/>
        </w:rPr>
        <w:t>1</w:t>
      </w:r>
      <w:r w:rsidR="005E6BA0" w:rsidRPr="00617833">
        <w:rPr>
          <w:rFonts w:ascii="Verdana" w:hAnsi="Verdana"/>
          <w:sz w:val="20"/>
        </w:rPr>
        <w:t>2</w:t>
      </w:r>
      <w:r w:rsidR="00E3482E" w:rsidRPr="00617833">
        <w:rPr>
          <w:rFonts w:ascii="Verdana" w:hAnsi="Verdana"/>
          <w:sz w:val="20"/>
        </w:rPr>
        <w:t>,9</w:t>
      </w:r>
      <w:r w:rsidR="0083320F" w:rsidRPr="00617833">
        <w:rPr>
          <w:rFonts w:ascii="Verdana" w:hAnsi="Verdana"/>
          <w:sz w:val="20"/>
        </w:rPr>
        <w:t>%</w:t>
      </w:r>
      <w:r w:rsidR="00E3482E" w:rsidRPr="00617833">
        <w:rPr>
          <w:rFonts w:ascii="Verdana" w:hAnsi="Verdana"/>
          <w:sz w:val="20"/>
        </w:rPr>
        <w:t xml:space="preserve"> actuando como sustitutos y el </w:t>
      </w:r>
      <w:r w:rsidR="005E6BA0" w:rsidRPr="00617833">
        <w:rPr>
          <w:rFonts w:ascii="Verdana" w:hAnsi="Verdana"/>
          <w:sz w:val="20"/>
        </w:rPr>
        <w:t>2,</w:t>
      </w:r>
      <w:r w:rsidR="00E3482E" w:rsidRPr="00617833">
        <w:rPr>
          <w:rFonts w:ascii="Verdana" w:hAnsi="Verdana"/>
          <w:sz w:val="20"/>
        </w:rPr>
        <w:t xml:space="preserve">1% en refuerzos, destacando Illes Balears, </w:t>
      </w:r>
      <w:r w:rsidR="005E6BA0" w:rsidRPr="00617833">
        <w:rPr>
          <w:rFonts w:ascii="Verdana" w:hAnsi="Verdana"/>
          <w:sz w:val="20"/>
        </w:rPr>
        <w:t xml:space="preserve">con 17,5% y 8,3% respectivamente; Cataluña, 19,4% y 2,7%; Navarra, 18,2% en sustitución del titular; Galicia, 17,3% y 0,5%; </w:t>
      </w:r>
      <w:r w:rsidR="00972762" w:rsidRPr="00617833">
        <w:rPr>
          <w:rFonts w:ascii="Verdana" w:hAnsi="Verdana"/>
          <w:sz w:val="20"/>
        </w:rPr>
        <w:t xml:space="preserve">C. Valenciana, 13,4% y 4,1%; </w:t>
      </w:r>
      <w:r w:rsidR="005E6BA0" w:rsidRPr="00617833">
        <w:rPr>
          <w:rFonts w:ascii="Verdana" w:hAnsi="Verdana"/>
          <w:sz w:val="20"/>
        </w:rPr>
        <w:t>C</w:t>
      </w:r>
      <w:r w:rsidR="00972762" w:rsidRPr="00617833">
        <w:rPr>
          <w:rFonts w:ascii="Verdana" w:hAnsi="Verdana"/>
          <w:sz w:val="20"/>
        </w:rPr>
        <w:t>astilla y León, 10,7% y 4%.</w:t>
      </w:r>
      <w:r w:rsidR="0083320F" w:rsidRPr="00617833">
        <w:rPr>
          <w:rFonts w:ascii="Verdana" w:hAnsi="Verdana"/>
          <w:sz w:val="20"/>
        </w:rPr>
        <w:t xml:space="preserve"> </w:t>
      </w:r>
      <w:r w:rsidR="00F5233B" w:rsidRPr="00617833">
        <w:rPr>
          <w:rFonts w:ascii="Verdana" w:hAnsi="Verdana"/>
          <w:sz w:val="20"/>
        </w:rPr>
        <w:t xml:space="preserve">Los jueces de adscripción territorial han dictado </w:t>
      </w:r>
      <w:r w:rsidR="00E3482E" w:rsidRPr="00617833">
        <w:rPr>
          <w:rFonts w:ascii="Verdana" w:hAnsi="Verdana"/>
          <w:sz w:val="20"/>
        </w:rPr>
        <w:t>actuando como sustitutos</w:t>
      </w:r>
      <w:r w:rsidR="00F97490" w:rsidRPr="00617833">
        <w:rPr>
          <w:rFonts w:ascii="Verdana" w:hAnsi="Verdana"/>
          <w:sz w:val="20"/>
        </w:rPr>
        <w:t xml:space="preserve"> el 1% de las sentencias </w:t>
      </w:r>
      <w:r w:rsidR="00E3482E" w:rsidRPr="00617833">
        <w:rPr>
          <w:rFonts w:ascii="Verdana" w:hAnsi="Verdana"/>
          <w:sz w:val="20"/>
        </w:rPr>
        <w:t xml:space="preserve">y el </w:t>
      </w:r>
      <w:r w:rsidR="00972762" w:rsidRPr="00617833">
        <w:rPr>
          <w:rFonts w:ascii="Verdana" w:hAnsi="Verdana"/>
          <w:sz w:val="20"/>
        </w:rPr>
        <w:t>2</w:t>
      </w:r>
      <w:r w:rsidR="00987164" w:rsidRPr="00617833">
        <w:rPr>
          <w:rFonts w:ascii="Verdana" w:hAnsi="Verdana"/>
          <w:sz w:val="20"/>
        </w:rPr>
        <w:t>,</w:t>
      </w:r>
      <w:r w:rsidR="00972762" w:rsidRPr="00617833">
        <w:rPr>
          <w:rFonts w:ascii="Verdana" w:hAnsi="Verdana"/>
          <w:sz w:val="20"/>
        </w:rPr>
        <w:t>6</w:t>
      </w:r>
      <w:r w:rsidR="00987164" w:rsidRPr="00617833">
        <w:rPr>
          <w:rFonts w:ascii="Verdana" w:hAnsi="Verdana"/>
          <w:sz w:val="20"/>
        </w:rPr>
        <w:t xml:space="preserve">% como refuerzo; destacando </w:t>
      </w:r>
      <w:r w:rsidR="00972762" w:rsidRPr="00617833">
        <w:rPr>
          <w:rFonts w:ascii="Verdana" w:hAnsi="Verdana"/>
          <w:sz w:val="20"/>
        </w:rPr>
        <w:t>Murcia, donde han dictado el 10,2% actuando como refuerzo; Navarra, el 8,3%, y Asturias, el 6%</w:t>
      </w:r>
      <w:r w:rsidR="002F644C" w:rsidRPr="00617833">
        <w:rPr>
          <w:rFonts w:ascii="Verdana" w:hAnsi="Verdana"/>
          <w:sz w:val="20"/>
        </w:rPr>
        <w:t>,</w:t>
      </w:r>
      <w:r w:rsidR="00972762" w:rsidRPr="00617833">
        <w:rPr>
          <w:rFonts w:ascii="Verdana" w:hAnsi="Verdana"/>
          <w:sz w:val="20"/>
        </w:rPr>
        <w:t xml:space="preserve"> también como refuerzo. </w:t>
      </w:r>
      <w:r w:rsidR="00F5233B" w:rsidRPr="00617833">
        <w:rPr>
          <w:rFonts w:ascii="Verdana" w:hAnsi="Verdana"/>
          <w:sz w:val="20"/>
        </w:rPr>
        <w:t xml:space="preserve"> Las sentencias dictadas en planes de refuerzo han significado el </w:t>
      </w:r>
      <w:r w:rsidR="001B764B" w:rsidRPr="00617833">
        <w:rPr>
          <w:rFonts w:ascii="Verdana" w:hAnsi="Verdana"/>
          <w:sz w:val="20"/>
        </w:rPr>
        <w:t>5,</w:t>
      </w:r>
      <w:r w:rsidR="00972762" w:rsidRPr="00617833">
        <w:rPr>
          <w:rFonts w:ascii="Verdana" w:hAnsi="Verdana"/>
          <w:sz w:val="20"/>
        </w:rPr>
        <w:t>1</w:t>
      </w:r>
      <w:r w:rsidR="00F5233B" w:rsidRPr="00617833">
        <w:rPr>
          <w:rFonts w:ascii="Verdana" w:hAnsi="Verdana"/>
          <w:sz w:val="20"/>
        </w:rPr>
        <w:t xml:space="preserve">% a nivel nacional, </w:t>
      </w:r>
      <w:r w:rsidR="001B764B" w:rsidRPr="00617833">
        <w:rPr>
          <w:rFonts w:ascii="Verdana" w:hAnsi="Verdana"/>
          <w:sz w:val="20"/>
        </w:rPr>
        <w:t>destacando</w:t>
      </w:r>
      <w:r w:rsidR="00F5233B" w:rsidRPr="00617833">
        <w:rPr>
          <w:rFonts w:ascii="Verdana" w:hAnsi="Verdana"/>
          <w:sz w:val="20"/>
        </w:rPr>
        <w:t xml:space="preserve"> </w:t>
      </w:r>
      <w:r w:rsidR="001B764B" w:rsidRPr="00617833">
        <w:rPr>
          <w:rFonts w:ascii="Verdana" w:hAnsi="Verdana"/>
          <w:sz w:val="20"/>
        </w:rPr>
        <w:t>el 1</w:t>
      </w:r>
      <w:r w:rsidR="00972762" w:rsidRPr="00617833">
        <w:rPr>
          <w:rFonts w:ascii="Verdana" w:hAnsi="Verdana"/>
          <w:sz w:val="20"/>
        </w:rPr>
        <w:t>3</w:t>
      </w:r>
      <w:r w:rsidR="001B764B" w:rsidRPr="00617833">
        <w:rPr>
          <w:rFonts w:ascii="Verdana" w:hAnsi="Verdana"/>
          <w:sz w:val="20"/>
        </w:rPr>
        <w:t xml:space="preserve">,8% </w:t>
      </w:r>
      <w:r w:rsidR="00F5233B" w:rsidRPr="00617833">
        <w:rPr>
          <w:rFonts w:ascii="Verdana" w:hAnsi="Verdana"/>
          <w:sz w:val="20"/>
        </w:rPr>
        <w:t xml:space="preserve">en </w:t>
      </w:r>
      <w:r w:rsidR="00972762" w:rsidRPr="00617833">
        <w:rPr>
          <w:rFonts w:ascii="Verdana" w:hAnsi="Verdana"/>
          <w:sz w:val="20"/>
        </w:rPr>
        <w:t xml:space="preserve">Murcia; el 8,5% en </w:t>
      </w:r>
      <w:r w:rsidR="00F5233B" w:rsidRPr="00617833">
        <w:rPr>
          <w:rFonts w:ascii="Verdana" w:hAnsi="Verdana"/>
          <w:sz w:val="20"/>
        </w:rPr>
        <w:t>la C. Valenciana</w:t>
      </w:r>
      <w:r w:rsidR="001B764B" w:rsidRPr="00617833">
        <w:rPr>
          <w:rFonts w:ascii="Verdana" w:hAnsi="Verdana"/>
          <w:sz w:val="20"/>
        </w:rPr>
        <w:t xml:space="preserve">; el </w:t>
      </w:r>
      <w:r w:rsidR="00972762" w:rsidRPr="00617833">
        <w:rPr>
          <w:rFonts w:ascii="Verdana" w:hAnsi="Verdana"/>
          <w:sz w:val="20"/>
        </w:rPr>
        <w:t>8</w:t>
      </w:r>
      <w:r w:rsidR="001B764B" w:rsidRPr="00617833">
        <w:rPr>
          <w:rFonts w:ascii="Verdana" w:hAnsi="Verdana"/>
          <w:sz w:val="20"/>
        </w:rPr>
        <w:t>,</w:t>
      </w:r>
      <w:r w:rsidR="00972762" w:rsidRPr="00617833">
        <w:rPr>
          <w:rFonts w:ascii="Verdana" w:hAnsi="Verdana"/>
          <w:sz w:val="20"/>
        </w:rPr>
        <w:t>3</w:t>
      </w:r>
      <w:r w:rsidR="001B764B" w:rsidRPr="00617833">
        <w:rPr>
          <w:rFonts w:ascii="Verdana" w:hAnsi="Verdana"/>
          <w:sz w:val="20"/>
        </w:rPr>
        <w:t xml:space="preserve">% en </w:t>
      </w:r>
      <w:r w:rsidR="00972762" w:rsidRPr="00617833">
        <w:rPr>
          <w:rFonts w:ascii="Verdana" w:hAnsi="Verdana"/>
          <w:sz w:val="20"/>
        </w:rPr>
        <w:t>Illes Balears y Navarra; y el 8% en Extremadura.</w:t>
      </w:r>
    </w:p>
    <w:p w:rsidR="00395846" w:rsidRPr="00617833" w:rsidRDefault="0083320F" w:rsidP="001F1E68">
      <w:pPr>
        <w:pStyle w:val="Textoindependiente"/>
        <w:spacing w:before="120" w:after="120"/>
        <w:ind w:firstLine="357"/>
        <w:rPr>
          <w:rFonts w:ascii="Verdana" w:hAnsi="Verdana"/>
          <w:sz w:val="20"/>
        </w:rPr>
      </w:pPr>
      <w:r w:rsidRPr="00617833">
        <w:rPr>
          <w:rFonts w:ascii="Verdana" w:hAnsi="Verdana"/>
          <w:sz w:val="20"/>
        </w:rPr>
        <w:t xml:space="preserve">En los juzgados de lo mercantil el </w:t>
      </w:r>
      <w:r w:rsidR="00A932E3" w:rsidRPr="00617833">
        <w:rPr>
          <w:rFonts w:ascii="Verdana" w:hAnsi="Verdana"/>
          <w:sz w:val="20"/>
        </w:rPr>
        <w:t>5</w:t>
      </w:r>
      <w:r w:rsidR="005E6A27" w:rsidRPr="00617833">
        <w:rPr>
          <w:rFonts w:ascii="Verdana" w:hAnsi="Verdana"/>
          <w:sz w:val="20"/>
        </w:rPr>
        <w:t>2</w:t>
      </w:r>
      <w:r w:rsidR="00A932E3" w:rsidRPr="00617833">
        <w:rPr>
          <w:rFonts w:ascii="Verdana" w:hAnsi="Verdana"/>
          <w:sz w:val="20"/>
        </w:rPr>
        <w:t>,</w:t>
      </w:r>
      <w:r w:rsidR="005E6A27" w:rsidRPr="00617833">
        <w:rPr>
          <w:rFonts w:ascii="Verdana" w:hAnsi="Verdana"/>
          <w:sz w:val="20"/>
        </w:rPr>
        <w:t>8</w:t>
      </w:r>
      <w:r w:rsidRPr="00617833">
        <w:rPr>
          <w:rFonts w:ascii="Verdana" w:hAnsi="Verdana"/>
          <w:sz w:val="20"/>
        </w:rPr>
        <w:t>% de las sentencias  las han dictado titulares del órgano</w:t>
      </w:r>
      <w:r w:rsidR="00A932E3" w:rsidRPr="00617833">
        <w:rPr>
          <w:rFonts w:ascii="Verdana" w:hAnsi="Verdana"/>
          <w:sz w:val="20"/>
        </w:rPr>
        <w:t xml:space="preserve"> en actuación ordinaria, y el </w:t>
      </w:r>
      <w:r w:rsidR="007720EF" w:rsidRPr="00617833">
        <w:rPr>
          <w:rFonts w:ascii="Verdana" w:hAnsi="Verdana"/>
          <w:sz w:val="20"/>
        </w:rPr>
        <w:t>0</w:t>
      </w:r>
      <w:r w:rsidR="00A932E3" w:rsidRPr="00617833">
        <w:rPr>
          <w:rFonts w:ascii="Verdana" w:hAnsi="Verdana"/>
          <w:sz w:val="20"/>
        </w:rPr>
        <w:t>,</w:t>
      </w:r>
      <w:r w:rsidR="007720EF" w:rsidRPr="00617833">
        <w:rPr>
          <w:rFonts w:ascii="Verdana" w:hAnsi="Verdana"/>
          <w:sz w:val="20"/>
        </w:rPr>
        <w:t>3</w:t>
      </w:r>
      <w:r w:rsidR="00A932E3" w:rsidRPr="00617833">
        <w:rPr>
          <w:rFonts w:ascii="Verdana" w:hAnsi="Verdana"/>
          <w:sz w:val="20"/>
        </w:rPr>
        <w:t xml:space="preserve">% como </w:t>
      </w:r>
      <w:r w:rsidR="006A1CEA" w:rsidRPr="00617833">
        <w:rPr>
          <w:rFonts w:ascii="Verdana" w:hAnsi="Verdana"/>
          <w:sz w:val="20"/>
        </w:rPr>
        <w:t>auto refuerzo</w:t>
      </w:r>
      <w:r w:rsidR="00A932E3" w:rsidRPr="00617833">
        <w:rPr>
          <w:rFonts w:ascii="Verdana" w:hAnsi="Verdana"/>
          <w:sz w:val="20"/>
        </w:rPr>
        <w:t xml:space="preserve">. </w:t>
      </w:r>
      <w:r w:rsidR="006C5DE9" w:rsidRPr="00617833">
        <w:rPr>
          <w:rFonts w:ascii="Verdana" w:hAnsi="Verdana"/>
          <w:sz w:val="20"/>
        </w:rPr>
        <w:t>Se han alcanzado</w:t>
      </w:r>
      <w:r w:rsidR="001F1E68" w:rsidRPr="00617833">
        <w:rPr>
          <w:rFonts w:ascii="Verdana" w:hAnsi="Verdana"/>
          <w:sz w:val="20"/>
        </w:rPr>
        <w:t xml:space="preserve"> los mayores porcentajes en </w:t>
      </w:r>
      <w:r w:rsidR="007C2C36" w:rsidRPr="00617833">
        <w:rPr>
          <w:rFonts w:ascii="Verdana" w:hAnsi="Verdana"/>
          <w:sz w:val="20"/>
          <w:szCs w:val="20"/>
          <w:lang w:val="es-ES_tradnl"/>
        </w:rPr>
        <w:t>L</w:t>
      </w:r>
      <w:r w:rsidR="001D3531" w:rsidRPr="00617833">
        <w:rPr>
          <w:rFonts w:ascii="Verdana" w:hAnsi="Verdana"/>
          <w:sz w:val="20"/>
          <w:szCs w:val="20"/>
          <w:lang w:val="es-ES_tradnl"/>
        </w:rPr>
        <w:t>a Rioja</w:t>
      </w:r>
      <w:r w:rsidR="001F1E68" w:rsidRPr="00617833">
        <w:rPr>
          <w:rFonts w:ascii="Verdana" w:hAnsi="Verdana"/>
          <w:sz w:val="20"/>
          <w:szCs w:val="20"/>
          <w:lang w:val="es-ES_tradnl"/>
        </w:rPr>
        <w:t>,</w:t>
      </w:r>
      <w:r w:rsidR="001F1E68" w:rsidRPr="00617833">
        <w:rPr>
          <w:rFonts w:ascii="Verdana" w:hAnsi="Verdana"/>
          <w:sz w:val="20"/>
        </w:rPr>
        <w:t xml:space="preserve"> </w:t>
      </w:r>
      <w:r w:rsidR="00A932E3" w:rsidRPr="00617833">
        <w:rPr>
          <w:rFonts w:ascii="Verdana" w:hAnsi="Verdana"/>
          <w:sz w:val="20"/>
        </w:rPr>
        <w:t>100</w:t>
      </w:r>
      <w:r w:rsidR="001F1E68" w:rsidRPr="00617833">
        <w:rPr>
          <w:rFonts w:ascii="Verdana" w:hAnsi="Verdana"/>
          <w:sz w:val="20"/>
        </w:rPr>
        <w:t>%</w:t>
      </w:r>
      <w:r w:rsidR="006C5DE9" w:rsidRPr="00617833">
        <w:rPr>
          <w:rFonts w:ascii="Verdana" w:hAnsi="Verdana"/>
          <w:sz w:val="20"/>
        </w:rPr>
        <w:t>;</w:t>
      </w:r>
      <w:r w:rsidR="007720EF" w:rsidRPr="00617833">
        <w:rPr>
          <w:rFonts w:ascii="Verdana" w:hAnsi="Verdana"/>
          <w:sz w:val="20"/>
        </w:rPr>
        <w:t xml:space="preserve"> y País Vasco, 93,5%</w:t>
      </w:r>
      <w:r w:rsidR="00A932E3" w:rsidRPr="00617833">
        <w:rPr>
          <w:rFonts w:ascii="Verdana" w:hAnsi="Verdana"/>
          <w:sz w:val="20"/>
        </w:rPr>
        <w:t xml:space="preserve">. Por el contrario, no se ha llegado al 50% en </w:t>
      </w:r>
      <w:r w:rsidR="006A1CEA" w:rsidRPr="00617833">
        <w:rPr>
          <w:rFonts w:ascii="Verdana" w:hAnsi="Verdana"/>
          <w:sz w:val="20"/>
        </w:rPr>
        <w:t>Andalucía</w:t>
      </w:r>
      <w:r w:rsidR="00A932E3" w:rsidRPr="00617833">
        <w:rPr>
          <w:rFonts w:ascii="Verdana" w:hAnsi="Verdana"/>
          <w:sz w:val="20"/>
        </w:rPr>
        <w:t>, 3</w:t>
      </w:r>
      <w:r w:rsidR="007720EF" w:rsidRPr="00617833">
        <w:rPr>
          <w:rFonts w:ascii="Verdana" w:hAnsi="Verdana"/>
          <w:sz w:val="20"/>
        </w:rPr>
        <w:t>8</w:t>
      </w:r>
      <w:r w:rsidR="00A932E3" w:rsidRPr="00617833">
        <w:rPr>
          <w:rFonts w:ascii="Verdana" w:hAnsi="Verdana"/>
          <w:sz w:val="20"/>
        </w:rPr>
        <w:t>,</w:t>
      </w:r>
      <w:r w:rsidR="007720EF" w:rsidRPr="00617833">
        <w:rPr>
          <w:rFonts w:ascii="Verdana" w:hAnsi="Verdana"/>
          <w:sz w:val="20"/>
        </w:rPr>
        <w:t>2</w:t>
      </w:r>
      <w:r w:rsidR="00A932E3" w:rsidRPr="00617833">
        <w:rPr>
          <w:rFonts w:ascii="Verdana" w:hAnsi="Verdana"/>
          <w:sz w:val="20"/>
        </w:rPr>
        <w:t>%; Castilla la Mancha, 4</w:t>
      </w:r>
      <w:r w:rsidR="007720EF" w:rsidRPr="00617833">
        <w:rPr>
          <w:rFonts w:ascii="Verdana" w:hAnsi="Verdana"/>
          <w:sz w:val="20"/>
        </w:rPr>
        <w:t>1</w:t>
      </w:r>
      <w:r w:rsidR="00A932E3" w:rsidRPr="00617833">
        <w:rPr>
          <w:rFonts w:ascii="Verdana" w:hAnsi="Verdana"/>
          <w:sz w:val="20"/>
        </w:rPr>
        <w:t>,</w:t>
      </w:r>
      <w:r w:rsidR="007720EF" w:rsidRPr="00617833">
        <w:rPr>
          <w:rFonts w:ascii="Verdana" w:hAnsi="Verdana"/>
          <w:sz w:val="20"/>
        </w:rPr>
        <w:t>4</w:t>
      </w:r>
      <w:r w:rsidR="00A932E3" w:rsidRPr="00617833">
        <w:rPr>
          <w:rFonts w:ascii="Verdana" w:hAnsi="Verdana"/>
          <w:sz w:val="20"/>
        </w:rPr>
        <w:t xml:space="preserve">%; Cataluña, </w:t>
      </w:r>
      <w:r w:rsidR="007720EF" w:rsidRPr="00617833">
        <w:rPr>
          <w:rFonts w:ascii="Verdana" w:hAnsi="Verdana"/>
          <w:sz w:val="20"/>
        </w:rPr>
        <w:t>38</w:t>
      </w:r>
      <w:r w:rsidR="00A932E3" w:rsidRPr="00617833">
        <w:rPr>
          <w:rFonts w:ascii="Verdana" w:hAnsi="Verdana"/>
          <w:sz w:val="20"/>
        </w:rPr>
        <w:t>,</w:t>
      </w:r>
      <w:r w:rsidR="007720EF" w:rsidRPr="00617833">
        <w:rPr>
          <w:rFonts w:ascii="Verdana" w:hAnsi="Verdana"/>
          <w:sz w:val="20"/>
        </w:rPr>
        <w:t>9</w:t>
      </w:r>
      <w:r w:rsidR="00A932E3" w:rsidRPr="00617833">
        <w:rPr>
          <w:rFonts w:ascii="Verdana" w:hAnsi="Verdana"/>
          <w:sz w:val="20"/>
        </w:rPr>
        <w:t>%;</w:t>
      </w:r>
      <w:r w:rsidR="007720EF" w:rsidRPr="00617833">
        <w:rPr>
          <w:rFonts w:ascii="Verdana" w:hAnsi="Verdana"/>
          <w:sz w:val="20"/>
        </w:rPr>
        <w:t xml:space="preserve"> C. Valenciana, 46,9%; Madrid, 46%;</w:t>
      </w:r>
      <w:r w:rsidR="00A932E3" w:rsidRPr="00617833">
        <w:rPr>
          <w:rFonts w:ascii="Verdana" w:hAnsi="Verdana"/>
          <w:sz w:val="20"/>
        </w:rPr>
        <w:t xml:space="preserve"> </w:t>
      </w:r>
      <w:r w:rsidR="009D5CF4" w:rsidRPr="00617833">
        <w:rPr>
          <w:rFonts w:ascii="Verdana" w:hAnsi="Verdana"/>
          <w:sz w:val="20"/>
        </w:rPr>
        <w:t>y</w:t>
      </w:r>
      <w:r w:rsidR="00A932E3" w:rsidRPr="00617833">
        <w:rPr>
          <w:rFonts w:ascii="Verdana" w:hAnsi="Verdana"/>
          <w:sz w:val="20"/>
        </w:rPr>
        <w:t xml:space="preserve"> </w:t>
      </w:r>
      <w:r w:rsidR="006A1CEA" w:rsidRPr="00617833">
        <w:rPr>
          <w:rFonts w:ascii="Verdana" w:hAnsi="Verdana"/>
          <w:sz w:val="20"/>
        </w:rPr>
        <w:t>Navarra</w:t>
      </w:r>
      <w:r w:rsidR="00A932E3" w:rsidRPr="00617833">
        <w:rPr>
          <w:rFonts w:ascii="Verdana" w:hAnsi="Verdana"/>
          <w:sz w:val="20"/>
        </w:rPr>
        <w:t xml:space="preserve">, </w:t>
      </w:r>
      <w:r w:rsidR="007720EF" w:rsidRPr="00617833">
        <w:rPr>
          <w:rFonts w:ascii="Verdana" w:hAnsi="Verdana"/>
          <w:sz w:val="20"/>
        </w:rPr>
        <w:t>27</w:t>
      </w:r>
      <w:r w:rsidR="00A932E3" w:rsidRPr="00617833">
        <w:rPr>
          <w:rFonts w:ascii="Verdana" w:hAnsi="Verdana"/>
          <w:sz w:val="20"/>
        </w:rPr>
        <w:t>,</w:t>
      </w:r>
      <w:r w:rsidR="007720EF" w:rsidRPr="00617833">
        <w:rPr>
          <w:rFonts w:ascii="Verdana" w:hAnsi="Verdana"/>
          <w:sz w:val="20"/>
        </w:rPr>
        <w:t>2</w:t>
      </w:r>
      <w:r w:rsidR="00A932E3" w:rsidRPr="00617833">
        <w:rPr>
          <w:rFonts w:ascii="Verdana" w:hAnsi="Verdana"/>
          <w:sz w:val="20"/>
        </w:rPr>
        <w:t xml:space="preserve">%. </w:t>
      </w:r>
      <w:r w:rsidR="006C5DE9" w:rsidRPr="00617833">
        <w:rPr>
          <w:rFonts w:ascii="Verdana" w:hAnsi="Verdana"/>
          <w:sz w:val="20"/>
        </w:rPr>
        <w:t xml:space="preserve"> </w:t>
      </w:r>
      <w:r w:rsidR="0028679F" w:rsidRPr="00617833">
        <w:rPr>
          <w:rFonts w:ascii="Verdana" w:hAnsi="Verdana"/>
          <w:sz w:val="20"/>
        </w:rPr>
        <w:t xml:space="preserve"> </w:t>
      </w:r>
      <w:r w:rsidR="009B7FBB" w:rsidRPr="00617833">
        <w:rPr>
          <w:rFonts w:ascii="Verdana" w:hAnsi="Verdana"/>
          <w:sz w:val="20"/>
        </w:rPr>
        <w:t xml:space="preserve">En medidas de refuerzo se han dictado el </w:t>
      </w:r>
      <w:r w:rsidR="009A3731" w:rsidRPr="00617833">
        <w:rPr>
          <w:rFonts w:ascii="Verdana" w:hAnsi="Verdana"/>
          <w:sz w:val="20"/>
        </w:rPr>
        <w:t>41</w:t>
      </w:r>
      <w:r w:rsidR="009B7FBB" w:rsidRPr="00617833">
        <w:rPr>
          <w:rFonts w:ascii="Verdana" w:hAnsi="Verdana"/>
          <w:sz w:val="20"/>
        </w:rPr>
        <w:t>,</w:t>
      </w:r>
      <w:r w:rsidR="009A3731" w:rsidRPr="00617833">
        <w:rPr>
          <w:rFonts w:ascii="Verdana" w:hAnsi="Verdana"/>
          <w:sz w:val="20"/>
        </w:rPr>
        <w:t>1</w:t>
      </w:r>
      <w:r w:rsidR="009B7FBB" w:rsidRPr="00617833">
        <w:rPr>
          <w:rFonts w:ascii="Verdana" w:hAnsi="Verdana"/>
          <w:sz w:val="20"/>
        </w:rPr>
        <w:t xml:space="preserve">% de las sentencias; destacando </w:t>
      </w:r>
      <w:r w:rsidR="009A3731" w:rsidRPr="00617833">
        <w:rPr>
          <w:rFonts w:ascii="Verdana" w:hAnsi="Verdana"/>
          <w:sz w:val="20"/>
        </w:rPr>
        <w:t xml:space="preserve">Navarra, con el 72,3%; </w:t>
      </w:r>
      <w:r w:rsidR="006A1CEA" w:rsidRPr="00617833">
        <w:rPr>
          <w:rFonts w:ascii="Verdana" w:hAnsi="Verdana"/>
          <w:sz w:val="20"/>
        </w:rPr>
        <w:t>Andalucía</w:t>
      </w:r>
      <w:r w:rsidR="00A932E3" w:rsidRPr="00617833">
        <w:rPr>
          <w:rFonts w:ascii="Verdana" w:hAnsi="Verdana"/>
          <w:sz w:val="20"/>
        </w:rPr>
        <w:t xml:space="preserve">, </w:t>
      </w:r>
      <w:r w:rsidR="009B7FBB" w:rsidRPr="00617833">
        <w:rPr>
          <w:rFonts w:ascii="Verdana" w:hAnsi="Verdana"/>
          <w:sz w:val="20"/>
        </w:rPr>
        <w:t xml:space="preserve"> con el 5</w:t>
      </w:r>
      <w:r w:rsidR="009A3731" w:rsidRPr="00617833">
        <w:rPr>
          <w:rFonts w:ascii="Verdana" w:hAnsi="Verdana"/>
          <w:sz w:val="20"/>
        </w:rPr>
        <w:t>4</w:t>
      </w:r>
      <w:r w:rsidR="00A932E3" w:rsidRPr="00617833">
        <w:rPr>
          <w:rFonts w:ascii="Verdana" w:hAnsi="Verdana"/>
          <w:sz w:val="20"/>
        </w:rPr>
        <w:t>,</w:t>
      </w:r>
      <w:r w:rsidR="009A3731" w:rsidRPr="00617833">
        <w:rPr>
          <w:rFonts w:ascii="Verdana" w:hAnsi="Verdana"/>
          <w:sz w:val="20"/>
        </w:rPr>
        <w:t>3</w:t>
      </w:r>
      <w:r w:rsidR="009B7FBB" w:rsidRPr="00617833">
        <w:rPr>
          <w:rFonts w:ascii="Verdana" w:hAnsi="Verdana"/>
          <w:sz w:val="20"/>
        </w:rPr>
        <w:t>%</w:t>
      </w:r>
      <w:r w:rsidR="00A932E3" w:rsidRPr="00617833">
        <w:rPr>
          <w:rFonts w:ascii="Verdana" w:hAnsi="Verdana"/>
          <w:sz w:val="20"/>
        </w:rPr>
        <w:t xml:space="preserve">; Cataluña, </w:t>
      </w:r>
      <w:r w:rsidR="009A3731" w:rsidRPr="00617833">
        <w:rPr>
          <w:rFonts w:ascii="Verdana" w:hAnsi="Verdana"/>
          <w:sz w:val="20"/>
        </w:rPr>
        <w:t>54</w:t>
      </w:r>
      <w:r w:rsidR="00A932E3" w:rsidRPr="00617833">
        <w:rPr>
          <w:rFonts w:ascii="Verdana" w:hAnsi="Verdana"/>
          <w:sz w:val="20"/>
        </w:rPr>
        <w:t xml:space="preserve">%; </w:t>
      </w:r>
      <w:r w:rsidR="00412D47" w:rsidRPr="00617833">
        <w:rPr>
          <w:rFonts w:ascii="Verdana" w:hAnsi="Verdana"/>
          <w:sz w:val="20"/>
        </w:rPr>
        <w:t xml:space="preserve">C. Valenciana, 53%; </w:t>
      </w:r>
      <w:r w:rsidR="009A3731" w:rsidRPr="00617833">
        <w:rPr>
          <w:rFonts w:ascii="Verdana" w:hAnsi="Verdana"/>
          <w:sz w:val="20"/>
        </w:rPr>
        <w:t xml:space="preserve">Madrid, 49,7%; </w:t>
      </w:r>
      <w:r w:rsidR="00412D47" w:rsidRPr="00617833">
        <w:rPr>
          <w:rFonts w:ascii="Verdana" w:hAnsi="Verdana"/>
          <w:sz w:val="20"/>
        </w:rPr>
        <w:t xml:space="preserve">Castilla la Mancha, </w:t>
      </w:r>
      <w:r w:rsidR="001A21EC" w:rsidRPr="00617833">
        <w:rPr>
          <w:rFonts w:ascii="Verdana" w:hAnsi="Verdana"/>
          <w:sz w:val="20"/>
        </w:rPr>
        <w:t xml:space="preserve">45,6%; </w:t>
      </w:r>
      <w:r w:rsidR="00A932E3" w:rsidRPr="00617833">
        <w:rPr>
          <w:rFonts w:ascii="Verdana" w:hAnsi="Verdana"/>
          <w:sz w:val="20"/>
        </w:rPr>
        <w:t xml:space="preserve">Canarias, </w:t>
      </w:r>
      <w:r w:rsidR="00412D47" w:rsidRPr="00617833">
        <w:rPr>
          <w:rFonts w:ascii="Verdana" w:hAnsi="Verdana"/>
          <w:sz w:val="20"/>
        </w:rPr>
        <w:t>41%</w:t>
      </w:r>
      <w:r w:rsidR="00A932E3" w:rsidRPr="00617833">
        <w:rPr>
          <w:rFonts w:ascii="Verdana" w:hAnsi="Verdana"/>
          <w:sz w:val="20"/>
        </w:rPr>
        <w:t>; Illes Balears, 3</w:t>
      </w:r>
      <w:r w:rsidR="00412D47" w:rsidRPr="00617833">
        <w:rPr>
          <w:rFonts w:ascii="Verdana" w:hAnsi="Verdana"/>
          <w:sz w:val="20"/>
        </w:rPr>
        <w:t>9</w:t>
      </w:r>
      <w:r w:rsidR="00A932E3" w:rsidRPr="00617833">
        <w:rPr>
          <w:rFonts w:ascii="Verdana" w:hAnsi="Verdana"/>
          <w:sz w:val="20"/>
        </w:rPr>
        <w:t>,</w:t>
      </w:r>
      <w:r w:rsidR="00412D47" w:rsidRPr="00617833">
        <w:rPr>
          <w:rFonts w:ascii="Verdana" w:hAnsi="Verdana"/>
          <w:sz w:val="20"/>
        </w:rPr>
        <w:t>9</w:t>
      </w:r>
      <w:r w:rsidR="00A932E3" w:rsidRPr="00617833">
        <w:rPr>
          <w:rFonts w:ascii="Verdana" w:hAnsi="Verdana"/>
          <w:sz w:val="20"/>
        </w:rPr>
        <w:t>%; Murcia</w:t>
      </w:r>
      <w:r w:rsidR="009D5CF4" w:rsidRPr="00617833">
        <w:rPr>
          <w:rFonts w:ascii="Verdana" w:hAnsi="Verdana"/>
          <w:sz w:val="20"/>
        </w:rPr>
        <w:t>, 3</w:t>
      </w:r>
      <w:r w:rsidR="00412D47" w:rsidRPr="00617833">
        <w:rPr>
          <w:rFonts w:ascii="Verdana" w:hAnsi="Verdana"/>
          <w:sz w:val="20"/>
        </w:rPr>
        <w:t>1</w:t>
      </w:r>
      <w:r w:rsidR="009D5CF4" w:rsidRPr="00617833">
        <w:rPr>
          <w:rFonts w:ascii="Verdana" w:hAnsi="Verdana"/>
          <w:sz w:val="20"/>
        </w:rPr>
        <w:t>,</w:t>
      </w:r>
      <w:r w:rsidR="00412D47" w:rsidRPr="00617833">
        <w:rPr>
          <w:rFonts w:ascii="Verdana" w:hAnsi="Verdana"/>
          <w:sz w:val="20"/>
        </w:rPr>
        <w:t>7</w:t>
      </w:r>
      <w:r w:rsidR="009D5CF4" w:rsidRPr="00617833">
        <w:rPr>
          <w:rFonts w:ascii="Verdana" w:hAnsi="Verdana"/>
          <w:sz w:val="20"/>
        </w:rPr>
        <w:t>%</w:t>
      </w:r>
      <w:r w:rsidR="00412D47" w:rsidRPr="00617833">
        <w:rPr>
          <w:rFonts w:ascii="Verdana" w:hAnsi="Verdana"/>
          <w:sz w:val="20"/>
        </w:rPr>
        <w:t>.</w:t>
      </w:r>
      <w:r w:rsidR="00A932E3" w:rsidRPr="00617833">
        <w:rPr>
          <w:rFonts w:ascii="Verdana" w:hAnsi="Verdana"/>
          <w:sz w:val="20"/>
        </w:rPr>
        <w:t xml:space="preserve">   </w:t>
      </w:r>
      <w:r w:rsidR="002F644C" w:rsidRPr="00617833">
        <w:rPr>
          <w:rFonts w:ascii="Verdana" w:hAnsi="Verdana"/>
          <w:sz w:val="20"/>
        </w:rPr>
        <w:t xml:space="preserve">Jueces sustitutos han dictado el 3,3% en sustitución y el 3,8% como </w:t>
      </w:r>
      <w:r w:rsidR="002F644C" w:rsidRPr="00617833">
        <w:rPr>
          <w:rFonts w:ascii="Verdana" w:hAnsi="Verdana"/>
          <w:sz w:val="20"/>
        </w:rPr>
        <w:lastRenderedPageBreak/>
        <w:t>refuerzo, destacando Castilla la Mancha, con 12,1% y 17,1% respectivamente; Extremadura, el 14,7% y Castilla y León, el 13,6%, en ambos casos sustituyendo al titular; Illes Balears, el 21,7%  como refuerzo; y Andalucía, 4,9% sustituyendo al titular y 8,3% como refuerzo.</w:t>
      </w:r>
    </w:p>
    <w:p w:rsidR="001A39C1" w:rsidRPr="00617833" w:rsidRDefault="001A39C1" w:rsidP="001F1E68">
      <w:pPr>
        <w:pStyle w:val="Textoindependiente"/>
        <w:spacing w:before="120" w:after="120"/>
        <w:ind w:firstLine="357"/>
        <w:rPr>
          <w:rFonts w:ascii="Verdana" w:hAnsi="Verdana"/>
          <w:sz w:val="20"/>
        </w:rPr>
      </w:pPr>
      <w:r w:rsidRPr="00617833">
        <w:rPr>
          <w:rFonts w:ascii="Verdana" w:hAnsi="Verdana"/>
          <w:sz w:val="20"/>
        </w:rPr>
        <w:t xml:space="preserve">Una visión </w:t>
      </w:r>
      <w:r w:rsidR="006A1CEA" w:rsidRPr="00617833">
        <w:rPr>
          <w:rFonts w:ascii="Verdana" w:hAnsi="Verdana"/>
          <w:sz w:val="20"/>
        </w:rPr>
        <w:t>más</w:t>
      </w:r>
      <w:r w:rsidRPr="00617833">
        <w:rPr>
          <w:rFonts w:ascii="Verdana" w:hAnsi="Verdana"/>
          <w:sz w:val="20"/>
        </w:rPr>
        <w:t xml:space="preserve"> positiva se obtiene si se consideran sólo las </w:t>
      </w:r>
      <w:r w:rsidRPr="00617833">
        <w:rPr>
          <w:rFonts w:ascii="Verdana" w:hAnsi="Verdana"/>
          <w:b/>
          <w:sz w:val="20"/>
        </w:rPr>
        <w:t>sentencias concursales</w:t>
      </w:r>
      <w:r w:rsidRPr="00617833">
        <w:rPr>
          <w:rFonts w:ascii="Verdana" w:hAnsi="Verdana"/>
          <w:sz w:val="20"/>
        </w:rPr>
        <w:t xml:space="preserve">, tanto las </w:t>
      </w:r>
      <w:r w:rsidR="006A1CEA" w:rsidRPr="00617833">
        <w:rPr>
          <w:rFonts w:ascii="Verdana" w:hAnsi="Verdana"/>
          <w:sz w:val="20"/>
        </w:rPr>
        <w:t>relativas</w:t>
      </w:r>
      <w:r w:rsidRPr="00617833">
        <w:rPr>
          <w:rFonts w:ascii="Verdana" w:hAnsi="Verdana"/>
          <w:sz w:val="20"/>
        </w:rPr>
        <w:t xml:space="preserve"> al concursos, como las de incidentes, calificación</w:t>
      </w:r>
      <w:r w:rsidR="00056AE8" w:rsidRPr="00617833">
        <w:rPr>
          <w:rFonts w:ascii="Verdana" w:hAnsi="Verdana"/>
          <w:sz w:val="20"/>
        </w:rPr>
        <w:t xml:space="preserve">, y convenio. Los titulares del órgano han dictado el </w:t>
      </w:r>
      <w:r w:rsidR="00E266DB" w:rsidRPr="00617833">
        <w:rPr>
          <w:rFonts w:ascii="Verdana" w:hAnsi="Verdana"/>
          <w:sz w:val="20"/>
        </w:rPr>
        <w:t>80,2</w:t>
      </w:r>
      <w:r w:rsidR="00056AE8" w:rsidRPr="00617833">
        <w:rPr>
          <w:rFonts w:ascii="Verdana" w:hAnsi="Verdana"/>
          <w:sz w:val="20"/>
        </w:rPr>
        <w:t>% de las sentencias; titulares de</w:t>
      </w:r>
      <w:r w:rsidR="006A1CEA" w:rsidRPr="00617833">
        <w:rPr>
          <w:rFonts w:ascii="Verdana" w:hAnsi="Verdana"/>
          <w:sz w:val="20"/>
        </w:rPr>
        <w:t xml:space="preserve"> </w:t>
      </w:r>
      <w:r w:rsidR="00056AE8" w:rsidRPr="00617833">
        <w:rPr>
          <w:rFonts w:ascii="Verdana" w:hAnsi="Verdana"/>
          <w:sz w:val="20"/>
        </w:rPr>
        <w:t>otros órganos,</w:t>
      </w:r>
      <w:r w:rsidR="006A1CEA" w:rsidRPr="00617833">
        <w:rPr>
          <w:rFonts w:ascii="Verdana" w:hAnsi="Verdana"/>
          <w:sz w:val="20"/>
        </w:rPr>
        <w:t xml:space="preserve"> </w:t>
      </w:r>
      <w:r w:rsidR="00056AE8" w:rsidRPr="00617833">
        <w:rPr>
          <w:rFonts w:ascii="Verdana" w:hAnsi="Verdana"/>
          <w:sz w:val="20"/>
        </w:rPr>
        <w:t>actuando en sustituci</w:t>
      </w:r>
      <w:r w:rsidR="00E266DB" w:rsidRPr="00617833">
        <w:rPr>
          <w:rFonts w:ascii="Verdana" w:hAnsi="Verdana"/>
          <w:sz w:val="20"/>
        </w:rPr>
        <w:t>ón o refuerzo han dictado el 6,1</w:t>
      </w:r>
      <w:r w:rsidR="00056AE8" w:rsidRPr="00617833">
        <w:rPr>
          <w:rFonts w:ascii="Verdana" w:hAnsi="Verdana"/>
          <w:sz w:val="20"/>
        </w:rPr>
        <w:t xml:space="preserve">%; jueces </w:t>
      </w:r>
      <w:r w:rsidR="006A1CEA" w:rsidRPr="00617833">
        <w:rPr>
          <w:rFonts w:ascii="Verdana" w:hAnsi="Verdana"/>
          <w:sz w:val="20"/>
        </w:rPr>
        <w:t>susti</w:t>
      </w:r>
      <w:r w:rsidR="004F0967" w:rsidRPr="00617833">
        <w:rPr>
          <w:rFonts w:ascii="Verdana" w:hAnsi="Verdana"/>
          <w:sz w:val="20"/>
        </w:rPr>
        <w:t>tu</w:t>
      </w:r>
      <w:r w:rsidR="006A1CEA" w:rsidRPr="00617833">
        <w:rPr>
          <w:rFonts w:ascii="Verdana" w:hAnsi="Verdana"/>
          <w:sz w:val="20"/>
        </w:rPr>
        <w:t>tos</w:t>
      </w:r>
      <w:r w:rsidR="00056AE8" w:rsidRPr="00617833">
        <w:rPr>
          <w:rFonts w:ascii="Verdana" w:hAnsi="Verdana"/>
          <w:sz w:val="20"/>
        </w:rPr>
        <w:t xml:space="preserve"> el </w:t>
      </w:r>
      <w:r w:rsidR="00E266DB" w:rsidRPr="00617833">
        <w:rPr>
          <w:rFonts w:ascii="Verdana" w:hAnsi="Verdana"/>
          <w:sz w:val="20"/>
        </w:rPr>
        <w:t>5</w:t>
      </w:r>
      <w:r w:rsidR="00056AE8" w:rsidRPr="00617833">
        <w:rPr>
          <w:rFonts w:ascii="Verdana" w:hAnsi="Verdana"/>
          <w:sz w:val="20"/>
        </w:rPr>
        <w:t xml:space="preserve">%; y jueces </w:t>
      </w:r>
      <w:r w:rsidR="00E266DB" w:rsidRPr="00617833">
        <w:rPr>
          <w:rFonts w:ascii="Verdana" w:hAnsi="Verdana"/>
          <w:sz w:val="20"/>
        </w:rPr>
        <w:t>de adscripción territorial, el 7</w:t>
      </w:r>
      <w:r w:rsidR="00056AE8" w:rsidRPr="00617833">
        <w:rPr>
          <w:rFonts w:ascii="Verdana" w:hAnsi="Verdana"/>
          <w:sz w:val="20"/>
        </w:rPr>
        <w:t>,</w:t>
      </w:r>
      <w:r w:rsidR="00E266DB" w:rsidRPr="00617833">
        <w:rPr>
          <w:rFonts w:ascii="Verdana" w:hAnsi="Verdana"/>
          <w:sz w:val="20"/>
        </w:rPr>
        <w:t>8</w:t>
      </w:r>
      <w:r w:rsidR="00056AE8" w:rsidRPr="00617833">
        <w:rPr>
          <w:rFonts w:ascii="Verdana" w:hAnsi="Verdana"/>
          <w:sz w:val="20"/>
        </w:rPr>
        <w:t>%. En refuerzo, el porcentaje de sentencias dictadas ha sido del 12,</w:t>
      </w:r>
      <w:r w:rsidR="00E266DB" w:rsidRPr="00617833">
        <w:rPr>
          <w:rFonts w:ascii="Verdana" w:hAnsi="Verdana"/>
          <w:sz w:val="20"/>
        </w:rPr>
        <w:t>1</w:t>
      </w:r>
      <w:r w:rsidR="00056AE8" w:rsidRPr="00617833">
        <w:rPr>
          <w:rFonts w:ascii="Verdana" w:hAnsi="Verdana"/>
          <w:sz w:val="20"/>
        </w:rPr>
        <w:t>%.</w:t>
      </w:r>
    </w:p>
    <w:p w:rsidR="00496236" w:rsidRPr="00617833" w:rsidRDefault="001B4EE3">
      <w:pPr>
        <w:pStyle w:val="Textoindependiente"/>
        <w:spacing w:before="120" w:after="120"/>
        <w:ind w:firstLine="357"/>
        <w:rPr>
          <w:rFonts w:ascii="Verdana" w:hAnsi="Verdana"/>
          <w:sz w:val="20"/>
        </w:rPr>
      </w:pPr>
      <w:r w:rsidRPr="00617833">
        <w:rPr>
          <w:rFonts w:ascii="Verdana" w:hAnsi="Verdana"/>
          <w:sz w:val="20"/>
        </w:rPr>
        <w:t xml:space="preserve">En las </w:t>
      </w:r>
      <w:r w:rsidR="00614C7F" w:rsidRPr="00617833">
        <w:rPr>
          <w:rFonts w:ascii="Verdana" w:hAnsi="Verdana"/>
          <w:sz w:val="20"/>
        </w:rPr>
        <w:t>secciones civiles de las audiencias p</w:t>
      </w:r>
      <w:r w:rsidRPr="00617833">
        <w:rPr>
          <w:rFonts w:ascii="Verdana" w:hAnsi="Verdana"/>
          <w:sz w:val="20"/>
        </w:rPr>
        <w:t xml:space="preserve">rovinciales el </w:t>
      </w:r>
      <w:r w:rsidR="00496236" w:rsidRPr="00617833">
        <w:rPr>
          <w:rFonts w:ascii="Verdana" w:hAnsi="Verdana"/>
          <w:sz w:val="20"/>
        </w:rPr>
        <w:t>87</w:t>
      </w:r>
      <w:r w:rsidR="001A7F17" w:rsidRPr="00617833">
        <w:rPr>
          <w:rFonts w:ascii="Verdana" w:hAnsi="Verdana"/>
          <w:sz w:val="20"/>
        </w:rPr>
        <w:t xml:space="preserve">% </w:t>
      </w:r>
      <w:r w:rsidRPr="00617833">
        <w:rPr>
          <w:rFonts w:ascii="Verdana" w:hAnsi="Verdana"/>
          <w:sz w:val="20"/>
        </w:rPr>
        <w:t>de las sentencias han sido dictadas por titulares</w:t>
      </w:r>
      <w:r w:rsidR="00CA01CB" w:rsidRPr="00617833">
        <w:rPr>
          <w:rFonts w:ascii="Verdana" w:hAnsi="Verdana"/>
          <w:sz w:val="20"/>
        </w:rPr>
        <w:t xml:space="preserve"> del órgano</w:t>
      </w:r>
      <w:r w:rsidR="00B30B7A" w:rsidRPr="00617833">
        <w:rPr>
          <w:rFonts w:ascii="Verdana" w:hAnsi="Verdana"/>
          <w:sz w:val="20"/>
        </w:rPr>
        <w:t xml:space="preserve"> en actuación ordinaria y el 0,</w:t>
      </w:r>
      <w:r w:rsidR="00496236" w:rsidRPr="00617833">
        <w:rPr>
          <w:rFonts w:ascii="Verdana" w:hAnsi="Verdana"/>
          <w:sz w:val="20"/>
        </w:rPr>
        <w:t>9</w:t>
      </w:r>
      <w:r w:rsidR="00B30B7A" w:rsidRPr="00617833">
        <w:rPr>
          <w:rFonts w:ascii="Verdana" w:hAnsi="Verdana"/>
          <w:sz w:val="20"/>
        </w:rPr>
        <w:t xml:space="preserve">% como </w:t>
      </w:r>
      <w:r w:rsidR="006A1CEA" w:rsidRPr="00617833">
        <w:rPr>
          <w:rFonts w:ascii="Verdana" w:hAnsi="Verdana"/>
          <w:sz w:val="20"/>
        </w:rPr>
        <w:t>auto refuerzo</w:t>
      </w:r>
      <w:r w:rsidR="00496236" w:rsidRPr="00617833">
        <w:rPr>
          <w:rFonts w:ascii="Verdana" w:hAnsi="Verdana"/>
          <w:sz w:val="20"/>
        </w:rPr>
        <w:t>.</w:t>
      </w:r>
      <w:r w:rsidR="00B30B7A" w:rsidRPr="00617833">
        <w:rPr>
          <w:rFonts w:ascii="Verdana" w:hAnsi="Verdana"/>
          <w:sz w:val="20"/>
        </w:rPr>
        <w:t xml:space="preserve"> En </w:t>
      </w:r>
      <w:r w:rsidR="00580FB7" w:rsidRPr="00617833">
        <w:rPr>
          <w:rFonts w:ascii="Verdana" w:hAnsi="Verdana"/>
          <w:sz w:val="20"/>
        </w:rPr>
        <w:t>Asturias</w:t>
      </w:r>
      <w:r w:rsidR="00B30B7A" w:rsidRPr="00617833">
        <w:rPr>
          <w:rFonts w:ascii="Verdana" w:hAnsi="Verdana"/>
          <w:sz w:val="20"/>
        </w:rPr>
        <w:t xml:space="preserve"> </w:t>
      </w:r>
      <w:r w:rsidR="00580FB7" w:rsidRPr="00617833">
        <w:rPr>
          <w:rFonts w:ascii="Verdana" w:hAnsi="Verdana"/>
          <w:sz w:val="20"/>
        </w:rPr>
        <w:t>se ha</w:t>
      </w:r>
      <w:r w:rsidR="00B30B7A" w:rsidRPr="00617833">
        <w:rPr>
          <w:rFonts w:ascii="Verdana" w:hAnsi="Verdana"/>
          <w:sz w:val="20"/>
        </w:rPr>
        <w:t xml:space="preserve"> llegado al </w:t>
      </w:r>
      <w:r w:rsidR="00764E02" w:rsidRPr="00617833">
        <w:rPr>
          <w:rFonts w:ascii="Verdana" w:hAnsi="Verdana"/>
          <w:sz w:val="20"/>
        </w:rPr>
        <w:t>100%</w:t>
      </w:r>
      <w:r w:rsidR="00B30B7A" w:rsidRPr="00617833">
        <w:rPr>
          <w:rFonts w:ascii="Verdana" w:hAnsi="Verdana"/>
          <w:sz w:val="20"/>
        </w:rPr>
        <w:t xml:space="preserve">; </w:t>
      </w:r>
      <w:r w:rsidR="00764E02" w:rsidRPr="00617833">
        <w:rPr>
          <w:rFonts w:ascii="Verdana" w:hAnsi="Verdana"/>
          <w:sz w:val="20"/>
        </w:rPr>
        <w:t xml:space="preserve">en </w:t>
      </w:r>
      <w:r w:rsidR="00580FB7" w:rsidRPr="00617833">
        <w:rPr>
          <w:rFonts w:ascii="Verdana" w:hAnsi="Verdana"/>
          <w:sz w:val="20"/>
        </w:rPr>
        <w:t xml:space="preserve">Castilla León al 98,3%; y en Extremadura al 96,8%. </w:t>
      </w:r>
      <w:r w:rsidR="00764E02" w:rsidRPr="00617833">
        <w:rPr>
          <w:rFonts w:ascii="Verdana" w:hAnsi="Verdana"/>
          <w:sz w:val="20"/>
        </w:rPr>
        <w:t xml:space="preserve"> </w:t>
      </w:r>
      <w:r w:rsidR="001A7F17" w:rsidRPr="00617833">
        <w:rPr>
          <w:rFonts w:ascii="Verdana" w:hAnsi="Verdana"/>
          <w:sz w:val="20"/>
        </w:rPr>
        <w:t>Magistrados s</w:t>
      </w:r>
      <w:r w:rsidR="00D3066A" w:rsidRPr="00617833">
        <w:rPr>
          <w:rFonts w:ascii="Verdana" w:hAnsi="Verdana"/>
          <w:sz w:val="20"/>
        </w:rPr>
        <w:t>u</w:t>
      </w:r>
      <w:r w:rsidR="00B30B7A" w:rsidRPr="00617833">
        <w:rPr>
          <w:rFonts w:ascii="Verdana" w:hAnsi="Verdana"/>
          <w:sz w:val="20"/>
        </w:rPr>
        <w:t xml:space="preserve">plentes han dictado el </w:t>
      </w:r>
      <w:r w:rsidR="00496236" w:rsidRPr="00617833">
        <w:rPr>
          <w:rFonts w:ascii="Verdana" w:hAnsi="Verdana"/>
          <w:sz w:val="20"/>
        </w:rPr>
        <w:t>2</w:t>
      </w:r>
      <w:r w:rsidR="001A7F17" w:rsidRPr="00617833">
        <w:rPr>
          <w:rFonts w:ascii="Verdana" w:hAnsi="Verdana"/>
          <w:sz w:val="20"/>
        </w:rPr>
        <w:t>,</w:t>
      </w:r>
      <w:r w:rsidR="00496236" w:rsidRPr="00617833">
        <w:rPr>
          <w:rFonts w:ascii="Verdana" w:hAnsi="Verdana"/>
          <w:sz w:val="20"/>
        </w:rPr>
        <w:t>1</w:t>
      </w:r>
      <w:r w:rsidR="001A7F17" w:rsidRPr="00617833">
        <w:rPr>
          <w:rFonts w:ascii="Verdana" w:hAnsi="Verdana"/>
          <w:sz w:val="20"/>
        </w:rPr>
        <w:t>%</w:t>
      </w:r>
      <w:r w:rsidR="00B30B7A" w:rsidRPr="00617833">
        <w:rPr>
          <w:rFonts w:ascii="Verdana" w:hAnsi="Verdana"/>
          <w:sz w:val="20"/>
        </w:rPr>
        <w:t xml:space="preserve"> como sustitución y el </w:t>
      </w:r>
      <w:r w:rsidR="00764E02" w:rsidRPr="00617833">
        <w:rPr>
          <w:rFonts w:ascii="Verdana" w:hAnsi="Verdana"/>
          <w:sz w:val="20"/>
        </w:rPr>
        <w:t>0</w:t>
      </w:r>
      <w:r w:rsidR="00B30B7A" w:rsidRPr="00617833">
        <w:rPr>
          <w:rFonts w:ascii="Verdana" w:hAnsi="Verdana"/>
          <w:sz w:val="20"/>
        </w:rPr>
        <w:t>,</w:t>
      </w:r>
      <w:r w:rsidR="00496236" w:rsidRPr="00617833">
        <w:rPr>
          <w:rFonts w:ascii="Verdana" w:hAnsi="Verdana"/>
          <w:sz w:val="20"/>
        </w:rPr>
        <w:t>9</w:t>
      </w:r>
      <w:r w:rsidR="00B30B7A" w:rsidRPr="00617833">
        <w:rPr>
          <w:rFonts w:ascii="Verdana" w:hAnsi="Verdana"/>
          <w:sz w:val="20"/>
        </w:rPr>
        <w:t xml:space="preserve">% como refuerzo. Pero en Illes Balears han alcanzado el </w:t>
      </w:r>
      <w:r w:rsidR="00496236" w:rsidRPr="00617833">
        <w:rPr>
          <w:rFonts w:ascii="Verdana" w:hAnsi="Verdana"/>
          <w:sz w:val="20"/>
        </w:rPr>
        <w:t>13</w:t>
      </w:r>
      <w:r w:rsidR="00B30B7A" w:rsidRPr="00617833">
        <w:rPr>
          <w:rFonts w:ascii="Verdana" w:hAnsi="Verdana"/>
          <w:sz w:val="20"/>
        </w:rPr>
        <w:t>,</w:t>
      </w:r>
      <w:r w:rsidR="00496236" w:rsidRPr="00617833">
        <w:rPr>
          <w:rFonts w:ascii="Verdana" w:hAnsi="Verdana"/>
          <w:sz w:val="20"/>
        </w:rPr>
        <w:t>6</w:t>
      </w:r>
      <w:r w:rsidR="00B30B7A" w:rsidRPr="00617833">
        <w:rPr>
          <w:rFonts w:ascii="Verdana" w:hAnsi="Verdana"/>
          <w:sz w:val="20"/>
        </w:rPr>
        <w:t>%</w:t>
      </w:r>
      <w:r w:rsidR="00496236" w:rsidRPr="00617833">
        <w:rPr>
          <w:rFonts w:ascii="Verdana" w:hAnsi="Verdana"/>
          <w:sz w:val="20"/>
        </w:rPr>
        <w:t xml:space="preserve">, actuando como sustitución de titulares; y en Aragón al 11,3% como </w:t>
      </w:r>
      <w:r w:rsidR="009B3A7B" w:rsidRPr="00617833">
        <w:rPr>
          <w:rFonts w:ascii="Verdana" w:hAnsi="Verdana"/>
          <w:sz w:val="20"/>
        </w:rPr>
        <w:t>sustitución</w:t>
      </w:r>
      <w:r w:rsidR="00F97490" w:rsidRPr="00617833">
        <w:rPr>
          <w:rFonts w:ascii="Verdana" w:hAnsi="Verdana"/>
          <w:sz w:val="20"/>
        </w:rPr>
        <w:t>, y e</w:t>
      </w:r>
      <w:r w:rsidR="00496236" w:rsidRPr="00617833">
        <w:rPr>
          <w:rFonts w:ascii="Verdana" w:hAnsi="Verdana"/>
          <w:sz w:val="20"/>
        </w:rPr>
        <w:t xml:space="preserve">l 5,1% como refuerzo. </w:t>
      </w:r>
      <w:r w:rsidR="00B31AD2" w:rsidRPr="00617833">
        <w:rPr>
          <w:rFonts w:ascii="Verdana" w:hAnsi="Verdana"/>
          <w:sz w:val="20"/>
        </w:rPr>
        <w:t xml:space="preserve">Sentencias dictadas en refuerzo han representado el </w:t>
      </w:r>
      <w:r w:rsidR="00496236" w:rsidRPr="00617833">
        <w:rPr>
          <w:rFonts w:ascii="Verdana" w:hAnsi="Verdana"/>
          <w:sz w:val="20"/>
        </w:rPr>
        <w:t>8</w:t>
      </w:r>
      <w:r w:rsidR="00B31AD2" w:rsidRPr="00617833">
        <w:rPr>
          <w:rFonts w:ascii="Verdana" w:hAnsi="Verdana"/>
          <w:sz w:val="20"/>
        </w:rPr>
        <w:t>,</w:t>
      </w:r>
      <w:r w:rsidR="00496236" w:rsidRPr="00617833">
        <w:rPr>
          <w:rFonts w:ascii="Verdana" w:hAnsi="Verdana"/>
          <w:sz w:val="20"/>
        </w:rPr>
        <w:t>1</w:t>
      </w:r>
      <w:r w:rsidR="00B31AD2" w:rsidRPr="00617833">
        <w:rPr>
          <w:rFonts w:ascii="Verdana" w:hAnsi="Verdana"/>
          <w:sz w:val="20"/>
        </w:rPr>
        <w:t xml:space="preserve">%, destacando </w:t>
      </w:r>
      <w:r w:rsidR="00B30B7A" w:rsidRPr="00617833">
        <w:rPr>
          <w:rFonts w:ascii="Verdana" w:hAnsi="Verdana"/>
          <w:sz w:val="20"/>
        </w:rPr>
        <w:t>Ca</w:t>
      </w:r>
      <w:r w:rsidR="00764E02" w:rsidRPr="00617833">
        <w:rPr>
          <w:rFonts w:ascii="Verdana" w:hAnsi="Verdana"/>
          <w:sz w:val="20"/>
        </w:rPr>
        <w:t xml:space="preserve">taluña, </w:t>
      </w:r>
      <w:r w:rsidR="00496236" w:rsidRPr="00617833">
        <w:rPr>
          <w:rFonts w:ascii="Verdana" w:hAnsi="Verdana"/>
          <w:sz w:val="20"/>
        </w:rPr>
        <w:t>1</w:t>
      </w:r>
      <w:r w:rsidR="00764E02" w:rsidRPr="00617833">
        <w:rPr>
          <w:rFonts w:ascii="Verdana" w:hAnsi="Verdana"/>
          <w:sz w:val="20"/>
        </w:rPr>
        <w:t>5,</w:t>
      </w:r>
      <w:r w:rsidR="00496236" w:rsidRPr="00617833">
        <w:rPr>
          <w:rFonts w:ascii="Verdana" w:hAnsi="Verdana"/>
          <w:sz w:val="20"/>
        </w:rPr>
        <w:t>7</w:t>
      </w:r>
      <w:r w:rsidR="00764E02" w:rsidRPr="00617833">
        <w:rPr>
          <w:rFonts w:ascii="Verdana" w:hAnsi="Verdana"/>
          <w:sz w:val="20"/>
        </w:rPr>
        <w:t xml:space="preserve">%; </w:t>
      </w:r>
      <w:r w:rsidR="00496236" w:rsidRPr="00617833">
        <w:rPr>
          <w:rFonts w:ascii="Verdana" w:hAnsi="Verdana"/>
          <w:sz w:val="20"/>
        </w:rPr>
        <w:t>Aragón, 14,6%; y Andalucía, 9,6%.</w:t>
      </w:r>
    </w:p>
    <w:p w:rsidR="002A0378" w:rsidRPr="00617833" w:rsidRDefault="0043695C">
      <w:pPr>
        <w:pStyle w:val="Textoindependiente"/>
        <w:spacing w:before="120" w:after="120"/>
        <w:ind w:firstLine="357"/>
        <w:rPr>
          <w:rFonts w:ascii="Verdana" w:hAnsi="Verdana"/>
          <w:sz w:val="20"/>
        </w:rPr>
      </w:pPr>
      <w:r w:rsidRPr="00617833">
        <w:rPr>
          <w:rFonts w:ascii="Verdana" w:hAnsi="Verdana"/>
          <w:sz w:val="20"/>
        </w:rPr>
        <w:t xml:space="preserve">En </w:t>
      </w:r>
      <w:r w:rsidR="002A0378" w:rsidRPr="00617833">
        <w:rPr>
          <w:rFonts w:ascii="Verdana" w:hAnsi="Verdana"/>
          <w:sz w:val="20"/>
        </w:rPr>
        <w:t>cuanto a los recursos por resoluciones mercantiles, el 9</w:t>
      </w:r>
      <w:r w:rsidR="00793B83" w:rsidRPr="00617833">
        <w:rPr>
          <w:rFonts w:ascii="Verdana" w:hAnsi="Verdana"/>
          <w:sz w:val="20"/>
        </w:rPr>
        <w:t>0</w:t>
      </w:r>
      <w:r w:rsidR="002A0378" w:rsidRPr="00617833">
        <w:rPr>
          <w:rFonts w:ascii="Verdana" w:hAnsi="Verdana"/>
          <w:sz w:val="20"/>
        </w:rPr>
        <w:t xml:space="preserve">% de las </w:t>
      </w:r>
      <w:r w:rsidR="0083320F" w:rsidRPr="00617833">
        <w:rPr>
          <w:rFonts w:ascii="Verdana" w:hAnsi="Verdana"/>
          <w:sz w:val="20"/>
        </w:rPr>
        <w:t>sentencias</w:t>
      </w:r>
      <w:r w:rsidR="002A0378" w:rsidRPr="00617833">
        <w:rPr>
          <w:rFonts w:ascii="Verdana" w:hAnsi="Verdana"/>
          <w:sz w:val="20"/>
        </w:rPr>
        <w:t xml:space="preserve"> las han dictado titulares del órgano</w:t>
      </w:r>
      <w:r w:rsidR="006A1CEA" w:rsidRPr="00617833">
        <w:rPr>
          <w:rFonts w:ascii="Verdana" w:hAnsi="Verdana"/>
          <w:sz w:val="20"/>
        </w:rPr>
        <w:t xml:space="preserve"> en actuación ordi</w:t>
      </w:r>
      <w:r w:rsidR="003B45A3" w:rsidRPr="00617833">
        <w:rPr>
          <w:rFonts w:ascii="Verdana" w:hAnsi="Verdana"/>
          <w:sz w:val="20"/>
        </w:rPr>
        <w:t>n</w:t>
      </w:r>
      <w:r w:rsidR="006A1CEA" w:rsidRPr="00617833">
        <w:rPr>
          <w:rFonts w:ascii="Verdana" w:hAnsi="Verdana"/>
          <w:sz w:val="20"/>
        </w:rPr>
        <w:t>a</w:t>
      </w:r>
      <w:r w:rsidR="003B45A3" w:rsidRPr="00617833">
        <w:rPr>
          <w:rFonts w:ascii="Verdana" w:hAnsi="Verdana"/>
          <w:sz w:val="20"/>
        </w:rPr>
        <w:t>ria.</w:t>
      </w:r>
      <w:r w:rsidR="002A0378" w:rsidRPr="00617833">
        <w:rPr>
          <w:rFonts w:ascii="Verdana" w:hAnsi="Verdana"/>
          <w:sz w:val="20"/>
        </w:rPr>
        <w:t xml:space="preserve"> Los magistrados suplentes han dictado el </w:t>
      </w:r>
      <w:r w:rsidR="00793B83" w:rsidRPr="00617833">
        <w:rPr>
          <w:rFonts w:ascii="Verdana" w:hAnsi="Verdana"/>
          <w:sz w:val="20"/>
        </w:rPr>
        <w:t>2</w:t>
      </w:r>
      <w:r w:rsidR="002A0378" w:rsidRPr="00617833">
        <w:rPr>
          <w:rFonts w:ascii="Verdana" w:hAnsi="Verdana"/>
          <w:sz w:val="20"/>
        </w:rPr>
        <w:t>,</w:t>
      </w:r>
      <w:r w:rsidR="00793B83" w:rsidRPr="00617833">
        <w:rPr>
          <w:rFonts w:ascii="Verdana" w:hAnsi="Verdana"/>
          <w:sz w:val="20"/>
        </w:rPr>
        <w:t>8</w:t>
      </w:r>
      <w:r w:rsidR="002A0378" w:rsidRPr="00617833">
        <w:rPr>
          <w:rFonts w:ascii="Verdana" w:hAnsi="Verdana"/>
          <w:sz w:val="20"/>
        </w:rPr>
        <w:t xml:space="preserve">% </w:t>
      </w:r>
      <w:r w:rsidR="00793B83" w:rsidRPr="00617833">
        <w:rPr>
          <w:rFonts w:ascii="Verdana" w:hAnsi="Verdana"/>
          <w:sz w:val="20"/>
        </w:rPr>
        <w:t xml:space="preserve">en actuación ordinaria y 0,1% como refuerzo; </w:t>
      </w:r>
      <w:r w:rsidR="009B3A7B" w:rsidRPr="00617833">
        <w:rPr>
          <w:rFonts w:ascii="Verdana" w:hAnsi="Verdana"/>
          <w:sz w:val="20"/>
        </w:rPr>
        <w:t>destacando</w:t>
      </w:r>
      <w:r w:rsidR="00793B83" w:rsidRPr="00617833">
        <w:rPr>
          <w:rFonts w:ascii="Verdana" w:hAnsi="Verdana"/>
          <w:sz w:val="20"/>
        </w:rPr>
        <w:t xml:space="preserve"> el País Vasco, con el 11,2% y 0,4% respectivamente; Cataluña, con el 10,7% como sustitución; y Aragón, con el 8,3%. </w:t>
      </w:r>
      <w:r w:rsidR="006A1CEA" w:rsidRPr="00617833">
        <w:rPr>
          <w:rFonts w:ascii="Verdana" w:hAnsi="Verdana"/>
          <w:sz w:val="20"/>
        </w:rPr>
        <w:t xml:space="preserve">Los refuerzos más importantes se han aplicado en Cataluña, donde el </w:t>
      </w:r>
      <w:r w:rsidR="00C37966" w:rsidRPr="00617833">
        <w:rPr>
          <w:rFonts w:ascii="Verdana" w:hAnsi="Verdana"/>
          <w:sz w:val="20"/>
        </w:rPr>
        <w:t>15,7</w:t>
      </w:r>
      <w:r w:rsidR="006A1CEA" w:rsidRPr="00617833">
        <w:rPr>
          <w:rFonts w:ascii="Verdana" w:hAnsi="Verdana"/>
          <w:sz w:val="20"/>
        </w:rPr>
        <w:t>% de las sentencias las han dictado magistrados de otros órganos actuando como refuerzo</w:t>
      </w:r>
      <w:r w:rsidR="00C37966" w:rsidRPr="00617833">
        <w:rPr>
          <w:rFonts w:ascii="Verdana" w:hAnsi="Verdana"/>
          <w:sz w:val="20"/>
        </w:rPr>
        <w:t>; Madrid con el 9,6%; Andalucía, el 6,3%; y Aragón, el 4,8%.</w:t>
      </w:r>
    </w:p>
    <w:p w:rsidR="00BD0B54" w:rsidRPr="00617833" w:rsidRDefault="00614C7F">
      <w:pPr>
        <w:pStyle w:val="Textoindependiente"/>
        <w:spacing w:before="120" w:after="120"/>
        <w:ind w:firstLine="357"/>
        <w:rPr>
          <w:rFonts w:ascii="Verdana" w:hAnsi="Verdana"/>
          <w:sz w:val="20"/>
        </w:rPr>
      </w:pPr>
      <w:r w:rsidRPr="00617833">
        <w:rPr>
          <w:rFonts w:ascii="Verdana" w:hAnsi="Verdana"/>
          <w:sz w:val="20"/>
        </w:rPr>
        <w:t>En las secciones mixtas de las audiencias p</w:t>
      </w:r>
      <w:r w:rsidR="001B4EE3" w:rsidRPr="00617833">
        <w:rPr>
          <w:rFonts w:ascii="Verdana" w:hAnsi="Verdana"/>
          <w:sz w:val="20"/>
        </w:rPr>
        <w:t xml:space="preserve">rovinciales, los titulares </w:t>
      </w:r>
      <w:r w:rsidR="00524E0C" w:rsidRPr="00617833">
        <w:rPr>
          <w:rFonts w:ascii="Verdana" w:hAnsi="Verdana"/>
          <w:sz w:val="20"/>
        </w:rPr>
        <w:t xml:space="preserve">del órgano </w:t>
      </w:r>
      <w:r w:rsidR="001B4EE3" w:rsidRPr="00617833">
        <w:rPr>
          <w:rFonts w:ascii="Verdana" w:hAnsi="Verdana"/>
          <w:sz w:val="20"/>
        </w:rPr>
        <w:t xml:space="preserve">dictaron un  </w:t>
      </w:r>
      <w:r w:rsidR="00B7367F" w:rsidRPr="00617833">
        <w:rPr>
          <w:rFonts w:ascii="Verdana" w:hAnsi="Verdana"/>
          <w:sz w:val="20"/>
        </w:rPr>
        <w:t>9</w:t>
      </w:r>
      <w:r w:rsidR="00BD0B54" w:rsidRPr="00617833">
        <w:rPr>
          <w:rFonts w:ascii="Verdana" w:hAnsi="Verdana"/>
          <w:sz w:val="20"/>
        </w:rPr>
        <w:t>3</w:t>
      </w:r>
      <w:r w:rsidR="001C7B1D" w:rsidRPr="00617833">
        <w:rPr>
          <w:rFonts w:ascii="Verdana" w:hAnsi="Verdana"/>
          <w:sz w:val="20"/>
        </w:rPr>
        <w:t>% de las sentencias civiles</w:t>
      </w:r>
      <w:r w:rsidR="008137B6" w:rsidRPr="00617833">
        <w:rPr>
          <w:rFonts w:ascii="Verdana" w:hAnsi="Verdana"/>
          <w:sz w:val="20"/>
        </w:rPr>
        <w:t xml:space="preserve"> en actuación </w:t>
      </w:r>
      <w:r w:rsidR="000F698C" w:rsidRPr="00617833">
        <w:rPr>
          <w:rFonts w:ascii="Verdana" w:hAnsi="Verdana"/>
          <w:sz w:val="20"/>
        </w:rPr>
        <w:t>ordinaria</w:t>
      </w:r>
      <w:r w:rsidR="00BD0B54" w:rsidRPr="00617833">
        <w:rPr>
          <w:rFonts w:ascii="Verdana" w:hAnsi="Verdana"/>
          <w:sz w:val="20"/>
        </w:rPr>
        <w:t xml:space="preserve"> y el 0,2</w:t>
      </w:r>
      <w:r w:rsidR="008137B6" w:rsidRPr="00617833">
        <w:rPr>
          <w:rFonts w:ascii="Verdana" w:hAnsi="Verdana"/>
          <w:sz w:val="20"/>
        </w:rPr>
        <w:t xml:space="preserve">% como </w:t>
      </w:r>
      <w:r w:rsidR="000F698C" w:rsidRPr="00617833">
        <w:rPr>
          <w:rFonts w:ascii="Verdana" w:hAnsi="Verdana"/>
          <w:sz w:val="20"/>
        </w:rPr>
        <w:t>auto refuerzo</w:t>
      </w:r>
      <w:r w:rsidR="008137B6" w:rsidRPr="00617833">
        <w:rPr>
          <w:rFonts w:ascii="Verdana" w:hAnsi="Verdana"/>
          <w:sz w:val="20"/>
        </w:rPr>
        <w:t>.</w:t>
      </w:r>
      <w:r w:rsidR="00DD68BE" w:rsidRPr="00617833">
        <w:rPr>
          <w:rFonts w:ascii="Verdana" w:hAnsi="Verdana"/>
          <w:sz w:val="20"/>
        </w:rPr>
        <w:t xml:space="preserve"> </w:t>
      </w:r>
      <w:r w:rsidR="00105F6E" w:rsidRPr="00617833">
        <w:rPr>
          <w:rFonts w:ascii="Verdana" w:hAnsi="Verdana"/>
          <w:sz w:val="20"/>
        </w:rPr>
        <w:t xml:space="preserve"> Magistrados suplentes han dictad</w:t>
      </w:r>
      <w:r w:rsidR="00731CC9" w:rsidRPr="00617833">
        <w:rPr>
          <w:rFonts w:ascii="Verdana" w:hAnsi="Verdana"/>
          <w:sz w:val="20"/>
        </w:rPr>
        <w:t xml:space="preserve">o el </w:t>
      </w:r>
      <w:r w:rsidR="003B45A3" w:rsidRPr="00617833">
        <w:rPr>
          <w:rFonts w:ascii="Verdana" w:hAnsi="Verdana"/>
          <w:sz w:val="20"/>
        </w:rPr>
        <w:t>1,</w:t>
      </w:r>
      <w:r w:rsidR="00BD0B54" w:rsidRPr="00617833">
        <w:rPr>
          <w:rFonts w:ascii="Verdana" w:hAnsi="Verdana"/>
          <w:sz w:val="20"/>
        </w:rPr>
        <w:t>6</w:t>
      </w:r>
      <w:r w:rsidR="00731CC9" w:rsidRPr="00617833">
        <w:rPr>
          <w:rFonts w:ascii="Verdana" w:hAnsi="Verdana"/>
          <w:sz w:val="20"/>
        </w:rPr>
        <w:t>%</w:t>
      </w:r>
      <w:r w:rsidR="003B45A3" w:rsidRPr="00617833">
        <w:rPr>
          <w:rFonts w:ascii="Verdana" w:hAnsi="Verdana"/>
          <w:sz w:val="20"/>
        </w:rPr>
        <w:t xml:space="preserve"> actuando en sustitución y el 0,</w:t>
      </w:r>
      <w:r w:rsidR="00BD0B54" w:rsidRPr="00617833">
        <w:rPr>
          <w:rFonts w:ascii="Verdana" w:hAnsi="Verdana"/>
          <w:sz w:val="20"/>
        </w:rPr>
        <w:t>5</w:t>
      </w:r>
      <w:r w:rsidR="003B45A3" w:rsidRPr="00617833">
        <w:rPr>
          <w:rFonts w:ascii="Verdana" w:hAnsi="Verdana"/>
          <w:sz w:val="20"/>
        </w:rPr>
        <w:t>% como refuerzo</w:t>
      </w:r>
      <w:r w:rsidR="00731CC9" w:rsidRPr="00617833">
        <w:rPr>
          <w:rFonts w:ascii="Verdana" w:hAnsi="Verdana"/>
          <w:sz w:val="20"/>
        </w:rPr>
        <w:t xml:space="preserve">, destacando </w:t>
      </w:r>
      <w:r w:rsidR="00BD0B54" w:rsidRPr="00617833">
        <w:rPr>
          <w:rFonts w:ascii="Verdana" w:hAnsi="Verdana"/>
          <w:sz w:val="20"/>
        </w:rPr>
        <w:t>el País Vasco, con el 9,1%</w:t>
      </w:r>
      <w:r w:rsidR="003B45A3" w:rsidRPr="00617833">
        <w:rPr>
          <w:rFonts w:ascii="Verdana" w:hAnsi="Verdana"/>
          <w:sz w:val="20"/>
        </w:rPr>
        <w:t xml:space="preserve">. En </w:t>
      </w:r>
      <w:r w:rsidR="00BD0B54" w:rsidRPr="00617833">
        <w:rPr>
          <w:rFonts w:ascii="Verdana" w:hAnsi="Verdana"/>
          <w:sz w:val="20"/>
        </w:rPr>
        <w:t xml:space="preserve">Aragón, 22,3%; </w:t>
      </w:r>
      <w:r w:rsidR="003B45A3" w:rsidRPr="00617833">
        <w:rPr>
          <w:rFonts w:ascii="Verdana" w:hAnsi="Verdana"/>
          <w:sz w:val="20"/>
        </w:rPr>
        <w:t xml:space="preserve">Castilla la Mancha, </w:t>
      </w:r>
      <w:r w:rsidR="00BD0B54" w:rsidRPr="00617833">
        <w:rPr>
          <w:rFonts w:ascii="Verdana" w:hAnsi="Verdana"/>
          <w:sz w:val="20"/>
        </w:rPr>
        <w:t>6</w:t>
      </w:r>
      <w:r w:rsidR="00135C7D" w:rsidRPr="00617833">
        <w:rPr>
          <w:rFonts w:ascii="Verdana" w:hAnsi="Verdana"/>
          <w:sz w:val="20"/>
        </w:rPr>
        <w:t>,</w:t>
      </w:r>
      <w:r w:rsidR="00BD0B54" w:rsidRPr="00617833">
        <w:rPr>
          <w:rFonts w:ascii="Verdana" w:hAnsi="Verdana"/>
          <w:sz w:val="20"/>
        </w:rPr>
        <w:t>6</w:t>
      </w:r>
      <w:r w:rsidR="00135C7D" w:rsidRPr="00617833">
        <w:rPr>
          <w:rFonts w:ascii="Verdana" w:hAnsi="Verdana"/>
          <w:sz w:val="20"/>
        </w:rPr>
        <w:t>%</w:t>
      </w:r>
      <w:r w:rsidR="00BD0B54" w:rsidRPr="00617833">
        <w:rPr>
          <w:rFonts w:ascii="Verdana" w:hAnsi="Verdana"/>
          <w:sz w:val="20"/>
        </w:rPr>
        <w:t>; Castilla y León, 5,8%; y La Rioja, 5,6%</w:t>
      </w:r>
      <w:r w:rsidR="000F698C" w:rsidRPr="00617833">
        <w:rPr>
          <w:rFonts w:ascii="Verdana" w:hAnsi="Verdana"/>
          <w:sz w:val="20"/>
        </w:rPr>
        <w:t>,</w:t>
      </w:r>
      <w:r w:rsidR="00BD0B54" w:rsidRPr="00617833">
        <w:rPr>
          <w:rFonts w:ascii="Verdana" w:hAnsi="Verdana"/>
          <w:sz w:val="20"/>
        </w:rPr>
        <w:t xml:space="preserve"> las sentencias dictadas en refuerzos han sido muy significativas.</w:t>
      </w:r>
    </w:p>
    <w:p w:rsidR="001C4371" w:rsidRPr="00617833" w:rsidRDefault="00AA21D6" w:rsidP="007F7D4F">
      <w:pPr>
        <w:pStyle w:val="Textoindependiente"/>
        <w:spacing w:before="120" w:after="120"/>
        <w:ind w:firstLine="357"/>
        <w:rPr>
          <w:rFonts w:ascii="Verdana" w:hAnsi="Verdana"/>
          <w:sz w:val="20"/>
        </w:rPr>
      </w:pPr>
      <w:r w:rsidRPr="00617833">
        <w:rPr>
          <w:rFonts w:ascii="Verdana" w:hAnsi="Verdana"/>
          <w:sz w:val="20"/>
        </w:rPr>
        <w:t>El númer</w:t>
      </w:r>
      <w:r w:rsidR="00B01839" w:rsidRPr="00617833">
        <w:rPr>
          <w:rFonts w:ascii="Verdana" w:hAnsi="Verdana"/>
          <w:sz w:val="20"/>
        </w:rPr>
        <w:t xml:space="preserve">o de </w:t>
      </w:r>
      <w:r w:rsidR="00B01839" w:rsidRPr="00617833">
        <w:rPr>
          <w:rFonts w:ascii="Verdana" w:hAnsi="Verdana"/>
          <w:b/>
          <w:sz w:val="20"/>
        </w:rPr>
        <w:t>decretos finales</w:t>
      </w:r>
      <w:r w:rsidR="00B01839" w:rsidRPr="00617833">
        <w:rPr>
          <w:rFonts w:ascii="Verdana" w:hAnsi="Verdana"/>
          <w:sz w:val="20"/>
        </w:rPr>
        <w:t xml:space="preserve"> </w:t>
      </w:r>
      <w:r w:rsidR="00B320FD" w:rsidRPr="00617833">
        <w:rPr>
          <w:rFonts w:ascii="Verdana" w:hAnsi="Verdana"/>
          <w:sz w:val="20"/>
        </w:rPr>
        <w:t xml:space="preserve">en esta jurisdicción se ha reducido un </w:t>
      </w:r>
      <w:r w:rsidR="00F4559F" w:rsidRPr="00617833">
        <w:rPr>
          <w:rFonts w:ascii="Verdana" w:hAnsi="Verdana"/>
          <w:sz w:val="20"/>
        </w:rPr>
        <w:t>2</w:t>
      </w:r>
      <w:r w:rsidR="00B320FD" w:rsidRPr="00617833">
        <w:rPr>
          <w:rFonts w:ascii="Verdana" w:hAnsi="Verdana"/>
          <w:sz w:val="20"/>
        </w:rPr>
        <w:t>,</w:t>
      </w:r>
      <w:r w:rsidR="00F4559F" w:rsidRPr="00617833">
        <w:rPr>
          <w:rFonts w:ascii="Verdana" w:hAnsi="Verdana"/>
          <w:sz w:val="20"/>
        </w:rPr>
        <w:t>4</w:t>
      </w:r>
      <w:r w:rsidR="00B320FD" w:rsidRPr="00617833">
        <w:rPr>
          <w:rFonts w:ascii="Verdana" w:hAnsi="Verdana"/>
          <w:sz w:val="20"/>
        </w:rPr>
        <w:t>%</w:t>
      </w:r>
      <w:r w:rsidR="00F4559F" w:rsidRPr="00617833">
        <w:rPr>
          <w:rFonts w:ascii="Verdana" w:hAnsi="Verdana"/>
          <w:sz w:val="20"/>
        </w:rPr>
        <w:t xml:space="preserve"> respecto a los dictados en 2016</w:t>
      </w:r>
      <w:r w:rsidR="00B320FD" w:rsidRPr="00617833">
        <w:rPr>
          <w:rFonts w:ascii="Verdana" w:hAnsi="Verdana"/>
          <w:sz w:val="20"/>
        </w:rPr>
        <w:t xml:space="preserve">, con una disminución del </w:t>
      </w:r>
      <w:r w:rsidR="00F4559F" w:rsidRPr="00617833">
        <w:rPr>
          <w:rFonts w:ascii="Verdana" w:hAnsi="Verdana"/>
          <w:sz w:val="20"/>
        </w:rPr>
        <w:t>1</w:t>
      </w:r>
      <w:r w:rsidR="00B320FD" w:rsidRPr="00617833">
        <w:rPr>
          <w:rFonts w:ascii="Verdana" w:hAnsi="Verdana"/>
          <w:sz w:val="20"/>
        </w:rPr>
        <w:t>,</w:t>
      </w:r>
      <w:r w:rsidR="00F4559F" w:rsidRPr="00617833">
        <w:rPr>
          <w:rFonts w:ascii="Verdana" w:hAnsi="Verdana"/>
          <w:sz w:val="20"/>
        </w:rPr>
        <w:t>6</w:t>
      </w:r>
      <w:r w:rsidR="00B320FD" w:rsidRPr="00617833">
        <w:rPr>
          <w:rFonts w:ascii="Verdana" w:hAnsi="Verdana"/>
          <w:sz w:val="20"/>
        </w:rPr>
        <w:t xml:space="preserve">% en la fase declarativa y del </w:t>
      </w:r>
      <w:r w:rsidR="00F4559F" w:rsidRPr="00617833">
        <w:rPr>
          <w:rFonts w:ascii="Verdana" w:hAnsi="Verdana"/>
          <w:sz w:val="20"/>
        </w:rPr>
        <w:t>5</w:t>
      </w:r>
      <w:r w:rsidR="00B320FD" w:rsidRPr="00617833">
        <w:rPr>
          <w:rFonts w:ascii="Verdana" w:hAnsi="Verdana"/>
          <w:sz w:val="20"/>
        </w:rPr>
        <w:t>% en la de ejecución.</w:t>
      </w:r>
    </w:p>
    <w:tbl>
      <w:tblPr>
        <w:tblW w:w="10900" w:type="dxa"/>
        <w:jc w:val="center"/>
        <w:tblInd w:w="55" w:type="dxa"/>
        <w:tblCellMar>
          <w:left w:w="70" w:type="dxa"/>
          <w:right w:w="70" w:type="dxa"/>
        </w:tblCellMar>
        <w:tblLook w:val="04A0" w:firstRow="1" w:lastRow="0" w:firstColumn="1" w:lastColumn="0" w:noHBand="0" w:noVBand="1"/>
      </w:tblPr>
      <w:tblGrid>
        <w:gridCol w:w="4673"/>
        <w:gridCol w:w="1013"/>
        <w:gridCol w:w="1264"/>
        <w:gridCol w:w="1067"/>
        <w:gridCol w:w="1113"/>
        <w:gridCol w:w="1264"/>
        <w:gridCol w:w="1113"/>
      </w:tblGrid>
      <w:tr w:rsidR="00F4559F" w:rsidRPr="00617833" w:rsidTr="00F4559F">
        <w:trPr>
          <w:trHeight w:val="1365"/>
          <w:jc w:val="center"/>
        </w:trPr>
        <w:tc>
          <w:tcPr>
            <w:tcW w:w="4673" w:type="dxa"/>
            <w:tcBorders>
              <w:top w:val="nil"/>
              <w:left w:val="nil"/>
              <w:bottom w:val="nil"/>
              <w:right w:val="nil"/>
            </w:tcBorders>
            <w:shd w:val="clear" w:color="auto" w:fill="auto"/>
            <w:noWrap/>
            <w:vAlign w:val="center"/>
            <w:hideMark/>
          </w:tcPr>
          <w:p w:rsidR="00F4559F" w:rsidRPr="00617833" w:rsidRDefault="00F4559F">
            <w:pPr>
              <w:rPr>
                <w:color w:val="000000"/>
                <w:sz w:val="20"/>
                <w:szCs w:val="20"/>
              </w:rPr>
            </w:pPr>
          </w:p>
        </w:tc>
        <w:tc>
          <w:tcPr>
            <w:tcW w:w="918"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Total decretos finales</w:t>
            </w:r>
          </w:p>
        </w:tc>
        <w:tc>
          <w:tcPr>
            <w:tcW w:w="1158"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Total decretos en fase declarativa</w:t>
            </w:r>
          </w:p>
        </w:tc>
        <w:tc>
          <w:tcPr>
            <w:tcW w:w="969"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Total decretos en fase ejecutiva</w:t>
            </w:r>
          </w:p>
        </w:tc>
        <w:tc>
          <w:tcPr>
            <w:tcW w:w="1013"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Evolución total decretos finales respecto a 2016</w:t>
            </w:r>
          </w:p>
        </w:tc>
        <w:tc>
          <w:tcPr>
            <w:tcW w:w="1156"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Evolución  decretos en fase declarativa respecto a 2016</w:t>
            </w:r>
          </w:p>
        </w:tc>
        <w:tc>
          <w:tcPr>
            <w:tcW w:w="1013" w:type="dxa"/>
            <w:tcBorders>
              <w:top w:val="single" w:sz="8" w:space="0" w:color="000080"/>
              <w:left w:val="nil"/>
              <w:bottom w:val="nil"/>
              <w:right w:val="nil"/>
            </w:tcBorders>
            <w:shd w:val="clear" w:color="auto" w:fill="auto"/>
            <w:vAlign w:val="center"/>
            <w:hideMark/>
          </w:tcPr>
          <w:p w:rsidR="00F4559F" w:rsidRPr="00617833" w:rsidRDefault="00F4559F">
            <w:pPr>
              <w:jc w:val="center"/>
              <w:rPr>
                <w:rFonts w:ascii="Verdana" w:hAnsi="Verdana" w:cs="Calibri"/>
                <w:b/>
                <w:bCs/>
                <w:color w:val="000080"/>
                <w:sz w:val="18"/>
                <w:szCs w:val="18"/>
              </w:rPr>
            </w:pPr>
            <w:r w:rsidRPr="00617833">
              <w:rPr>
                <w:rFonts w:ascii="Verdana" w:hAnsi="Verdana" w:cs="Calibri"/>
                <w:b/>
                <w:bCs/>
                <w:color w:val="000080"/>
                <w:sz w:val="18"/>
                <w:szCs w:val="18"/>
              </w:rPr>
              <w:t>Evolución  decretos en ejecución respecto a 2016</w:t>
            </w:r>
          </w:p>
        </w:tc>
      </w:tr>
      <w:tr w:rsidR="00F4559F" w:rsidRPr="00617833" w:rsidTr="00F4559F">
        <w:trPr>
          <w:trHeight w:val="300"/>
          <w:jc w:val="center"/>
        </w:trPr>
        <w:tc>
          <w:tcPr>
            <w:tcW w:w="4673" w:type="dxa"/>
            <w:tcBorders>
              <w:top w:val="single" w:sz="8" w:space="0" w:color="000080"/>
              <w:left w:val="nil"/>
              <w:bottom w:val="nil"/>
              <w:right w:val="nil"/>
            </w:tcBorders>
            <w:shd w:val="clear" w:color="auto" w:fill="auto"/>
            <w:noWrap/>
            <w:vAlign w:val="center"/>
            <w:hideMark/>
          </w:tcPr>
          <w:p w:rsidR="00F4559F" w:rsidRPr="00617833" w:rsidRDefault="00F4559F">
            <w:pPr>
              <w:rPr>
                <w:rFonts w:ascii="Verdana" w:hAnsi="Verdana" w:cs="Calibri"/>
                <w:color w:val="000000"/>
                <w:sz w:val="20"/>
                <w:szCs w:val="20"/>
              </w:rPr>
            </w:pPr>
            <w:r w:rsidRPr="00617833">
              <w:rPr>
                <w:rFonts w:ascii="Verdana" w:hAnsi="Verdana" w:cs="Calibri"/>
                <w:color w:val="000000"/>
                <w:sz w:val="20"/>
                <w:szCs w:val="20"/>
              </w:rPr>
              <w:t>Jdos. 1ª instancia y 1ª Instancia e Instrucción</w:t>
            </w:r>
          </w:p>
        </w:tc>
        <w:tc>
          <w:tcPr>
            <w:tcW w:w="918" w:type="dxa"/>
            <w:tcBorders>
              <w:top w:val="single" w:sz="8" w:space="0" w:color="0000FF"/>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880.758</w:t>
            </w:r>
          </w:p>
        </w:tc>
        <w:tc>
          <w:tcPr>
            <w:tcW w:w="1158" w:type="dxa"/>
            <w:tcBorders>
              <w:top w:val="single" w:sz="8" w:space="0" w:color="0000FF"/>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666.606</w:t>
            </w:r>
          </w:p>
        </w:tc>
        <w:tc>
          <w:tcPr>
            <w:tcW w:w="969" w:type="dxa"/>
            <w:tcBorders>
              <w:top w:val="single" w:sz="8" w:space="0" w:color="0000FF"/>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214.152</w:t>
            </w:r>
          </w:p>
        </w:tc>
        <w:tc>
          <w:tcPr>
            <w:tcW w:w="1013" w:type="dxa"/>
            <w:tcBorders>
              <w:top w:val="single" w:sz="8" w:space="0" w:color="0000FF"/>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-2,6%</w:t>
            </w:r>
          </w:p>
        </w:tc>
        <w:tc>
          <w:tcPr>
            <w:tcW w:w="1156" w:type="dxa"/>
            <w:tcBorders>
              <w:top w:val="single" w:sz="8" w:space="0" w:color="000080"/>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-1,7%</w:t>
            </w:r>
          </w:p>
        </w:tc>
        <w:tc>
          <w:tcPr>
            <w:tcW w:w="1013" w:type="dxa"/>
            <w:tcBorders>
              <w:top w:val="single" w:sz="8" w:space="0" w:color="000080"/>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-5,2%</w:t>
            </w:r>
          </w:p>
        </w:tc>
      </w:tr>
      <w:tr w:rsidR="00F4559F" w:rsidRPr="00617833" w:rsidTr="00F4559F">
        <w:trPr>
          <w:trHeight w:val="300"/>
          <w:jc w:val="center"/>
        </w:trPr>
        <w:tc>
          <w:tcPr>
            <w:tcW w:w="4673" w:type="dxa"/>
            <w:tcBorders>
              <w:top w:val="nil"/>
              <w:left w:val="nil"/>
              <w:bottom w:val="nil"/>
              <w:right w:val="nil"/>
            </w:tcBorders>
            <w:shd w:val="clear" w:color="auto" w:fill="auto"/>
            <w:noWrap/>
            <w:vAlign w:val="center"/>
            <w:hideMark/>
          </w:tcPr>
          <w:p w:rsidR="00F4559F" w:rsidRPr="00617833" w:rsidRDefault="00F4559F">
            <w:pPr>
              <w:rPr>
                <w:rFonts w:ascii="Verdana" w:hAnsi="Verdana" w:cs="Calibri"/>
                <w:color w:val="000000"/>
                <w:sz w:val="20"/>
                <w:szCs w:val="20"/>
              </w:rPr>
            </w:pPr>
            <w:r w:rsidRPr="00617833">
              <w:rPr>
                <w:rFonts w:ascii="Verdana" w:hAnsi="Verdana" w:cs="Calibri"/>
                <w:color w:val="000000"/>
                <w:sz w:val="20"/>
                <w:szCs w:val="20"/>
              </w:rPr>
              <w:t>Jdos. Violencia contra la Mujer</w:t>
            </w:r>
          </w:p>
        </w:tc>
        <w:tc>
          <w:tcPr>
            <w:tcW w:w="91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5.338</w:t>
            </w:r>
          </w:p>
        </w:tc>
        <w:tc>
          <w:tcPr>
            <w:tcW w:w="115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3.100</w:t>
            </w:r>
          </w:p>
        </w:tc>
        <w:tc>
          <w:tcPr>
            <w:tcW w:w="969"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2.238</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2,50%</w:t>
            </w:r>
          </w:p>
        </w:tc>
        <w:tc>
          <w:tcPr>
            <w:tcW w:w="1156"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1,54%</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3,9%</w:t>
            </w:r>
          </w:p>
        </w:tc>
      </w:tr>
      <w:tr w:rsidR="00F4559F" w:rsidRPr="00617833" w:rsidTr="00F4559F">
        <w:trPr>
          <w:trHeight w:val="300"/>
          <w:jc w:val="center"/>
        </w:trPr>
        <w:tc>
          <w:tcPr>
            <w:tcW w:w="4673" w:type="dxa"/>
            <w:tcBorders>
              <w:top w:val="nil"/>
              <w:left w:val="nil"/>
              <w:bottom w:val="nil"/>
              <w:right w:val="nil"/>
            </w:tcBorders>
            <w:shd w:val="clear" w:color="auto" w:fill="auto"/>
            <w:noWrap/>
            <w:vAlign w:val="center"/>
            <w:hideMark/>
          </w:tcPr>
          <w:p w:rsidR="00F4559F" w:rsidRPr="00617833" w:rsidRDefault="00F4559F">
            <w:pPr>
              <w:rPr>
                <w:rFonts w:ascii="Verdana" w:hAnsi="Verdana" w:cs="Calibri"/>
                <w:color w:val="000000"/>
                <w:sz w:val="20"/>
                <w:szCs w:val="20"/>
              </w:rPr>
            </w:pPr>
            <w:r w:rsidRPr="00617833">
              <w:rPr>
                <w:rFonts w:ascii="Verdana" w:hAnsi="Verdana" w:cs="Calibri"/>
                <w:color w:val="000000"/>
                <w:sz w:val="20"/>
                <w:szCs w:val="20"/>
              </w:rPr>
              <w:t>Jdos. Mercantil</w:t>
            </w:r>
          </w:p>
        </w:tc>
        <w:tc>
          <w:tcPr>
            <w:tcW w:w="91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32.082</w:t>
            </w:r>
          </w:p>
        </w:tc>
        <w:tc>
          <w:tcPr>
            <w:tcW w:w="115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27.203</w:t>
            </w:r>
          </w:p>
        </w:tc>
        <w:tc>
          <w:tcPr>
            <w:tcW w:w="969"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4.879</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16,1%</w:t>
            </w:r>
          </w:p>
        </w:tc>
        <w:tc>
          <w:tcPr>
            <w:tcW w:w="1156"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19,2%</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1,5%</w:t>
            </w:r>
          </w:p>
        </w:tc>
      </w:tr>
      <w:tr w:rsidR="00F4559F" w:rsidRPr="00617833" w:rsidTr="00F4559F">
        <w:trPr>
          <w:trHeight w:val="300"/>
          <w:jc w:val="center"/>
        </w:trPr>
        <w:tc>
          <w:tcPr>
            <w:tcW w:w="4673" w:type="dxa"/>
            <w:tcBorders>
              <w:top w:val="nil"/>
              <w:left w:val="nil"/>
              <w:bottom w:val="nil"/>
              <w:right w:val="nil"/>
            </w:tcBorders>
            <w:shd w:val="clear" w:color="auto" w:fill="auto"/>
            <w:noWrap/>
            <w:vAlign w:val="center"/>
            <w:hideMark/>
          </w:tcPr>
          <w:p w:rsidR="00F4559F" w:rsidRPr="00617833" w:rsidRDefault="00F4559F">
            <w:pPr>
              <w:rPr>
                <w:rFonts w:ascii="Verdana" w:hAnsi="Verdana" w:cs="Calibri"/>
                <w:color w:val="000000"/>
                <w:sz w:val="20"/>
                <w:szCs w:val="20"/>
              </w:rPr>
            </w:pPr>
            <w:r w:rsidRPr="00617833">
              <w:rPr>
                <w:rFonts w:ascii="Verdana" w:hAnsi="Verdana" w:cs="Calibri"/>
                <w:color w:val="000000"/>
                <w:sz w:val="20"/>
                <w:szCs w:val="20"/>
              </w:rPr>
              <w:t>Audiencias Provinciales</w:t>
            </w:r>
          </w:p>
        </w:tc>
        <w:tc>
          <w:tcPr>
            <w:tcW w:w="91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10.923</w:t>
            </w:r>
          </w:p>
        </w:tc>
        <w:tc>
          <w:tcPr>
            <w:tcW w:w="1158"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6.175</w:t>
            </w:r>
          </w:p>
        </w:tc>
        <w:tc>
          <w:tcPr>
            <w:tcW w:w="969" w:type="dxa"/>
            <w:tcBorders>
              <w:top w:val="nil"/>
              <w:left w:val="nil"/>
              <w:bottom w:val="nil"/>
              <w:right w:val="nil"/>
            </w:tcBorders>
            <w:shd w:val="clear" w:color="auto" w:fill="auto"/>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4.748</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-28,4%</w:t>
            </w:r>
          </w:p>
        </w:tc>
        <w:tc>
          <w:tcPr>
            <w:tcW w:w="1156"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-39,1%</w:t>
            </w:r>
          </w:p>
        </w:tc>
        <w:tc>
          <w:tcPr>
            <w:tcW w:w="1013" w:type="dxa"/>
            <w:tcBorders>
              <w:top w:val="nil"/>
              <w:left w:val="nil"/>
              <w:bottom w:val="nil"/>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-7,3%</w:t>
            </w:r>
          </w:p>
        </w:tc>
      </w:tr>
      <w:tr w:rsidR="00F4559F" w:rsidRPr="00617833" w:rsidTr="00617833">
        <w:trPr>
          <w:trHeight w:val="170"/>
          <w:jc w:val="center"/>
        </w:trPr>
        <w:tc>
          <w:tcPr>
            <w:tcW w:w="4673" w:type="dxa"/>
            <w:tcBorders>
              <w:top w:val="nil"/>
              <w:left w:val="nil"/>
              <w:bottom w:val="single" w:sz="8" w:space="0" w:color="000080"/>
              <w:right w:val="nil"/>
            </w:tcBorders>
            <w:shd w:val="clear" w:color="auto" w:fill="auto"/>
            <w:noWrap/>
            <w:vAlign w:val="center"/>
            <w:hideMark/>
          </w:tcPr>
          <w:p w:rsidR="00F4559F" w:rsidRPr="00617833" w:rsidRDefault="00F4559F">
            <w:pPr>
              <w:rPr>
                <w:rFonts w:ascii="Verdana" w:hAnsi="Verdana" w:cs="Calibri"/>
                <w:color w:val="000000"/>
                <w:sz w:val="20"/>
                <w:szCs w:val="20"/>
              </w:rPr>
            </w:pPr>
            <w:r w:rsidRPr="00617833">
              <w:rPr>
                <w:rFonts w:ascii="Verdana" w:hAnsi="Verdana" w:cs="Calibri"/>
                <w:color w:val="000000"/>
                <w:sz w:val="20"/>
                <w:szCs w:val="20"/>
              </w:rPr>
              <w:t>Sala Civil T.S.J.</w:t>
            </w:r>
          </w:p>
        </w:tc>
        <w:tc>
          <w:tcPr>
            <w:tcW w:w="918"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40</w:t>
            </w:r>
          </w:p>
        </w:tc>
        <w:tc>
          <w:tcPr>
            <w:tcW w:w="1158"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36</w:t>
            </w:r>
          </w:p>
        </w:tc>
        <w:tc>
          <w:tcPr>
            <w:tcW w:w="969"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4</w:t>
            </w:r>
          </w:p>
        </w:tc>
        <w:tc>
          <w:tcPr>
            <w:tcW w:w="1013"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-34,4%</w:t>
            </w:r>
          </w:p>
        </w:tc>
        <w:tc>
          <w:tcPr>
            <w:tcW w:w="1156"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-37,9%</w:t>
            </w:r>
          </w:p>
        </w:tc>
        <w:tc>
          <w:tcPr>
            <w:tcW w:w="1013" w:type="dxa"/>
            <w:tcBorders>
              <w:top w:val="nil"/>
              <w:left w:val="nil"/>
              <w:bottom w:val="single" w:sz="8" w:space="0" w:color="000080"/>
              <w:right w:val="nil"/>
            </w:tcBorders>
            <w:shd w:val="clear" w:color="auto" w:fill="auto"/>
            <w:noWrap/>
            <w:vAlign w:val="center"/>
            <w:hideMark/>
          </w:tcPr>
          <w:p w:rsidR="00F4559F" w:rsidRPr="00617833" w:rsidRDefault="00F4559F">
            <w:pPr>
              <w:jc w:val="center"/>
              <w:rPr>
                <w:rFonts w:ascii="Verdana" w:hAnsi="Verdana" w:cs="Calibri"/>
                <w:color w:val="000000"/>
                <w:sz w:val="20"/>
                <w:szCs w:val="20"/>
              </w:rPr>
            </w:pPr>
            <w:r w:rsidRPr="00617833">
              <w:rPr>
                <w:rFonts w:ascii="Verdana" w:hAnsi="Verdana" w:cs="Calibri"/>
                <w:color w:val="000000"/>
                <w:sz w:val="20"/>
                <w:szCs w:val="20"/>
              </w:rPr>
              <w:t>33,3%</w:t>
            </w:r>
          </w:p>
        </w:tc>
      </w:tr>
    </w:tbl>
    <w:p w:rsidR="00617833" w:rsidRPr="00617833" w:rsidRDefault="00617833" w:rsidP="00330304">
      <w:pPr>
        <w:jc w:val="both"/>
        <w:rPr>
          <w:rFonts w:ascii="Verdana" w:hAnsi="Verdana" w:cs="Arial"/>
          <w:sz w:val="20"/>
          <w:lang w:val="es-ES"/>
        </w:rPr>
      </w:pPr>
    </w:p>
    <w:p w:rsidR="0012530D" w:rsidRPr="00617833" w:rsidRDefault="002B2BFC" w:rsidP="00617833">
      <w:pPr>
        <w:pStyle w:val="Textoindependiente"/>
        <w:spacing w:before="120" w:after="120"/>
        <w:ind w:firstLine="357"/>
        <w:rPr>
          <w:rFonts w:ascii="Verdana" w:hAnsi="Verdana"/>
          <w:sz w:val="20"/>
        </w:rPr>
      </w:pPr>
      <w:r w:rsidRPr="00617833">
        <w:rPr>
          <w:rFonts w:ascii="Verdana" w:hAnsi="Verdana"/>
          <w:sz w:val="20"/>
        </w:rPr>
        <w:t>E</w:t>
      </w:r>
      <w:r w:rsidR="005F69F1" w:rsidRPr="00617833">
        <w:rPr>
          <w:rFonts w:ascii="Verdana" w:hAnsi="Verdana"/>
          <w:sz w:val="20"/>
        </w:rPr>
        <w:t>n los juzgados de primera i</w:t>
      </w:r>
      <w:r w:rsidR="007F7D4F" w:rsidRPr="00617833">
        <w:rPr>
          <w:rFonts w:ascii="Verdana" w:hAnsi="Verdana"/>
          <w:sz w:val="20"/>
        </w:rPr>
        <w:t>ns</w:t>
      </w:r>
      <w:r w:rsidR="005F69F1" w:rsidRPr="00617833">
        <w:rPr>
          <w:rFonts w:ascii="Verdana" w:hAnsi="Verdana"/>
          <w:sz w:val="20"/>
        </w:rPr>
        <w:t>tancia y primera instancia e i</w:t>
      </w:r>
      <w:r w:rsidR="007F7D4F" w:rsidRPr="00617833">
        <w:rPr>
          <w:rFonts w:ascii="Verdana" w:hAnsi="Verdana"/>
          <w:sz w:val="20"/>
        </w:rPr>
        <w:t xml:space="preserve">nstrucción ha </w:t>
      </w:r>
      <w:r w:rsidR="00E35C00" w:rsidRPr="00617833">
        <w:rPr>
          <w:rFonts w:ascii="Verdana" w:hAnsi="Verdana"/>
          <w:sz w:val="20"/>
        </w:rPr>
        <w:t>habido en 201</w:t>
      </w:r>
      <w:r w:rsidR="00330304" w:rsidRPr="00617833">
        <w:rPr>
          <w:rFonts w:ascii="Verdana" w:hAnsi="Verdana"/>
          <w:sz w:val="20"/>
        </w:rPr>
        <w:t>7</w:t>
      </w:r>
      <w:r w:rsidR="007F7D4F" w:rsidRPr="00617833">
        <w:rPr>
          <w:rFonts w:ascii="Verdana" w:hAnsi="Verdana"/>
          <w:sz w:val="20"/>
        </w:rPr>
        <w:t xml:space="preserve"> </w:t>
      </w:r>
      <w:r w:rsidR="0072445C" w:rsidRPr="00617833">
        <w:rPr>
          <w:rFonts w:ascii="Verdana" w:hAnsi="Verdana"/>
          <w:sz w:val="20"/>
        </w:rPr>
        <w:t xml:space="preserve">un total de </w:t>
      </w:r>
      <w:r w:rsidR="00330304" w:rsidRPr="00617833">
        <w:rPr>
          <w:rFonts w:ascii="Verdana" w:hAnsi="Verdana"/>
          <w:sz w:val="20"/>
        </w:rPr>
        <w:t xml:space="preserve">723.389 </w:t>
      </w:r>
      <w:r w:rsidR="00E35C00" w:rsidRPr="00617833">
        <w:rPr>
          <w:rFonts w:ascii="Verdana" w:hAnsi="Verdana"/>
          <w:sz w:val="20"/>
        </w:rPr>
        <w:t>señalamientos</w:t>
      </w:r>
      <w:r w:rsidR="008D44E2" w:rsidRPr="00617833">
        <w:rPr>
          <w:rFonts w:ascii="Verdana" w:hAnsi="Verdana"/>
          <w:sz w:val="20"/>
        </w:rPr>
        <w:t xml:space="preserve"> ante el juez</w:t>
      </w:r>
      <w:r w:rsidR="00E35C00" w:rsidRPr="00617833">
        <w:rPr>
          <w:rFonts w:ascii="Verdana" w:hAnsi="Verdana"/>
          <w:sz w:val="20"/>
        </w:rPr>
        <w:t>,</w:t>
      </w:r>
      <w:r w:rsidR="00283ED6" w:rsidRPr="00617833">
        <w:rPr>
          <w:rFonts w:ascii="Verdana" w:hAnsi="Verdana"/>
          <w:sz w:val="20"/>
        </w:rPr>
        <w:t xml:space="preserve"> un </w:t>
      </w:r>
      <w:r w:rsidR="00330304" w:rsidRPr="00617833">
        <w:rPr>
          <w:rFonts w:ascii="Verdana" w:hAnsi="Verdana"/>
          <w:sz w:val="20"/>
        </w:rPr>
        <w:t>1</w:t>
      </w:r>
      <w:r w:rsidR="009108BD" w:rsidRPr="00617833">
        <w:rPr>
          <w:rFonts w:ascii="Verdana" w:hAnsi="Verdana"/>
          <w:sz w:val="20"/>
        </w:rPr>
        <w:t>,</w:t>
      </w:r>
      <w:r w:rsidR="00D74620" w:rsidRPr="00617833">
        <w:rPr>
          <w:rFonts w:ascii="Verdana" w:hAnsi="Verdana"/>
          <w:sz w:val="20"/>
        </w:rPr>
        <w:t>6</w:t>
      </w:r>
      <w:r w:rsidR="00283ED6" w:rsidRPr="00617833">
        <w:rPr>
          <w:rFonts w:ascii="Verdana" w:hAnsi="Verdana"/>
          <w:sz w:val="20"/>
        </w:rPr>
        <w:t xml:space="preserve">% </w:t>
      </w:r>
      <w:r w:rsidR="00695929" w:rsidRPr="00617833">
        <w:rPr>
          <w:rFonts w:ascii="Verdana" w:hAnsi="Verdana"/>
          <w:sz w:val="20"/>
        </w:rPr>
        <w:t>m</w:t>
      </w:r>
      <w:r w:rsidR="00D74620" w:rsidRPr="00617833">
        <w:rPr>
          <w:rFonts w:ascii="Verdana" w:hAnsi="Verdana"/>
          <w:sz w:val="20"/>
        </w:rPr>
        <w:t>eno</w:t>
      </w:r>
      <w:r w:rsidR="00695929" w:rsidRPr="00617833">
        <w:rPr>
          <w:rFonts w:ascii="Verdana" w:hAnsi="Verdana"/>
          <w:sz w:val="20"/>
        </w:rPr>
        <w:t>s</w:t>
      </w:r>
      <w:r w:rsidR="00283ED6" w:rsidRPr="00617833">
        <w:rPr>
          <w:rFonts w:ascii="Verdana" w:hAnsi="Verdana"/>
          <w:sz w:val="20"/>
        </w:rPr>
        <w:t xml:space="preserve"> que e</w:t>
      </w:r>
      <w:r w:rsidR="00330304" w:rsidRPr="00617833">
        <w:rPr>
          <w:rFonts w:ascii="Verdana" w:hAnsi="Verdana"/>
          <w:sz w:val="20"/>
        </w:rPr>
        <w:t>l año anterior</w:t>
      </w:r>
      <w:r w:rsidR="00283ED6" w:rsidRPr="00617833">
        <w:rPr>
          <w:rFonts w:ascii="Verdana" w:hAnsi="Verdana"/>
          <w:sz w:val="20"/>
        </w:rPr>
        <w:t xml:space="preserve">. De estos señalamientos </w:t>
      </w:r>
      <w:r w:rsidR="007F7D4F" w:rsidRPr="00617833">
        <w:rPr>
          <w:rFonts w:ascii="Verdana" w:hAnsi="Verdana"/>
          <w:sz w:val="20"/>
        </w:rPr>
        <w:t xml:space="preserve">se ha </w:t>
      </w:r>
      <w:r w:rsidR="0012530D" w:rsidRPr="00617833">
        <w:rPr>
          <w:rFonts w:ascii="Verdana" w:hAnsi="Verdana"/>
          <w:sz w:val="20"/>
        </w:rPr>
        <w:t>suspendido el 1</w:t>
      </w:r>
      <w:r w:rsidR="00814736" w:rsidRPr="00617833">
        <w:rPr>
          <w:rFonts w:ascii="Verdana" w:hAnsi="Verdana"/>
          <w:sz w:val="20"/>
        </w:rPr>
        <w:t>7,2</w:t>
      </w:r>
      <w:r w:rsidR="0012530D" w:rsidRPr="00617833">
        <w:rPr>
          <w:rFonts w:ascii="Verdana" w:hAnsi="Verdana"/>
          <w:sz w:val="20"/>
        </w:rPr>
        <w:t>%,</w:t>
      </w:r>
      <w:r w:rsidR="00814736" w:rsidRPr="00617833">
        <w:rPr>
          <w:rFonts w:ascii="Verdana" w:hAnsi="Verdana"/>
          <w:sz w:val="20"/>
        </w:rPr>
        <w:t xml:space="preserve"> el 10,1% a instancia de parte; </w:t>
      </w:r>
      <w:r w:rsidR="0012530D" w:rsidRPr="00617833">
        <w:rPr>
          <w:rFonts w:ascii="Verdana" w:hAnsi="Verdana"/>
          <w:sz w:val="20"/>
        </w:rPr>
        <w:t xml:space="preserve"> celebrándose o no siendo necesaria la celebración del 8</w:t>
      </w:r>
      <w:r w:rsidR="00814736" w:rsidRPr="00617833">
        <w:rPr>
          <w:rFonts w:ascii="Verdana" w:hAnsi="Verdana"/>
          <w:sz w:val="20"/>
        </w:rPr>
        <w:t>2</w:t>
      </w:r>
      <w:r w:rsidR="0012530D" w:rsidRPr="00617833">
        <w:rPr>
          <w:rFonts w:ascii="Verdana" w:hAnsi="Verdana"/>
          <w:sz w:val="20"/>
        </w:rPr>
        <w:t>,</w:t>
      </w:r>
      <w:r w:rsidR="00814736" w:rsidRPr="00617833">
        <w:rPr>
          <w:rFonts w:ascii="Verdana" w:hAnsi="Verdana"/>
          <w:sz w:val="20"/>
        </w:rPr>
        <w:t>8</w:t>
      </w:r>
      <w:r w:rsidR="0012530D" w:rsidRPr="00617833">
        <w:rPr>
          <w:rFonts w:ascii="Verdana" w:hAnsi="Verdana"/>
          <w:sz w:val="20"/>
        </w:rPr>
        <w:t>%.</w:t>
      </w:r>
      <w:r w:rsidR="00BB1E31" w:rsidRPr="00617833">
        <w:rPr>
          <w:rFonts w:ascii="Verdana" w:hAnsi="Verdana"/>
          <w:sz w:val="20"/>
        </w:rPr>
        <w:t xml:space="preserve">  </w:t>
      </w:r>
      <w:r w:rsidR="009108BD" w:rsidRPr="00617833">
        <w:rPr>
          <w:rFonts w:ascii="Verdana" w:hAnsi="Verdana"/>
          <w:sz w:val="20"/>
        </w:rPr>
        <w:t xml:space="preserve">En los juzgados de lo mercantil, </w:t>
      </w:r>
      <w:r w:rsidR="0012530D" w:rsidRPr="00617833">
        <w:rPr>
          <w:rFonts w:ascii="Verdana" w:hAnsi="Verdana"/>
          <w:sz w:val="20"/>
        </w:rPr>
        <w:t>e</w:t>
      </w:r>
      <w:r w:rsidR="009108BD" w:rsidRPr="00617833">
        <w:rPr>
          <w:rFonts w:ascii="Verdana" w:hAnsi="Verdana"/>
          <w:sz w:val="20"/>
        </w:rPr>
        <w:t xml:space="preserve">l número de vistas señaladas ha sido de </w:t>
      </w:r>
      <w:r w:rsidR="001B08C3" w:rsidRPr="00617833">
        <w:rPr>
          <w:rFonts w:ascii="Verdana" w:hAnsi="Verdana"/>
          <w:sz w:val="20"/>
        </w:rPr>
        <w:t>25</w:t>
      </w:r>
      <w:r w:rsidR="009108BD" w:rsidRPr="00617833">
        <w:rPr>
          <w:rFonts w:ascii="Verdana" w:hAnsi="Verdana"/>
          <w:sz w:val="20"/>
        </w:rPr>
        <w:t>.</w:t>
      </w:r>
      <w:r w:rsidR="001B08C3" w:rsidRPr="00617833">
        <w:rPr>
          <w:rFonts w:ascii="Verdana" w:hAnsi="Verdana"/>
          <w:sz w:val="20"/>
        </w:rPr>
        <w:t>098</w:t>
      </w:r>
      <w:r w:rsidR="0012530D" w:rsidRPr="00617833">
        <w:rPr>
          <w:rFonts w:ascii="Verdana" w:hAnsi="Verdana"/>
          <w:sz w:val="20"/>
        </w:rPr>
        <w:t>,</w:t>
      </w:r>
      <w:r w:rsidR="001B08C3" w:rsidRPr="00617833">
        <w:rPr>
          <w:rFonts w:ascii="Verdana" w:hAnsi="Verdana"/>
          <w:sz w:val="20"/>
        </w:rPr>
        <w:t xml:space="preserve"> un 38,2% menos </w:t>
      </w:r>
      <w:r w:rsidR="001B08C3" w:rsidRPr="00617833">
        <w:rPr>
          <w:rFonts w:ascii="Verdana" w:hAnsi="Verdana"/>
          <w:sz w:val="20"/>
        </w:rPr>
        <w:lastRenderedPageBreak/>
        <w:t>que en 2016. D</w:t>
      </w:r>
      <w:r w:rsidR="009108BD" w:rsidRPr="00617833">
        <w:rPr>
          <w:rFonts w:ascii="Verdana" w:hAnsi="Verdana"/>
          <w:sz w:val="20"/>
        </w:rPr>
        <w:t>e ell</w:t>
      </w:r>
      <w:r w:rsidR="0012530D" w:rsidRPr="00617833">
        <w:rPr>
          <w:rFonts w:ascii="Verdana" w:hAnsi="Verdana"/>
          <w:sz w:val="20"/>
        </w:rPr>
        <w:t>as</w:t>
      </w:r>
      <w:r w:rsidR="009108BD" w:rsidRPr="00617833">
        <w:rPr>
          <w:rFonts w:ascii="Verdana" w:hAnsi="Verdana"/>
          <w:sz w:val="20"/>
        </w:rPr>
        <w:t xml:space="preserve"> se ha </w:t>
      </w:r>
      <w:r w:rsidR="0012530D" w:rsidRPr="00617833">
        <w:rPr>
          <w:rFonts w:ascii="Verdana" w:hAnsi="Verdana"/>
          <w:sz w:val="20"/>
        </w:rPr>
        <w:t>suspendido un 1</w:t>
      </w:r>
      <w:r w:rsidR="001B08C3" w:rsidRPr="00617833">
        <w:rPr>
          <w:rFonts w:ascii="Verdana" w:hAnsi="Verdana"/>
          <w:sz w:val="20"/>
        </w:rPr>
        <w:t xml:space="preserve">3,5%;  celebrándose o no siendo necesaria la celebración del 86,5%.  </w:t>
      </w:r>
    </w:p>
    <w:p w:rsidR="00C05153" w:rsidRPr="00617833" w:rsidRDefault="00C05153" w:rsidP="007F7D4F">
      <w:pPr>
        <w:pStyle w:val="Textoindependiente"/>
        <w:spacing w:before="120" w:after="120"/>
        <w:ind w:firstLine="357"/>
        <w:rPr>
          <w:rFonts w:ascii="Verdana" w:hAnsi="Verdana"/>
          <w:sz w:val="20"/>
        </w:rPr>
      </w:pPr>
      <w:r w:rsidRPr="00617833">
        <w:rPr>
          <w:rFonts w:ascii="Verdana" w:hAnsi="Verdana"/>
          <w:sz w:val="20"/>
        </w:rPr>
        <w:t>En los juzgados de violencia contra la mujer ha habido, 16.</w:t>
      </w:r>
      <w:r w:rsidR="00733363" w:rsidRPr="00617833">
        <w:rPr>
          <w:rFonts w:ascii="Verdana" w:hAnsi="Verdana"/>
          <w:sz w:val="20"/>
        </w:rPr>
        <w:t>646</w:t>
      </w:r>
      <w:r w:rsidRPr="00617833">
        <w:rPr>
          <w:rFonts w:ascii="Verdana" w:hAnsi="Verdana"/>
          <w:sz w:val="20"/>
        </w:rPr>
        <w:t xml:space="preserve"> señalamientos civiles, un </w:t>
      </w:r>
      <w:r w:rsidR="00733363" w:rsidRPr="00617833">
        <w:rPr>
          <w:rFonts w:ascii="Verdana" w:hAnsi="Verdana"/>
          <w:sz w:val="20"/>
        </w:rPr>
        <w:t>1</w:t>
      </w:r>
      <w:r w:rsidRPr="00617833">
        <w:rPr>
          <w:rFonts w:ascii="Verdana" w:hAnsi="Verdana"/>
          <w:sz w:val="20"/>
        </w:rPr>
        <w:t>,</w:t>
      </w:r>
      <w:r w:rsidR="00733363" w:rsidRPr="00617833">
        <w:rPr>
          <w:rFonts w:ascii="Verdana" w:hAnsi="Verdana"/>
          <w:sz w:val="20"/>
        </w:rPr>
        <w:t>4</w:t>
      </w:r>
      <w:r w:rsidRPr="00617833">
        <w:rPr>
          <w:rFonts w:ascii="Verdana" w:hAnsi="Verdana"/>
          <w:sz w:val="20"/>
        </w:rPr>
        <w:t xml:space="preserve">% </w:t>
      </w:r>
      <w:r w:rsidR="00733363" w:rsidRPr="00617833">
        <w:rPr>
          <w:rFonts w:ascii="Verdana" w:hAnsi="Verdana"/>
          <w:sz w:val="20"/>
        </w:rPr>
        <w:t>menos</w:t>
      </w:r>
      <w:r w:rsidRPr="00617833">
        <w:rPr>
          <w:rFonts w:ascii="Verdana" w:hAnsi="Verdana"/>
          <w:sz w:val="20"/>
        </w:rPr>
        <w:t xml:space="preserve"> que en 201</w:t>
      </w:r>
      <w:r w:rsidR="00733363" w:rsidRPr="00617833">
        <w:rPr>
          <w:rFonts w:ascii="Verdana" w:hAnsi="Verdana"/>
          <w:sz w:val="20"/>
        </w:rPr>
        <w:t>6</w:t>
      </w:r>
      <w:r w:rsidRPr="00617833">
        <w:rPr>
          <w:rFonts w:ascii="Verdana" w:hAnsi="Verdana"/>
          <w:sz w:val="20"/>
        </w:rPr>
        <w:t xml:space="preserve">, habiéndose </w:t>
      </w:r>
      <w:r w:rsidR="00733363" w:rsidRPr="00617833">
        <w:rPr>
          <w:rFonts w:ascii="Verdana" w:hAnsi="Verdana"/>
          <w:sz w:val="20"/>
        </w:rPr>
        <w:t>suspendido el 19</w:t>
      </w:r>
      <w:r w:rsidR="0012530D" w:rsidRPr="00617833">
        <w:rPr>
          <w:rFonts w:ascii="Verdana" w:hAnsi="Verdana"/>
          <w:sz w:val="20"/>
        </w:rPr>
        <w:t xml:space="preserve">%. </w:t>
      </w:r>
      <w:r w:rsidRPr="00617833">
        <w:rPr>
          <w:rFonts w:ascii="Verdana" w:hAnsi="Verdana"/>
          <w:sz w:val="20"/>
        </w:rPr>
        <w:t xml:space="preserve"> </w:t>
      </w:r>
      <w:r w:rsidR="002F644C" w:rsidRPr="00617833">
        <w:rPr>
          <w:rFonts w:ascii="Verdana" w:hAnsi="Verdana"/>
          <w:sz w:val="20"/>
        </w:rPr>
        <w:t>Continúa</w:t>
      </w:r>
      <w:r w:rsidR="00733363" w:rsidRPr="00617833">
        <w:rPr>
          <w:rFonts w:ascii="Verdana" w:hAnsi="Verdana"/>
          <w:sz w:val="20"/>
        </w:rPr>
        <w:t xml:space="preserve"> disminuyendo el número de señalamientos en las secciones civiles de las audiencias provinciales. </w:t>
      </w:r>
      <w:r w:rsidR="002F644C" w:rsidRPr="00617833">
        <w:rPr>
          <w:rFonts w:ascii="Verdana" w:hAnsi="Verdana"/>
          <w:sz w:val="20"/>
        </w:rPr>
        <w:t>En</w:t>
      </w:r>
      <w:r w:rsidR="00733363" w:rsidRPr="00617833">
        <w:rPr>
          <w:rFonts w:ascii="Verdana" w:hAnsi="Verdana"/>
          <w:sz w:val="20"/>
        </w:rPr>
        <w:t xml:space="preserve"> el año 2017</w:t>
      </w:r>
      <w:r w:rsidRPr="00617833">
        <w:rPr>
          <w:rFonts w:ascii="Verdana" w:hAnsi="Verdana"/>
          <w:sz w:val="20"/>
        </w:rPr>
        <w:t xml:space="preserve"> se han señalado </w:t>
      </w:r>
      <w:r w:rsidR="00733363" w:rsidRPr="00617833">
        <w:rPr>
          <w:rFonts w:ascii="Verdana" w:hAnsi="Verdana"/>
          <w:sz w:val="20"/>
        </w:rPr>
        <w:t>4</w:t>
      </w:r>
      <w:r w:rsidRPr="00617833">
        <w:rPr>
          <w:rFonts w:ascii="Verdana" w:hAnsi="Verdana"/>
          <w:sz w:val="20"/>
        </w:rPr>
        <w:t>.</w:t>
      </w:r>
      <w:r w:rsidR="00733363" w:rsidRPr="00617833">
        <w:rPr>
          <w:rFonts w:ascii="Verdana" w:hAnsi="Verdana"/>
          <w:sz w:val="20"/>
        </w:rPr>
        <w:t>762</w:t>
      </w:r>
      <w:r w:rsidR="0012530D" w:rsidRPr="00617833">
        <w:rPr>
          <w:rFonts w:ascii="Verdana" w:hAnsi="Verdana"/>
          <w:sz w:val="20"/>
        </w:rPr>
        <w:t xml:space="preserve"> j</w:t>
      </w:r>
      <w:r w:rsidRPr="00617833">
        <w:rPr>
          <w:rFonts w:ascii="Verdana" w:hAnsi="Verdana"/>
          <w:sz w:val="20"/>
        </w:rPr>
        <w:t>uicios, con un</w:t>
      </w:r>
      <w:r w:rsidR="0012530D" w:rsidRPr="00617833">
        <w:rPr>
          <w:rFonts w:ascii="Verdana" w:hAnsi="Verdana"/>
          <w:sz w:val="20"/>
        </w:rPr>
        <w:t xml:space="preserve">a disminución </w:t>
      </w:r>
      <w:r w:rsidRPr="00617833">
        <w:rPr>
          <w:rFonts w:ascii="Verdana" w:hAnsi="Verdana"/>
          <w:sz w:val="20"/>
        </w:rPr>
        <w:t xml:space="preserve">del </w:t>
      </w:r>
      <w:r w:rsidR="00733363" w:rsidRPr="00617833">
        <w:rPr>
          <w:rFonts w:ascii="Verdana" w:hAnsi="Verdana"/>
          <w:sz w:val="20"/>
        </w:rPr>
        <w:t>37</w:t>
      </w:r>
      <w:r w:rsidRPr="00617833">
        <w:rPr>
          <w:rFonts w:ascii="Verdana" w:hAnsi="Verdana"/>
          <w:sz w:val="20"/>
        </w:rPr>
        <w:t>,</w:t>
      </w:r>
      <w:r w:rsidR="00733363" w:rsidRPr="00617833">
        <w:rPr>
          <w:rFonts w:ascii="Verdana" w:hAnsi="Verdana"/>
          <w:sz w:val="20"/>
        </w:rPr>
        <w:t>4</w:t>
      </w:r>
      <w:r w:rsidRPr="00617833">
        <w:rPr>
          <w:rFonts w:ascii="Verdana" w:hAnsi="Verdana"/>
          <w:sz w:val="20"/>
        </w:rPr>
        <w:t>% respecto a 201</w:t>
      </w:r>
      <w:r w:rsidR="00733363" w:rsidRPr="00617833">
        <w:rPr>
          <w:rFonts w:ascii="Verdana" w:hAnsi="Verdana"/>
          <w:sz w:val="20"/>
        </w:rPr>
        <w:t>6</w:t>
      </w:r>
      <w:r w:rsidRPr="00617833">
        <w:rPr>
          <w:rFonts w:ascii="Verdana" w:hAnsi="Verdana"/>
          <w:sz w:val="20"/>
        </w:rPr>
        <w:t xml:space="preserve">. De ellos se ha </w:t>
      </w:r>
      <w:r w:rsidR="0012530D" w:rsidRPr="00617833">
        <w:rPr>
          <w:rFonts w:ascii="Verdana" w:hAnsi="Verdana"/>
          <w:sz w:val="20"/>
        </w:rPr>
        <w:t>suspendido</w:t>
      </w:r>
      <w:r w:rsidRPr="00617833">
        <w:rPr>
          <w:rFonts w:ascii="Verdana" w:hAnsi="Verdana"/>
          <w:sz w:val="20"/>
        </w:rPr>
        <w:t xml:space="preserve"> el </w:t>
      </w:r>
      <w:r w:rsidR="00733363" w:rsidRPr="00617833">
        <w:rPr>
          <w:rFonts w:ascii="Verdana" w:hAnsi="Verdana"/>
          <w:sz w:val="20"/>
        </w:rPr>
        <w:t>5</w:t>
      </w:r>
      <w:r w:rsidRPr="00617833">
        <w:rPr>
          <w:rFonts w:ascii="Verdana" w:hAnsi="Verdana"/>
          <w:sz w:val="20"/>
        </w:rPr>
        <w:t>,</w:t>
      </w:r>
      <w:r w:rsidR="00733363" w:rsidRPr="00617833">
        <w:rPr>
          <w:rFonts w:ascii="Verdana" w:hAnsi="Verdana"/>
          <w:sz w:val="20"/>
        </w:rPr>
        <w:t>2</w:t>
      </w:r>
      <w:r w:rsidR="0037164B" w:rsidRPr="00617833">
        <w:rPr>
          <w:rFonts w:ascii="Verdana" w:hAnsi="Verdana"/>
          <w:sz w:val="20"/>
        </w:rPr>
        <w:t>%</w:t>
      </w:r>
      <w:r w:rsidRPr="00617833">
        <w:rPr>
          <w:rFonts w:ascii="Verdana" w:hAnsi="Verdana"/>
          <w:sz w:val="20"/>
        </w:rPr>
        <w:t>.</w:t>
      </w:r>
    </w:p>
    <w:p w:rsidR="00C05153" w:rsidRPr="00617833" w:rsidRDefault="00C05153" w:rsidP="007F7D4F">
      <w:pPr>
        <w:pStyle w:val="Textoindependiente"/>
        <w:spacing w:before="120" w:after="120"/>
        <w:ind w:firstLine="357"/>
        <w:rPr>
          <w:rFonts w:ascii="Verdana" w:hAnsi="Verdana"/>
          <w:sz w:val="20"/>
        </w:rPr>
      </w:pPr>
      <w:r w:rsidRPr="00617833">
        <w:rPr>
          <w:rFonts w:ascii="Verdana" w:hAnsi="Verdana"/>
          <w:sz w:val="20"/>
        </w:rPr>
        <w:t xml:space="preserve">La siguiente tabla presenta los </w:t>
      </w:r>
      <w:r w:rsidRPr="00617833">
        <w:rPr>
          <w:rFonts w:ascii="Verdana" w:hAnsi="Verdana"/>
          <w:b/>
          <w:sz w:val="20"/>
        </w:rPr>
        <w:t xml:space="preserve">porcentajes de </w:t>
      </w:r>
      <w:r w:rsidR="00BD510E" w:rsidRPr="00617833">
        <w:rPr>
          <w:rFonts w:ascii="Verdana" w:hAnsi="Verdana"/>
          <w:b/>
          <w:sz w:val="20"/>
        </w:rPr>
        <w:t>juicios no suspendidos</w:t>
      </w:r>
      <w:r w:rsidRPr="00617833">
        <w:rPr>
          <w:rFonts w:ascii="Verdana" w:hAnsi="Verdana"/>
          <w:sz w:val="20"/>
        </w:rPr>
        <w:t xml:space="preserve"> por tribunales superiores de justicia:</w:t>
      </w:r>
    </w:p>
    <w:tbl>
      <w:tblPr>
        <w:tblW w:w="7668" w:type="dxa"/>
        <w:tblInd w:w="55" w:type="dxa"/>
        <w:tblCellMar>
          <w:left w:w="70" w:type="dxa"/>
          <w:right w:w="70" w:type="dxa"/>
        </w:tblCellMar>
        <w:tblLook w:val="04A0" w:firstRow="1" w:lastRow="0" w:firstColumn="1" w:lastColumn="0" w:noHBand="0" w:noVBand="1"/>
      </w:tblPr>
      <w:tblGrid>
        <w:gridCol w:w="2540"/>
        <w:gridCol w:w="1360"/>
        <w:gridCol w:w="1200"/>
        <w:gridCol w:w="1200"/>
        <w:gridCol w:w="1368"/>
      </w:tblGrid>
      <w:tr w:rsidR="00C05153" w:rsidRPr="00617833" w:rsidTr="004676DB">
        <w:trPr>
          <w:trHeight w:val="1365"/>
        </w:trPr>
        <w:tc>
          <w:tcPr>
            <w:tcW w:w="2540" w:type="dxa"/>
            <w:tcBorders>
              <w:top w:val="nil"/>
              <w:left w:val="nil"/>
              <w:bottom w:val="nil"/>
              <w:right w:val="nil"/>
            </w:tcBorders>
            <w:shd w:val="clear" w:color="auto" w:fill="auto"/>
            <w:vAlign w:val="bottom"/>
            <w:hideMark/>
          </w:tcPr>
          <w:p w:rsidR="00C05153" w:rsidRPr="00617833" w:rsidRDefault="00C05153" w:rsidP="000218AD">
            <w:pPr>
              <w:rPr>
                <w:rFonts w:ascii="Calibri" w:hAnsi="Calibri" w:cs="Calibri"/>
                <w:color w:val="000000"/>
                <w:sz w:val="22"/>
                <w:szCs w:val="22"/>
              </w:rPr>
            </w:pPr>
          </w:p>
        </w:tc>
        <w:tc>
          <w:tcPr>
            <w:tcW w:w="1360" w:type="dxa"/>
            <w:tcBorders>
              <w:top w:val="single" w:sz="8" w:space="0" w:color="auto"/>
              <w:left w:val="nil"/>
              <w:bottom w:val="single" w:sz="8" w:space="0" w:color="000080"/>
              <w:right w:val="nil"/>
            </w:tcBorders>
            <w:shd w:val="clear" w:color="auto" w:fill="auto"/>
            <w:vAlign w:val="center"/>
            <w:hideMark/>
          </w:tcPr>
          <w:p w:rsidR="00C05153" w:rsidRPr="00617833" w:rsidRDefault="00C05153" w:rsidP="000218AD">
            <w:pPr>
              <w:jc w:val="center"/>
              <w:rPr>
                <w:rFonts w:ascii="Verdana" w:hAnsi="Verdana" w:cs="Calibri"/>
                <w:b/>
                <w:bCs/>
                <w:color w:val="002060"/>
                <w:sz w:val="18"/>
                <w:szCs w:val="18"/>
              </w:rPr>
            </w:pPr>
            <w:r w:rsidRPr="00617833">
              <w:rPr>
                <w:rFonts w:ascii="Verdana" w:hAnsi="Verdana" w:cs="Calibri"/>
                <w:b/>
                <w:bCs/>
                <w:color w:val="002060"/>
                <w:sz w:val="18"/>
                <w:szCs w:val="18"/>
              </w:rPr>
              <w:t>Juzgados de Primera Instancia,  y Primera Instancia e Instrucción</w:t>
            </w:r>
          </w:p>
        </w:tc>
        <w:tc>
          <w:tcPr>
            <w:tcW w:w="1200" w:type="dxa"/>
            <w:tcBorders>
              <w:top w:val="single" w:sz="8" w:space="0" w:color="auto"/>
              <w:left w:val="nil"/>
              <w:bottom w:val="single" w:sz="8" w:space="0" w:color="000080"/>
              <w:right w:val="nil"/>
            </w:tcBorders>
            <w:shd w:val="clear" w:color="auto" w:fill="auto"/>
            <w:vAlign w:val="center"/>
            <w:hideMark/>
          </w:tcPr>
          <w:p w:rsidR="00C05153" w:rsidRPr="00617833" w:rsidRDefault="00C05153" w:rsidP="000218AD">
            <w:pPr>
              <w:jc w:val="center"/>
              <w:rPr>
                <w:rFonts w:ascii="Verdana" w:hAnsi="Verdana" w:cs="Calibri"/>
                <w:b/>
                <w:bCs/>
                <w:color w:val="002060"/>
                <w:sz w:val="18"/>
                <w:szCs w:val="18"/>
              </w:rPr>
            </w:pPr>
            <w:r w:rsidRPr="00617833">
              <w:rPr>
                <w:rFonts w:ascii="Verdana" w:hAnsi="Verdana" w:cs="Calibri"/>
                <w:b/>
                <w:bCs/>
                <w:color w:val="002060"/>
                <w:sz w:val="18"/>
                <w:szCs w:val="18"/>
              </w:rPr>
              <w:t>Juzgados de lo Mercantil</w:t>
            </w:r>
          </w:p>
        </w:tc>
        <w:tc>
          <w:tcPr>
            <w:tcW w:w="1200" w:type="dxa"/>
            <w:tcBorders>
              <w:top w:val="single" w:sz="8" w:space="0" w:color="auto"/>
              <w:left w:val="nil"/>
              <w:bottom w:val="single" w:sz="8" w:space="0" w:color="000080"/>
              <w:right w:val="nil"/>
            </w:tcBorders>
            <w:shd w:val="clear" w:color="auto" w:fill="auto"/>
            <w:vAlign w:val="center"/>
            <w:hideMark/>
          </w:tcPr>
          <w:p w:rsidR="00C05153" w:rsidRPr="00617833" w:rsidRDefault="00C05153" w:rsidP="000218AD">
            <w:pPr>
              <w:jc w:val="center"/>
              <w:rPr>
                <w:rFonts w:ascii="Verdana" w:hAnsi="Verdana" w:cs="Calibri"/>
                <w:b/>
                <w:bCs/>
                <w:color w:val="002060"/>
                <w:sz w:val="18"/>
                <w:szCs w:val="18"/>
              </w:rPr>
            </w:pPr>
            <w:r w:rsidRPr="00617833">
              <w:rPr>
                <w:rFonts w:ascii="Verdana" w:hAnsi="Verdana" w:cs="Calibri"/>
                <w:b/>
                <w:bCs/>
                <w:color w:val="002060"/>
                <w:sz w:val="18"/>
                <w:szCs w:val="18"/>
              </w:rPr>
              <w:t>Juzgados de Violencia contra la Mujer</w:t>
            </w:r>
          </w:p>
        </w:tc>
        <w:tc>
          <w:tcPr>
            <w:tcW w:w="1368" w:type="dxa"/>
            <w:tcBorders>
              <w:top w:val="single" w:sz="8" w:space="0" w:color="auto"/>
              <w:left w:val="nil"/>
              <w:bottom w:val="single" w:sz="8" w:space="0" w:color="000000"/>
              <w:right w:val="nil"/>
            </w:tcBorders>
            <w:shd w:val="clear" w:color="auto" w:fill="auto"/>
            <w:vAlign w:val="center"/>
            <w:hideMark/>
          </w:tcPr>
          <w:p w:rsidR="00C05153" w:rsidRPr="00617833" w:rsidRDefault="00C05153" w:rsidP="000218AD">
            <w:pPr>
              <w:jc w:val="center"/>
              <w:rPr>
                <w:rFonts w:ascii="Verdana" w:hAnsi="Verdana" w:cs="Calibri"/>
                <w:b/>
                <w:bCs/>
                <w:color w:val="17365D"/>
                <w:sz w:val="18"/>
                <w:szCs w:val="18"/>
              </w:rPr>
            </w:pPr>
            <w:r w:rsidRPr="00617833">
              <w:rPr>
                <w:rFonts w:ascii="Verdana" w:hAnsi="Verdana" w:cs="Calibri"/>
                <w:b/>
                <w:bCs/>
                <w:color w:val="17365D"/>
                <w:sz w:val="18"/>
                <w:szCs w:val="18"/>
              </w:rPr>
              <w:t>Audiencias            Provinciales</w:t>
            </w:r>
          </w:p>
        </w:tc>
      </w:tr>
      <w:tr w:rsidR="00330304" w:rsidRPr="00617833" w:rsidTr="004676DB">
        <w:trPr>
          <w:trHeight w:val="300"/>
        </w:trPr>
        <w:tc>
          <w:tcPr>
            <w:tcW w:w="2540" w:type="dxa"/>
            <w:tcBorders>
              <w:top w:val="single" w:sz="8" w:space="0" w:color="auto"/>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Andalucía</w:t>
            </w:r>
          </w:p>
        </w:tc>
        <w:tc>
          <w:tcPr>
            <w:tcW w:w="1360" w:type="dxa"/>
            <w:tcBorders>
              <w:top w:val="single" w:sz="8" w:space="0" w:color="auto"/>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83,7%</w:t>
            </w:r>
          </w:p>
        </w:tc>
        <w:tc>
          <w:tcPr>
            <w:tcW w:w="1200" w:type="dxa"/>
            <w:tcBorders>
              <w:top w:val="single" w:sz="8" w:space="0" w:color="auto"/>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92,6%</w:t>
            </w:r>
          </w:p>
        </w:tc>
        <w:tc>
          <w:tcPr>
            <w:tcW w:w="1200" w:type="dxa"/>
            <w:tcBorders>
              <w:top w:val="single" w:sz="8" w:space="0" w:color="auto"/>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81,3%</w:t>
            </w:r>
          </w:p>
        </w:tc>
        <w:tc>
          <w:tcPr>
            <w:tcW w:w="1368" w:type="dxa"/>
            <w:tcBorders>
              <w:top w:val="single" w:sz="8" w:space="0" w:color="auto"/>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88,8%</w:t>
            </w:r>
          </w:p>
        </w:tc>
      </w:tr>
      <w:tr w:rsidR="00330304" w:rsidRPr="00617833" w:rsidTr="00617833">
        <w:trPr>
          <w:trHeight w:val="286"/>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Aragón</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85,6%</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83,6%</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87,9%</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95,5%</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Asturias</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84,3%</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83,8%</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86,6%</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90,4%</w:t>
            </w:r>
          </w:p>
        </w:tc>
      </w:tr>
      <w:tr w:rsidR="00330304" w:rsidRPr="00617833" w:rsidTr="00617833">
        <w:trPr>
          <w:trHeight w:val="252"/>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Illes Balears</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82,1%</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87,0%</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79,0%</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83,8%</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Canarias</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81,6%</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85,8%</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71,7%</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98,2%</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Cantabria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84,0%</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67,0%</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77,1%</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91,7%</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Castilla y León</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86,2%</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88,2%</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88,3%</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97,2%</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Castilla-La Mancha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84,1%</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82,4%</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91,6%</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91,6%</w:t>
            </w:r>
          </w:p>
        </w:tc>
      </w:tr>
      <w:tr w:rsidR="00330304" w:rsidRPr="00617833" w:rsidTr="00617833">
        <w:trPr>
          <w:trHeight w:val="174"/>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Cataluña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75,9%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82,7%</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80,4%</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96,4%</w:t>
            </w:r>
          </w:p>
        </w:tc>
      </w:tr>
      <w:tr w:rsidR="00330304" w:rsidRPr="00617833" w:rsidTr="004676DB">
        <w:trPr>
          <w:trHeight w:val="300"/>
        </w:trPr>
        <w:tc>
          <w:tcPr>
            <w:tcW w:w="2540" w:type="dxa"/>
            <w:tcBorders>
              <w:top w:val="nil"/>
              <w:left w:val="nil"/>
              <w:bottom w:val="nil"/>
              <w:right w:val="nil"/>
            </w:tcBorders>
            <w:shd w:val="clear" w:color="auto" w:fill="auto"/>
            <w:noWrap/>
            <w:vAlign w:val="bottom"/>
            <w:hideMark/>
          </w:tcPr>
          <w:p w:rsidR="00330304" w:rsidRPr="00617833" w:rsidRDefault="00330304" w:rsidP="00C05153">
            <w:pPr>
              <w:rPr>
                <w:rFonts w:ascii="Verdana" w:hAnsi="Verdana" w:cs="Calibri"/>
                <w:color w:val="000000"/>
                <w:sz w:val="22"/>
                <w:szCs w:val="22"/>
              </w:rPr>
            </w:pPr>
            <w:r w:rsidRPr="00617833">
              <w:rPr>
                <w:rFonts w:ascii="Verdana" w:hAnsi="Verdana" w:cs="Calibri"/>
                <w:color w:val="000000"/>
                <w:sz w:val="22"/>
                <w:szCs w:val="22"/>
              </w:rPr>
              <w:t>C. Valenciana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83,3%</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83,8%</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91,8%</w:t>
            </w:r>
          </w:p>
        </w:tc>
      </w:tr>
      <w:tr w:rsidR="00330304" w:rsidRPr="00617833" w:rsidTr="00617833">
        <w:trPr>
          <w:trHeight w:val="168"/>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Extremadura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80,7%</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77,6%</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84,2%</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100,0%</w:t>
            </w:r>
          </w:p>
        </w:tc>
      </w:tr>
      <w:tr w:rsidR="00330304" w:rsidRPr="00617833" w:rsidTr="00617833">
        <w:trPr>
          <w:trHeight w:val="185"/>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Galicia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83,3%</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80,4%</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81,9%</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86,3%</w:t>
            </w:r>
          </w:p>
        </w:tc>
      </w:tr>
      <w:tr w:rsidR="00330304" w:rsidRPr="00617833" w:rsidTr="00617833">
        <w:trPr>
          <w:trHeight w:val="204"/>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Madrid</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87,0%</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86,3%</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81,4%</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95,4%</w:t>
            </w:r>
          </w:p>
        </w:tc>
      </w:tr>
      <w:tr w:rsidR="00330304" w:rsidRPr="00617833" w:rsidTr="00617833">
        <w:trPr>
          <w:trHeight w:val="208"/>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Murcia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81,9%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84,6%</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77,4%</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80,6%</w:t>
            </w:r>
          </w:p>
        </w:tc>
      </w:tr>
      <w:tr w:rsidR="00330304" w:rsidRPr="00617833" w:rsidTr="00617833">
        <w:trPr>
          <w:trHeight w:val="240"/>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Navarra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88,9%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83,3%</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79,1%</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86,7%</w:t>
            </w:r>
          </w:p>
        </w:tc>
      </w:tr>
      <w:tr w:rsidR="00330304" w:rsidRPr="00617833" w:rsidTr="00617833">
        <w:trPr>
          <w:trHeight w:val="174"/>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País Vasco</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82,1%</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85,9%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70,5%</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84,1%</w:t>
            </w:r>
          </w:p>
        </w:tc>
      </w:tr>
      <w:tr w:rsidR="00330304" w:rsidRPr="00617833" w:rsidTr="00617833">
        <w:trPr>
          <w:trHeight w:val="206"/>
        </w:trPr>
        <w:tc>
          <w:tcPr>
            <w:tcW w:w="2540" w:type="dxa"/>
            <w:tcBorders>
              <w:top w:val="nil"/>
              <w:left w:val="nil"/>
              <w:bottom w:val="nil"/>
              <w:right w:val="nil"/>
            </w:tcBorders>
            <w:shd w:val="clear" w:color="auto" w:fill="auto"/>
            <w:noWrap/>
            <w:vAlign w:val="bottom"/>
            <w:hideMark/>
          </w:tcPr>
          <w:p w:rsidR="00330304" w:rsidRPr="00617833" w:rsidRDefault="00330304" w:rsidP="000218AD">
            <w:pPr>
              <w:rPr>
                <w:rFonts w:ascii="Verdana" w:hAnsi="Verdana" w:cs="Calibri"/>
                <w:color w:val="000000"/>
                <w:sz w:val="22"/>
                <w:szCs w:val="22"/>
              </w:rPr>
            </w:pPr>
            <w:r w:rsidRPr="00617833">
              <w:rPr>
                <w:rFonts w:ascii="Verdana" w:hAnsi="Verdana" w:cs="Calibri"/>
                <w:color w:val="000000"/>
                <w:sz w:val="22"/>
                <w:szCs w:val="22"/>
              </w:rPr>
              <w:t>La Rioja</w:t>
            </w:r>
          </w:p>
        </w:tc>
        <w:tc>
          <w:tcPr>
            <w:tcW w:w="136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86,7%</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75,9%</w:t>
            </w:r>
          </w:p>
        </w:tc>
        <w:tc>
          <w:tcPr>
            <w:tcW w:w="1200"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77,0%</w:t>
            </w:r>
          </w:p>
        </w:tc>
        <w:tc>
          <w:tcPr>
            <w:tcW w:w="1368" w:type="dxa"/>
            <w:tcBorders>
              <w:top w:val="nil"/>
              <w:left w:val="nil"/>
              <w:bottom w:val="nil"/>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sz w:val="20"/>
                <w:szCs w:val="20"/>
              </w:rPr>
              <w:t>90,0%</w:t>
            </w:r>
          </w:p>
        </w:tc>
      </w:tr>
      <w:tr w:rsidR="00330304" w:rsidRPr="00617833" w:rsidTr="004676DB">
        <w:trPr>
          <w:trHeight w:val="315"/>
        </w:trPr>
        <w:tc>
          <w:tcPr>
            <w:tcW w:w="2540" w:type="dxa"/>
            <w:tcBorders>
              <w:top w:val="single" w:sz="8" w:space="0" w:color="auto"/>
              <w:left w:val="nil"/>
              <w:bottom w:val="single" w:sz="8" w:space="0" w:color="auto"/>
              <w:right w:val="nil"/>
            </w:tcBorders>
            <w:shd w:val="clear" w:color="auto" w:fill="auto"/>
            <w:noWrap/>
            <w:vAlign w:val="bottom"/>
            <w:hideMark/>
          </w:tcPr>
          <w:p w:rsidR="00330304" w:rsidRPr="00617833" w:rsidRDefault="00330304" w:rsidP="000218AD">
            <w:pPr>
              <w:rPr>
                <w:rFonts w:ascii="Verdana" w:hAnsi="Verdana" w:cs="Calibri"/>
                <w:b/>
                <w:bCs/>
                <w:color w:val="0F243E"/>
                <w:sz w:val="22"/>
                <w:szCs w:val="22"/>
              </w:rPr>
            </w:pPr>
            <w:r w:rsidRPr="00617833">
              <w:rPr>
                <w:rFonts w:ascii="Verdana" w:hAnsi="Verdana" w:cs="Calibri"/>
                <w:b/>
                <w:bCs/>
                <w:color w:val="0F243E"/>
                <w:sz w:val="22"/>
                <w:szCs w:val="22"/>
              </w:rPr>
              <w:t>Total</w:t>
            </w:r>
          </w:p>
        </w:tc>
        <w:tc>
          <w:tcPr>
            <w:tcW w:w="1360" w:type="dxa"/>
            <w:tcBorders>
              <w:top w:val="single" w:sz="8" w:space="0" w:color="auto"/>
              <w:left w:val="nil"/>
              <w:bottom w:val="single" w:sz="8" w:space="0" w:color="auto"/>
              <w:right w:val="nil"/>
            </w:tcBorders>
            <w:shd w:val="clear" w:color="auto" w:fill="auto"/>
            <w:noWrap/>
            <w:vAlign w:val="bottom"/>
            <w:hideMark/>
          </w:tcPr>
          <w:p w:rsidR="00330304" w:rsidRPr="00617833" w:rsidRDefault="00330304">
            <w:pPr>
              <w:jc w:val="right"/>
              <w:rPr>
                <w:rFonts w:ascii="Verdana" w:hAnsi="Verdana" w:cs="Calibri"/>
                <w:b/>
                <w:bCs/>
                <w:sz w:val="20"/>
                <w:szCs w:val="20"/>
              </w:rPr>
            </w:pPr>
            <w:r w:rsidRPr="00617833">
              <w:rPr>
                <w:rFonts w:ascii="Verdana" w:hAnsi="Verdana" w:cs="Calibri"/>
                <w:b/>
                <w:bCs/>
                <w:sz w:val="20"/>
                <w:szCs w:val="20"/>
              </w:rPr>
              <w:t>82,8%</w:t>
            </w:r>
          </w:p>
        </w:tc>
        <w:tc>
          <w:tcPr>
            <w:tcW w:w="1200" w:type="dxa"/>
            <w:tcBorders>
              <w:top w:val="single" w:sz="8" w:space="0" w:color="auto"/>
              <w:left w:val="nil"/>
              <w:bottom w:val="single" w:sz="8" w:space="0" w:color="auto"/>
              <w:right w:val="nil"/>
            </w:tcBorders>
            <w:shd w:val="clear" w:color="auto" w:fill="auto"/>
            <w:noWrap/>
            <w:vAlign w:val="bottom"/>
            <w:hideMark/>
          </w:tcPr>
          <w:p w:rsidR="00330304" w:rsidRPr="00617833" w:rsidRDefault="00330304">
            <w:pPr>
              <w:jc w:val="right"/>
              <w:rPr>
                <w:rFonts w:ascii="Verdana" w:hAnsi="Verdana" w:cs="Calibri"/>
                <w:b/>
                <w:bCs/>
                <w:sz w:val="20"/>
                <w:szCs w:val="20"/>
              </w:rPr>
            </w:pPr>
            <w:r w:rsidRPr="00617833">
              <w:rPr>
                <w:rFonts w:ascii="Verdana" w:hAnsi="Verdana" w:cs="Calibri"/>
                <w:b/>
                <w:bCs/>
                <w:sz w:val="20"/>
                <w:szCs w:val="20"/>
              </w:rPr>
              <w:t>86,5%</w:t>
            </w:r>
          </w:p>
        </w:tc>
        <w:tc>
          <w:tcPr>
            <w:tcW w:w="1200" w:type="dxa"/>
            <w:tcBorders>
              <w:top w:val="single" w:sz="8" w:space="0" w:color="auto"/>
              <w:left w:val="nil"/>
              <w:bottom w:val="single" w:sz="8" w:space="0" w:color="auto"/>
              <w:right w:val="nil"/>
            </w:tcBorders>
            <w:shd w:val="clear" w:color="auto" w:fill="auto"/>
            <w:noWrap/>
            <w:vAlign w:val="bottom"/>
            <w:hideMark/>
          </w:tcPr>
          <w:p w:rsidR="00330304" w:rsidRPr="00617833" w:rsidRDefault="00330304">
            <w:pPr>
              <w:jc w:val="right"/>
              <w:rPr>
                <w:rFonts w:ascii="Verdana" w:hAnsi="Verdana" w:cs="Calibri"/>
                <w:b/>
                <w:bCs/>
                <w:sz w:val="20"/>
                <w:szCs w:val="20"/>
              </w:rPr>
            </w:pPr>
            <w:r w:rsidRPr="00617833">
              <w:rPr>
                <w:rFonts w:ascii="Verdana" w:hAnsi="Verdana" w:cs="Calibri"/>
                <w:b/>
                <w:bCs/>
                <w:sz w:val="20"/>
                <w:szCs w:val="20"/>
              </w:rPr>
              <w:t>81,0%</w:t>
            </w:r>
          </w:p>
        </w:tc>
        <w:tc>
          <w:tcPr>
            <w:tcW w:w="1368" w:type="dxa"/>
            <w:tcBorders>
              <w:top w:val="single" w:sz="8" w:space="0" w:color="auto"/>
              <w:left w:val="nil"/>
              <w:bottom w:val="single" w:sz="8" w:space="0" w:color="auto"/>
              <w:right w:val="nil"/>
            </w:tcBorders>
            <w:shd w:val="clear" w:color="auto" w:fill="auto"/>
            <w:noWrap/>
            <w:vAlign w:val="bottom"/>
            <w:hideMark/>
          </w:tcPr>
          <w:p w:rsidR="00330304" w:rsidRPr="00617833" w:rsidRDefault="00330304">
            <w:pPr>
              <w:jc w:val="right"/>
              <w:rPr>
                <w:rFonts w:ascii="Verdana" w:hAnsi="Verdana" w:cs="Calibri"/>
                <w:sz w:val="20"/>
                <w:szCs w:val="20"/>
              </w:rPr>
            </w:pPr>
            <w:r w:rsidRPr="00617833">
              <w:rPr>
                <w:rFonts w:ascii="Verdana" w:hAnsi="Verdana" w:cs="Calibri"/>
                <w:b/>
                <w:bCs/>
                <w:sz w:val="20"/>
                <w:szCs w:val="20"/>
              </w:rPr>
              <w:t>94,8%</w:t>
            </w:r>
          </w:p>
        </w:tc>
      </w:tr>
    </w:tbl>
    <w:p w:rsidR="00C05153" w:rsidRPr="00617833" w:rsidRDefault="00C05153" w:rsidP="00233CED">
      <w:pPr>
        <w:pStyle w:val="Textoindependiente"/>
        <w:spacing w:before="120" w:after="120"/>
        <w:ind w:firstLine="357"/>
        <w:rPr>
          <w:rFonts w:ascii="Verdana" w:hAnsi="Verdana"/>
          <w:sz w:val="20"/>
        </w:rPr>
      </w:pPr>
    </w:p>
    <w:p w:rsidR="001B4EE3" w:rsidRPr="00617833" w:rsidRDefault="00730B87">
      <w:pPr>
        <w:pStyle w:val="Ttulo2"/>
        <w:numPr>
          <w:ilvl w:val="1"/>
          <w:numId w:val="4"/>
        </w:numPr>
        <w:rPr>
          <w:rFonts w:ascii="Verdana" w:hAnsi="Verdana"/>
          <w:color w:val="333399"/>
        </w:rPr>
      </w:pPr>
      <w:r w:rsidRPr="00617833">
        <w:rPr>
          <w:rFonts w:ascii="Verdana" w:hAnsi="Verdana"/>
          <w:color w:val="333399"/>
        </w:rPr>
        <w:t xml:space="preserve">2.3 </w:t>
      </w:r>
      <w:r w:rsidR="001B4EE3" w:rsidRPr="00617833">
        <w:rPr>
          <w:rFonts w:ascii="Verdana" w:hAnsi="Verdana"/>
          <w:color w:val="333399"/>
        </w:rPr>
        <w:t>Duraciones medias de los procesos</w:t>
      </w:r>
      <w:r w:rsidR="001B4EE3" w:rsidRPr="00617833">
        <w:rPr>
          <w:rStyle w:val="Refdenotaalpie"/>
          <w:rFonts w:ascii="Verdana" w:hAnsi="Verdana"/>
          <w:color w:val="333399"/>
        </w:rPr>
        <w:footnoteReference w:id="4"/>
      </w:r>
    </w:p>
    <w:p w:rsidR="003F5057" w:rsidRPr="00617833" w:rsidRDefault="002F644C">
      <w:pPr>
        <w:pStyle w:val="Textoindependiente"/>
        <w:spacing w:before="120" w:after="120"/>
        <w:ind w:firstLine="357"/>
        <w:rPr>
          <w:rFonts w:ascii="Verdana" w:hAnsi="Verdana"/>
          <w:sz w:val="20"/>
        </w:rPr>
      </w:pPr>
      <w:r w:rsidRPr="00617833">
        <w:rPr>
          <w:rFonts w:ascii="Verdana" w:hAnsi="Verdana"/>
          <w:sz w:val="20"/>
        </w:rPr>
        <w:t>Las duraciones medias de los procedimientos civiles terminados en el año han tenido un leve incremento en los juzgados de primera instancia y de familia, y se han mantenido estables en los de primera instancia</w:t>
      </w:r>
      <w:r w:rsidR="00072219" w:rsidRPr="00617833">
        <w:rPr>
          <w:rFonts w:ascii="Verdana" w:hAnsi="Verdana"/>
          <w:sz w:val="20"/>
        </w:rPr>
        <w:t xml:space="preserve"> e instrucción</w:t>
      </w:r>
      <w:r w:rsidRPr="00617833">
        <w:rPr>
          <w:rFonts w:ascii="Verdana" w:hAnsi="Verdana"/>
          <w:sz w:val="20"/>
        </w:rPr>
        <w:t>.</w:t>
      </w:r>
    </w:p>
    <w:p w:rsidR="004E152E" w:rsidRPr="00617833" w:rsidRDefault="004E152E">
      <w:pPr>
        <w:pStyle w:val="Textoindependiente"/>
        <w:spacing w:before="120" w:after="120"/>
        <w:ind w:firstLine="357"/>
        <w:rPr>
          <w:rFonts w:ascii="Verdana" w:hAnsi="Verdana"/>
          <w:sz w:val="20"/>
        </w:rPr>
      </w:pPr>
    </w:p>
    <w:tbl>
      <w:tblPr>
        <w:tblW w:w="9020" w:type="dxa"/>
        <w:jc w:val="center"/>
        <w:tblInd w:w="55" w:type="dxa"/>
        <w:tblCellMar>
          <w:left w:w="70" w:type="dxa"/>
          <w:right w:w="70" w:type="dxa"/>
        </w:tblCellMar>
        <w:tblLook w:val="0000" w:firstRow="0" w:lastRow="0" w:firstColumn="0" w:lastColumn="0" w:noHBand="0" w:noVBand="0"/>
      </w:tblPr>
      <w:tblGrid>
        <w:gridCol w:w="3020"/>
        <w:gridCol w:w="1200"/>
        <w:gridCol w:w="1200"/>
        <w:gridCol w:w="1200"/>
        <w:gridCol w:w="1200"/>
        <w:gridCol w:w="1200"/>
      </w:tblGrid>
      <w:tr w:rsidR="004A747A" w:rsidRPr="00617833" w:rsidTr="00C426B1">
        <w:trPr>
          <w:trHeight w:val="270"/>
          <w:jc w:val="center"/>
        </w:trPr>
        <w:tc>
          <w:tcPr>
            <w:tcW w:w="3020" w:type="dxa"/>
            <w:tcBorders>
              <w:top w:val="nil"/>
              <w:left w:val="nil"/>
              <w:bottom w:val="nil"/>
              <w:right w:val="nil"/>
            </w:tcBorders>
            <w:shd w:val="clear" w:color="auto" w:fill="auto"/>
            <w:noWrap/>
            <w:vAlign w:val="center"/>
          </w:tcPr>
          <w:p w:rsidR="004A747A" w:rsidRPr="00617833" w:rsidRDefault="004A747A">
            <w:pPr>
              <w:rPr>
                <w:rFonts w:ascii="Verdana" w:hAnsi="Verdana" w:cs="Arial"/>
                <w:sz w:val="20"/>
                <w:szCs w:val="20"/>
              </w:rPr>
            </w:pPr>
          </w:p>
        </w:tc>
        <w:tc>
          <w:tcPr>
            <w:tcW w:w="1200" w:type="dxa"/>
            <w:tcBorders>
              <w:top w:val="single" w:sz="8" w:space="0" w:color="auto"/>
              <w:left w:val="nil"/>
              <w:bottom w:val="single" w:sz="8" w:space="0" w:color="auto"/>
              <w:right w:val="nil"/>
            </w:tcBorders>
            <w:shd w:val="clear" w:color="auto" w:fill="auto"/>
            <w:vAlign w:val="center"/>
          </w:tcPr>
          <w:p w:rsidR="004A747A" w:rsidRPr="00617833" w:rsidRDefault="004A747A"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2017</w:t>
            </w:r>
          </w:p>
        </w:tc>
        <w:tc>
          <w:tcPr>
            <w:tcW w:w="1200" w:type="dxa"/>
            <w:tcBorders>
              <w:top w:val="single" w:sz="8" w:space="0" w:color="auto"/>
              <w:left w:val="nil"/>
              <w:bottom w:val="single" w:sz="8" w:space="0" w:color="auto"/>
              <w:right w:val="nil"/>
            </w:tcBorders>
            <w:shd w:val="clear" w:color="auto" w:fill="auto"/>
            <w:vAlign w:val="center"/>
          </w:tcPr>
          <w:p w:rsidR="004A747A" w:rsidRPr="00617833" w:rsidRDefault="004A747A"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2016</w:t>
            </w:r>
          </w:p>
        </w:tc>
        <w:tc>
          <w:tcPr>
            <w:tcW w:w="1200" w:type="dxa"/>
            <w:tcBorders>
              <w:top w:val="single" w:sz="8" w:space="0" w:color="auto"/>
              <w:left w:val="nil"/>
              <w:bottom w:val="single" w:sz="8" w:space="0" w:color="auto"/>
              <w:right w:val="nil"/>
            </w:tcBorders>
            <w:shd w:val="clear" w:color="auto" w:fill="auto"/>
            <w:vAlign w:val="center"/>
          </w:tcPr>
          <w:p w:rsidR="004A747A" w:rsidRPr="00617833" w:rsidRDefault="004A747A"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2015</w:t>
            </w:r>
          </w:p>
        </w:tc>
        <w:tc>
          <w:tcPr>
            <w:tcW w:w="1200" w:type="dxa"/>
            <w:tcBorders>
              <w:top w:val="single" w:sz="8" w:space="0" w:color="auto"/>
              <w:left w:val="nil"/>
              <w:bottom w:val="single" w:sz="8" w:space="0" w:color="auto"/>
              <w:right w:val="nil"/>
            </w:tcBorders>
            <w:shd w:val="clear" w:color="auto" w:fill="auto"/>
            <w:vAlign w:val="center"/>
          </w:tcPr>
          <w:p w:rsidR="004A747A" w:rsidRPr="00617833" w:rsidRDefault="004A747A"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2014</w:t>
            </w:r>
          </w:p>
        </w:tc>
        <w:tc>
          <w:tcPr>
            <w:tcW w:w="1200" w:type="dxa"/>
            <w:tcBorders>
              <w:top w:val="single" w:sz="8" w:space="0" w:color="auto"/>
              <w:left w:val="nil"/>
              <w:bottom w:val="single" w:sz="8" w:space="0" w:color="auto"/>
              <w:right w:val="nil"/>
            </w:tcBorders>
            <w:shd w:val="clear" w:color="auto" w:fill="auto"/>
            <w:vAlign w:val="center"/>
          </w:tcPr>
          <w:p w:rsidR="004A747A" w:rsidRPr="00617833" w:rsidRDefault="004A747A"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2013</w:t>
            </w:r>
          </w:p>
        </w:tc>
      </w:tr>
      <w:tr w:rsidR="004A747A" w:rsidRPr="00617833" w:rsidTr="00FD47E0">
        <w:trPr>
          <w:trHeight w:val="255"/>
          <w:jc w:val="center"/>
        </w:trPr>
        <w:tc>
          <w:tcPr>
            <w:tcW w:w="3020" w:type="dxa"/>
            <w:tcBorders>
              <w:top w:val="single" w:sz="8" w:space="0" w:color="auto"/>
              <w:left w:val="nil"/>
              <w:bottom w:val="nil"/>
              <w:right w:val="nil"/>
            </w:tcBorders>
            <w:shd w:val="clear" w:color="auto" w:fill="auto"/>
            <w:noWrap/>
            <w:vAlign w:val="center"/>
          </w:tcPr>
          <w:p w:rsidR="004A747A" w:rsidRPr="00617833" w:rsidRDefault="004A747A">
            <w:pPr>
              <w:rPr>
                <w:rFonts w:ascii="Verdana" w:hAnsi="Verdana" w:cs="Arial"/>
                <w:sz w:val="20"/>
                <w:szCs w:val="20"/>
              </w:rPr>
            </w:pPr>
            <w:r w:rsidRPr="00617833">
              <w:rPr>
                <w:rFonts w:ascii="Verdana" w:hAnsi="Verdana" w:cs="Arial"/>
                <w:sz w:val="20"/>
                <w:szCs w:val="20"/>
              </w:rPr>
              <w:t xml:space="preserve">Jdos. 1ª Instancia   </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6,3</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6,1</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5,6</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6,2</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7,1</w:t>
            </w:r>
          </w:p>
        </w:tc>
      </w:tr>
      <w:tr w:rsidR="004A747A" w:rsidRPr="00617833" w:rsidTr="00A24342">
        <w:trPr>
          <w:trHeight w:val="255"/>
          <w:jc w:val="center"/>
        </w:trPr>
        <w:tc>
          <w:tcPr>
            <w:tcW w:w="3020" w:type="dxa"/>
            <w:tcBorders>
              <w:top w:val="nil"/>
              <w:left w:val="nil"/>
              <w:bottom w:val="nil"/>
              <w:right w:val="nil"/>
            </w:tcBorders>
            <w:shd w:val="clear" w:color="auto" w:fill="auto"/>
            <w:noWrap/>
            <w:vAlign w:val="center"/>
          </w:tcPr>
          <w:p w:rsidR="004A747A" w:rsidRPr="00617833" w:rsidRDefault="004A747A">
            <w:pPr>
              <w:rPr>
                <w:rFonts w:ascii="Verdana" w:hAnsi="Verdana" w:cs="Arial"/>
                <w:sz w:val="20"/>
                <w:szCs w:val="20"/>
              </w:rPr>
            </w:pPr>
            <w:r w:rsidRPr="00617833">
              <w:rPr>
                <w:rFonts w:ascii="Verdana" w:hAnsi="Verdana" w:cs="Arial"/>
                <w:sz w:val="20"/>
                <w:szCs w:val="20"/>
              </w:rPr>
              <w:t xml:space="preserve">Jdos. Familia                                   </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5,0</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4,7</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4,7</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4,5</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4,6</w:t>
            </w:r>
          </w:p>
        </w:tc>
      </w:tr>
      <w:tr w:rsidR="004A747A" w:rsidRPr="00617833" w:rsidTr="00A24342">
        <w:trPr>
          <w:trHeight w:val="270"/>
          <w:jc w:val="center"/>
        </w:trPr>
        <w:tc>
          <w:tcPr>
            <w:tcW w:w="3020" w:type="dxa"/>
            <w:tcBorders>
              <w:top w:val="nil"/>
              <w:left w:val="nil"/>
              <w:bottom w:val="nil"/>
              <w:right w:val="nil"/>
            </w:tcBorders>
            <w:shd w:val="clear" w:color="auto" w:fill="auto"/>
            <w:noWrap/>
            <w:vAlign w:val="center"/>
          </w:tcPr>
          <w:p w:rsidR="004A747A" w:rsidRPr="00617833" w:rsidRDefault="004A747A">
            <w:pPr>
              <w:rPr>
                <w:rFonts w:ascii="Verdana" w:hAnsi="Verdana" w:cs="Arial"/>
                <w:sz w:val="20"/>
                <w:szCs w:val="20"/>
              </w:rPr>
            </w:pPr>
            <w:r w:rsidRPr="00617833">
              <w:rPr>
                <w:rFonts w:ascii="Verdana" w:hAnsi="Verdana" w:cs="Arial"/>
                <w:sz w:val="20"/>
                <w:szCs w:val="20"/>
              </w:rPr>
              <w:t xml:space="preserve">Jdos. 1ª Instª. e Instrucción                        </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7,3</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7,3</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7,0</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7,6</w:t>
            </w:r>
          </w:p>
        </w:tc>
        <w:tc>
          <w:tcPr>
            <w:tcW w:w="1200" w:type="dxa"/>
            <w:tcBorders>
              <w:top w:val="nil"/>
              <w:left w:val="nil"/>
              <w:bottom w:val="nil"/>
              <w:right w:val="nil"/>
            </w:tcBorders>
            <w:shd w:val="clear" w:color="auto" w:fill="auto"/>
            <w:noWrap/>
            <w:vAlign w:val="bottom"/>
          </w:tcPr>
          <w:p w:rsidR="004A747A" w:rsidRPr="00617833" w:rsidRDefault="004A747A" w:rsidP="004A747A">
            <w:pPr>
              <w:jc w:val="center"/>
              <w:rPr>
                <w:rFonts w:ascii="Verdana" w:hAnsi="Verdana" w:cs="Arial"/>
                <w:sz w:val="20"/>
                <w:szCs w:val="20"/>
              </w:rPr>
            </w:pPr>
            <w:r w:rsidRPr="00617833">
              <w:rPr>
                <w:rFonts w:ascii="Verdana" w:hAnsi="Verdana" w:cs="Arial"/>
                <w:sz w:val="20"/>
                <w:szCs w:val="20"/>
              </w:rPr>
              <w:t>8,8</w:t>
            </w:r>
          </w:p>
        </w:tc>
      </w:tr>
      <w:tr w:rsidR="001F33AF" w:rsidRPr="00617833" w:rsidTr="001F33AF">
        <w:trPr>
          <w:trHeight w:val="270"/>
          <w:jc w:val="center"/>
        </w:trPr>
        <w:tc>
          <w:tcPr>
            <w:tcW w:w="3020" w:type="dxa"/>
            <w:tcBorders>
              <w:top w:val="single" w:sz="8" w:space="0" w:color="auto"/>
              <w:left w:val="nil"/>
              <w:bottom w:val="single" w:sz="8" w:space="0" w:color="auto"/>
              <w:right w:val="nil"/>
            </w:tcBorders>
            <w:shd w:val="clear" w:color="auto" w:fill="auto"/>
            <w:noWrap/>
            <w:vAlign w:val="center"/>
          </w:tcPr>
          <w:p w:rsidR="001F33AF" w:rsidRPr="00617833" w:rsidRDefault="001F33AF">
            <w:pPr>
              <w:rPr>
                <w:rFonts w:ascii="Verdana" w:hAnsi="Verdana" w:cs="Arial"/>
                <w:b/>
                <w:bCs/>
                <w:color w:val="000080"/>
                <w:sz w:val="20"/>
                <w:szCs w:val="20"/>
              </w:rPr>
            </w:pPr>
            <w:r w:rsidRPr="00617833">
              <w:rPr>
                <w:rFonts w:ascii="Verdana" w:hAnsi="Verdana" w:cs="Arial"/>
                <w:b/>
                <w:bCs/>
                <w:color w:val="000080"/>
                <w:sz w:val="20"/>
                <w:szCs w:val="20"/>
              </w:rPr>
              <w:t>Total Primera Instancia Civil</w:t>
            </w:r>
          </w:p>
        </w:tc>
        <w:tc>
          <w:tcPr>
            <w:tcW w:w="1200" w:type="dxa"/>
            <w:tcBorders>
              <w:top w:val="single" w:sz="8" w:space="0" w:color="auto"/>
              <w:left w:val="nil"/>
              <w:bottom w:val="single" w:sz="8" w:space="0" w:color="auto"/>
              <w:right w:val="nil"/>
            </w:tcBorders>
            <w:shd w:val="clear" w:color="auto" w:fill="auto"/>
            <w:noWrap/>
            <w:vAlign w:val="center"/>
          </w:tcPr>
          <w:p w:rsidR="001F33AF" w:rsidRPr="00617833" w:rsidRDefault="001F33AF" w:rsidP="001F33AF">
            <w:pPr>
              <w:jc w:val="center"/>
              <w:rPr>
                <w:rFonts w:ascii="Verdana" w:hAnsi="Verdana" w:cs="Arial"/>
                <w:b/>
                <w:sz w:val="20"/>
                <w:szCs w:val="20"/>
              </w:rPr>
            </w:pPr>
            <w:r w:rsidRPr="00617833">
              <w:rPr>
                <w:rFonts w:ascii="Verdana" w:hAnsi="Verdana" w:cs="Arial"/>
                <w:b/>
                <w:sz w:val="20"/>
                <w:szCs w:val="20"/>
              </w:rPr>
              <w:t>6,6</w:t>
            </w:r>
          </w:p>
        </w:tc>
        <w:tc>
          <w:tcPr>
            <w:tcW w:w="1200" w:type="dxa"/>
            <w:tcBorders>
              <w:top w:val="single" w:sz="8" w:space="0" w:color="auto"/>
              <w:left w:val="nil"/>
              <w:bottom w:val="single" w:sz="8" w:space="0" w:color="auto"/>
              <w:right w:val="nil"/>
            </w:tcBorders>
            <w:shd w:val="clear" w:color="auto" w:fill="auto"/>
            <w:noWrap/>
            <w:vAlign w:val="center"/>
          </w:tcPr>
          <w:p w:rsidR="001F33AF" w:rsidRPr="00617833" w:rsidRDefault="001F33AF" w:rsidP="001F33AF">
            <w:pPr>
              <w:jc w:val="center"/>
              <w:rPr>
                <w:rFonts w:ascii="Verdana" w:hAnsi="Verdana" w:cs="Arial"/>
                <w:b/>
                <w:sz w:val="20"/>
                <w:szCs w:val="20"/>
              </w:rPr>
            </w:pPr>
            <w:r w:rsidRPr="00617833">
              <w:rPr>
                <w:rFonts w:ascii="Verdana" w:hAnsi="Verdana" w:cs="Arial"/>
                <w:b/>
                <w:sz w:val="20"/>
                <w:szCs w:val="20"/>
              </w:rPr>
              <w:t>6,5</w:t>
            </w:r>
          </w:p>
        </w:tc>
        <w:tc>
          <w:tcPr>
            <w:tcW w:w="1200" w:type="dxa"/>
            <w:tcBorders>
              <w:top w:val="single" w:sz="8" w:space="0" w:color="auto"/>
              <w:left w:val="nil"/>
              <w:bottom w:val="single" w:sz="8" w:space="0" w:color="auto"/>
              <w:right w:val="nil"/>
            </w:tcBorders>
            <w:shd w:val="clear" w:color="auto" w:fill="auto"/>
            <w:noWrap/>
            <w:vAlign w:val="center"/>
          </w:tcPr>
          <w:p w:rsidR="001F33AF" w:rsidRPr="00617833" w:rsidRDefault="001F33AF" w:rsidP="001F33AF">
            <w:pPr>
              <w:jc w:val="center"/>
              <w:rPr>
                <w:rFonts w:ascii="Verdana" w:hAnsi="Verdana" w:cs="Arial"/>
                <w:b/>
                <w:sz w:val="20"/>
                <w:szCs w:val="20"/>
              </w:rPr>
            </w:pPr>
            <w:r w:rsidRPr="00617833">
              <w:rPr>
                <w:rFonts w:ascii="Verdana" w:hAnsi="Verdana" w:cs="Arial"/>
                <w:b/>
                <w:sz w:val="20"/>
                <w:szCs w:val="20"/>
              </w:rPr>
              <w:t>6,1</w:t>
            </w:r>
          </w:p>
        </w:tc>
        <w:tc>
          <w:tcPr>
            <w:tcW w:w="1200" w:type="dxa"/>
            <w:tcBorders>
              <w:top w:val="single" w:sz="8" w:space="0" w:color="auto"/>
              <w:left w:val="nil"/>
              <w:bottom w:val="single" w:sz="8" w:space="0" w:color="auto"/>
              <w:right w:val="nil"/>
            </w:tcBorders>
            <w:shd w:val="clear" w:color="auto" w:fill="auto"/>
            <w:noWrap/>
            <w:vAlign w:val="center"/>
          </w:tcPr>
          <w:p w:rsidR="001F33AF" w:rsidRPr="00617833" w:rsidRDefault="001F33AF" w:rsidP="001F33AF">
            <w:pPr>
              <w:jc w:val="center"/>
              <w:rPr>
                <w:rFonts w:ascii="Verdana" w:hAnsi="Verdana" w:cs="Arial"/>
                <w:b/>
                <w:sz w:val="20"/>
                <w:szCs w:val="20"/>
              </w:rPr>
            </w:pPr>
            <w:r w:rsidRPr="00617833">
              <w:rPr>
                <w:rFonts w:ascii="Verdana" w:hAnsi="Verdana" w:cs="Arial"/>
                <w:b/>
                <w:sz w:val="20"/>
                <w:szCs w:val="20"/>
              </w:rPr>
              <w:t>6,6</w:t>
            </w:r>
          </w:p>
        </w:tc>
        <w:tc>
          <w:tcPr>
            <w:tcW w:w="1200" w:type="dxa"/>
            <w:tcBorders>
              <w:top w:val="single" w:sz="8" w:space="0" w:color="auto"/>
              <w:left w:val="nil"/>
              <w:bottom w:val="single" w:sz="8" w:space="0" w:color="auto"/>
              <w:right w:val="nil"/>
            </w:tcBorders>
            <w:shd w:val="clear" w:color="auto" w:fill="auto"/>
            <w:noWrap/>
            <w:vAlign w:val="center"/>
          </w:tcPr>
          <w:p w:rsidR="001F33AF" w:rsidRPr="00617833" w:rsidRDefault="001F33AF" w:rsidP="001F33AF">
            <w:pPr>
              <w:jc w:val="center"/>
              <w:rPr>
                <w:rFonts w:ascii="Verdana" w:hAnsi="Verdana" w:cs="Arial"/>
                <w:b/>
                <w:sz w:val="20"/>
                <w:szCs w:val="20"/>
              </w:rPr>
            </w:pPr>
            <w:r w:rsidRPr="00617833">
              <w:rPr>
                <w:rFonts w:ascii="Verdana" w:hAnsi="Verdana" w:cs="Arial"/>
                <w:b/>
                <w:sz w:val="20"/>
                <w:szCs w:val="20"/>
              </w:rPr>
              <w:t>7,6</w:t>
            </w:r>
          </w:p>
        </w:tc>
      </w:tr>
    </w:tbl>
    <w:p w:rsidR="002F1A26" w:rsidRPr="00617833" w:rsidRDefault="002F1A26">
      <w:pPr>
        <w:pStyle w:val="Textoindependiente"/>
        <w:spacing w:before="120" w:after="120"/>
        <w:ind w:firstLine="357"/>
        <w:rPr>
          <w:rFonts w:ascii="Verdana" w:hAnsi="Verdana"/>
          <w:sz w:val="20"/>
        </w:rPr>
      </w:pPr>
    </w:p>
    <w:p w:rsidR="00B111FC" w:rsidRPr="00617833" w:rsidRDefault="00B111FC">
      <w:pPr>
        <w:pStyle w:val="Textoindependiente"/>
        <w:spacing w:before="120" w:after="120"/>
        <w:ind w:firstLine="357"/>
        <w:rPr>
          <w:rFonts w:ascii="Verdana" w:hAnsi="Verdana"/>
          <w:sz w:val="20"/>
        </w:rPr>
      </w:pPr>
      <w:r w:rsidRPr="00617833">
        <w:rPr>
          <w:rFonts w:ascii="Verdana" w:hAnsi="Verdana"/>
          <w:sz w:val="20"/>
        </w:rPr>
        <w:t>Para facilitar la comparación con los años anteriores, no se han tenido en cuenta en las anteriores estimaciones a los concursos de las personas física no empresarios, para los que se dispone de la siguiente estimación de sus duraciones medias.</w:t>
      </w:r>
    </w:p>
    <w:p w:rsidR="00B111FC" w:rsidRPr="00617833" w:rsidRDefault="00B111FC">
      <w:pPr>
        <w:pStyle w:val="Textoindependiente"/>
        <w:spacing w:before="120" w:after="120"/>
        <w:ind w:firstLine="357"/>
        <w:rPr>
          <w:rFonts w:ascii="Verdana" w:hAnsi="Verdana"/>
          <w:sz w:val="20"/>
        </w:rPr>
      </w:pPr>
    </w:p>
    <w:tbl>
      <w:tblPr>
        <w:tblW w:w="2660" w:type="dxa"/>
        <w:jc w:val="center"/>
        <w:tblInd w:w="70" w:type="dxa"/>
        <w:tblCellMar>
          <w:left w:w="70" w:type="dxa"/>
          <w:right w:w="70" w:type="dxa"/>
        </w:tblCellMar>
        <w:tblLook w:val="04A0" w:firstRow="1" w:lastRow="0" w:firstColumn="1" w:lastColumn="0" w:noHBand="0" w:noVBand="1"/>
      </w:tblPr>
      <w:tblGrid>
        <w:gridCol w:w="1700"/>
        <w:gridCol w:w="960"/>
      </w:tblGrid>
      <w:tr w:rsidR="00B111FC" w:rsidRPr="00617833" w:rsidTr="00B111FC">
        <w:trPr>
          <w:trHeight w:val="270"/>
          <w:jc w:val="center"/>
        </w:trPr>
        <w:tc>
          <w:tcPr>
            <w:tcW w:w="1700" w:type="dxa"/>
            <w:tcBorders>
              <w:top w:val="single" w:sz="8" w:space="0" w:color="auto"/>
              <w:left w:val="nil"/>
              <w:bottom w:val="single" w:sz="8" w:space="0" w:color="auto"/>
              <w:right w:val="nil"/>
            </w:tcBorders>
            <w:shd w:val="clear" w:color="auto" w:fill="auto"/>
            <w:vAlign w:val="center"/>
            <w:hideMark/>
          </w:tcPr>
          <w:p w:rsidR="00B111FC" w:rsidRPr="00617833" w:rsidRDefault="00B111FC">
            <w:pPr>
              <w:jc w:val="center"/>
              <w:rPr>
                <w:rFonts w:ascii="Verdana" w:hAnsi="Verdana" w:cs="Arial"/>
                <w:b/>
                <w:bCs/>
                <w:color w:val="000080"/>
                <w:sz w:val="20"/>
                <w:szCs w:val="20"/>
              </w:rPr>
            </w:pPr>
            <w:r w:rsidRPr="00617833">
              <w:rPr>
                <w:rFonts w:ascii="Verdana" w:hAnsi="Verdana" w:cs="Calibri"/>
                <w:b/>
                <w:bCs/>
                <w:color w:val="000080"/>
                <w:sz w:val="20"/>
                <w:szCs w:val="20"/>
              </w:rPr>
              <w:t>2017</w:t>
            </w:r>
          </w:p>
        </w:tc>
        <w:tc>
          <w:tcPr>
            <w:tcW w:w="960" w:type="dxa"/>
            <w:tcBorders>
              <w:top w:val="single" w:sz="8" w:space="0" w:color="auto"/>
              <w:left w:val="nil"/>
              <w:bottom w:val="single" w:sz="8" w:space="0" w:color="auto"/>
              <w:right w:val="nil"/>
            </w:tcBorders>
            <w:shd w:val="clear" w:color="auto" w:fill="auto"/>
            <w:vAlign w:val="center"/>
            <w:hideMark/>
          </w:tcPr>
          <w:p w:rsidR="00B111FC" w:rsidRPr="00617833" w:rsidRDefault="00B111FC">
            <w:pPr>
              <w:jc w:val="center"/>
              <w:rPr>
                <w:rFonts w:ascii="Verdana" w:hAnsi="Verdana" w:cs="Arial"/>
                <w:b/>
                <w:bCs/>
                <w:color w:val="000080"/>
                <w:sz w:val="20"/>
                <w:szCs w:val="20"/>
              </w:rPr>
            </w:pPr>
            <w:r w:rsidRPr="00617833">
              <w:rPr>
                <w:rFonts w:ascii="Verdana" w:hAnsi="Verdana" w:cs="Calibri"/>
                <w:b/>
                <w:bCs/>
                <w:color w:val="000080"/>
                <w:sz w:val="20"/>
                <w:szCs w:val="20"/>
              </w:rPr>
              <w:t>2016</w:t>
            </w:r>
          </w:p>
        </w:tc>
      </w:tr>
      <w:tr w:rsidR="00B111FC" w:rsidRPr="00617833" w:rsidTr="00B111FC">
        <w:trPr>
          <w:trHeight w:val="270"/>
          <w:jc w:val="center"/>
        </w:trPr>
        <w:tc>
          <w:tcPr>
            <w:tcW w:w="1700" w:type="dxa"/>
            <w:tcBorders>
              <w:top w:val="nil"/>
              <w:left w:val="nil"/>
              <w:bottom w:val="single" w:sz="8" w:space="0" w:color="auto"/>
              <w:right w:val="nil"/>
            </w:tcBorders>
            <w:shd w:val="clear" w:color="auto" w:fill="auto"/>
            <w:noWrap/>
            <w:vAlign w:val="center"/>
            <w:hideMark/>
          </w:tcPr>
          <w:p w:rsidR="00B111FC" w:rsidRPr="00617833" w:rsidRDefault="00B111FC">
            <w:pPr>
              <w:jc w:val="center"/>
              <w:rPr>
                <w:rFonts w:ascii="Verdana" w:hAnsi="Verdana" w:cs="Arial"/>
                <w:color w:val="000000"/>
                <w:sz w:val="20"/>
                <w:szCs w:val="20"/>
              </w:rPr>
            </w:pPr>
            <w:r w:rsidRPr="00617833">
              <w:rPr>
                <w:rFonts w:ascii="Verdana" w:hAnsi="Verdana" w:cs="Arial"/>
                <w:color w:val="000000"/>
                <w:sz w:val="20"/>
                <w:szCs w:val="20"/>
              </w:rPr>
              <w:t>8,9</w:t>
            </w:r>
          </w:p>
        </w:tc>
        <w:tc>
          <w:tcPr>
            <w:tcW w:w="960" w:type="dxa"/>
            <w:tcBorders>
              <w:top w:val="nil"/>
              <w:left w:val="nil"/>
              <w:bottom w:val="single" w:sz="8" w:space="0" w:color="auto"/>
              <w:right w:val="nil"/>
            </w:tcBorders>
            <w:shd w:val="clear" w:color="auto" w:fill="auto"/>
            <w:noWrap/>
            <w:vAlign w:val="center"/>
            <w:hideMark/>
          </w:tcPr>
          <w:p w:rsidR="00B111FC" w:rsidRPr="00617833" w:rsidRDefault="00B111FC">
            <w:pPr>
              <w:jc w:val="center"/>
              <w:rPr>
                <w:rFonts w:ascii="Verdana" w:hAnsi="Verdana" w:cs="Arial"/>
                <w:color w:val="000000"/>
                <w:sz w:val="20"/>
                <w:szCs w:val="20"/>
              </w:rPr>
            </w:pPr>
            <w:r w:rsidRPr="00617833">
              <w:rPr>
                <w:rFonts w:ascii="Verdana" w:hAnsi="Verdana" w:cs="Arial"/>
                <w:color w:val="000000"/>
                <w:sz w:val="20"/>
                <w:szCs w:val="20"/>
              </w:rPr>
              <w:t>4,8</w:t>
            </w:r>
          </w:p>
        </w:tc>
      </w:tr>
    </w:tbl>
    <w:p w:rsidR="00B111FC" w:rsidRPr="00617833" w:rsidRDefault="00B111FC">
      <w:pPr>
        <w:pStyle w:val="Textoindependiente"/>
        <w:spacing w:before="120" w:after="120"/>
        <w:ind w:firstLine="357"/>
        <w:rPr>
          <w:rFonts w:ascii="Verdana" w:hAnsi="Verdana"/>
          <w:sz w:val="20"/>
        </w:rPr>
      </w:pPr>
    </w:p>
    <w:p w:rsidR="001B4EE3" w:rsidRPr="00617833" w:rsidRDefault="001B4EE3">
      <w:pPr>
        <w:pStyle w:val="Textoindependiente"/>
        <w:spacing w:before="120" w:after="120"/>
        <w:ind w:firstLine="357"/>
        <w:rPr>
          <w:rFonts w:ascii="Verdana" w:hAnsi="Verdana"/>
          <w:sz w:val="20"/>
        </w:rPr>
      </w:pPr>
      <w:r w:rsidRPr="00617833">
        <w:rPr>
          <w:rFonts w:ascii="Verdana" w:hAnsi="Verdana"/>
          <w:sz w:val="20"/>
        </w:rPr>
        <w:t>La duración media de los asuntos civiles</w:t>
      </w:r>
      <w:r w:rsidR="00EC111F" w:rsidRPr="00617833">
        <w:rPr>
          <w:rFonts w:ascii="Verdana" w:hAnsi="Verdana"/>
          <w:sz w:val="20"/>
        </w:rPr>
        <w:t xml:space="preserve"> (incluyendo familia, jurisdicción voluntaria</w:t>
      </w:r>
      <w:r w:rsidR="00082228" w:rsidRPr="00617833">
        <w:rPr>
          <w:rFonts w:ascii="Verdana" w:hAnsi="Verdana"/>
          <w:sz w:val="20"/>
        </w:rPr>
        <w:t xml:space="preserve">, salvo las conciliaciones del LAJ, </w:t>
      </w:r>
      <w:r w:rsidR="00EC111F" w:rsidRPr="00617833">
        <w:rPr>
          <w:rFonts w:ascii="Verdana" w:hAnsi="Verdana"/>
          <w:sz w:val="20"/>
        </w:rPr>
        <w:t xml:space="preserve"> e internamientos)</w:t>
      </w:r>
      <w:r w:rsidRPr="00617833">
        <w:rPr>
          <w:rFonts w:ascii="Verdana" w:hAnsi="Verdana"/>
          <w:sz w:val="20"/>
        </w:rPr>
        <w:t xml:space="preserve"> terminados en </w:t>
      </w:r>
      <w:r w:rsidR="00A8065F" w:rsidRPr="00617833">
        <w:rPr>
          <w:rFonts w:ascii="Verdana" w:hAnsi="Verdana"/>
          <w:sz w:val="20"/>
        </w:rPr>
        <w:t>20</w:t>
      </w:r>
      <w:r w:rsidR="004635F0" w:rsidRPr="00617833">
        <w:rPr>
          <w:rFonts w:ascii="Verdana" w:hAnsi="Verdana"/>
          <w:sz w:val="20"/>
        </w:rPr>
        <w:t>1</w:t>
      </w:r>
      <w:r w:rsidR="00D97F01" w:rsidRPr="00617833">
        <w:rPr>
          <w:rFonts w:ascii="Verdana" w:hAnsi="Verdana"/>
          <w:sz w:val="20"/>
        </w:rPr>
        <w:t>7</w:t>
      </w:r>
      <w:r w:rsidRPr="00617833">
        <w:rPr>
          <w:rFonts w:ascii="Verdana" w:hAnsi="Verdana"/>
          <w:sz w:val="20"/>
        </w:rPr>
        <w:t xml:space="preserve"> en los órganos de primera instancia</w:t>
      </w:r>
      <w:r w:rsidR="00A038C9" w:rsidRPr="00617833">
        <w:rPr>
          <w:rFonts w:ascii="Verdana" w:hAnsi="Verdana"/>
          <w:sz w:val="20"/>
        </w:rPr>
        <w:t xml:space="preserve"> y primera instancia e instrucción</w:t>
      </w:r>
      <w:r w:rsidRPr="00617833">
        <w:rPr>
          <w:rFonts w:ascii="Verdana" w:hAnsi="Verdana"/>
          <w:sz w:val="20"/>
        </w:rPr>
        <w:t xml:space="preserve"> en l</w:t>
      </w:r>
      <w:r w:rsidR="005332E8" w:rsidRPr="00617833">
        <w:rPr>
          <w:rFonts w:ascii="Verdana" w:hAnsi="Verdana"/>
          <w:sz w:val="20"/>
        </w:rPr>
        <w:t>a</w:t>
      </w:r>
      <w:r w:rsidRPr="00617833">
        <w:rPr>
          <w:rFonts w:ascii="Verdana" w:hAnsi="Verdana"/>
          <w:sz w:val="20"/>
        </w:rPr>
        <w:t xml:space="preserve">s distintas comunidades autónomas ha sido: </w:t>
      </w:r>
    </w:p>
    <w:p w:rsidR="001B4EE3" w:rsidRPr="00617833" w:rsidRDefault="00D97F01">
      <w:pPr>
        <w:pStyle w:val="Textoindependiente"/>
        <w:spacing w:before="120" w:after="120"/>
        <w:ind w:firstLine="357"/>
        <w:jc w:val="center"/>
        <w:rPr>
          <w:rFonts w:ascii="Verdana" w:hAnsi="Verdana"/>
          <w:sz w:val="20"/>
        </w:rPr>
      </w:pPr>
      <w:r w:rsidRPr="00617833">
        <w:rPr>
          <w:noProof/>
        </w:rPr>
        <w:drawing>
          <wp:inline distT="0" distB="0" distL="0" distR="0" wp14:anchorId="58EBC0C1" wp14:editId="674E88A6">
            <wp:extent cx="4762500" cy="28956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B4EE3" w:rsidRPr="00617833" w:rsidRDefault="001B4EE3">
      <w:pPr>
        <w:pStyle w:val="Textoindependiente"/>
        <w:spacing w:before="120" w:after="120"/>
        <w:ind w:firstLine="357"/>
        <w:rPr>
          <w:rFonts w:ascii="Verdana" w:hAnsi="Verdana"/>
          <w:sz w:val="20"/>
        </w:rPr>
      </w:pPr>
      <w:r w:rsidRPr="00617833">
        <w:rPr>
          <w:rFonts w:ascii="Verdana" w:hAnsi="Verdana"/>
          <w:sz w:val="20"/>
        </w:rPr>
        <w:t xml:space="preserve">Es interesante analizar la duración media de algunos  de los procesos más relevantes de esta jurisdicción. </w:t>
      </w:r>
    </w:p>
    <w:p w:rsidR="00220B0C" w:rsidRPr="00617833" w:rsidRDefault="00220B0C">
      <w:pPr>
        <w:pStyle w:val="Textoindependiente"/>
        <w:spacing w:before="120" w:after="120"/>
        <w:ind w:firstLine="357"/>
        <w:rPr>
          <w:rFonts w:ascii="Verdana" w:hAnsi="Verdana"/>
          <w:sz w:val="20"/>
        </w:rPr>
      </w:pPr>
      <w:r w:rsidRPr="00617833">
        <w:rPr>
          <w:rFonts w:ascii="Verdana" w:hAnsi="Verdana"/>
          <w:sz w:val="20"/>
        </w:rPr>
        <w:t>Los divorcios no consensuados y las separaciones, tanto las consensuadas como las no consensuadas han incrementado sus duraciones medias en 2017.</w:t>
      </w:r>
    </w:p>
    <w:tbl>
      <w:tblPr>
        <w:tblW w:w="9020" w:type="dxa"/>
        <w:jc w:val="center"/>
        <w:tblInd w:w="55" w:type="dxa"/>
        <w:tblCellMar>
          <w:left w:w="70" w:type="dxa"/>
          <w:right w:w="70" w:type="dxa"/>
        </w:tblCellMar>
        <w:tblLook w:val="0000" w:firstRow="0" w:lastRow="0" w:firstColumn="0" w:lastColumn="0" w:noHBand="0" w:noVBand="0"/>
      </w:tblPr>
      <w:tblGrid>
        <w:gridCol w:w="3020"/>
        <w:gridCol w:w="1200"/>
        <w:gridCol w:w="1200"/>
        <w:gridCol w:w="1200"/>
        <w:gridCol w:w="1200"/>
        <w:gridCol w:w="1200"/>
      </w:tblGrid>
      <w:tr w:rsidR="00815235" w:rsidRPr="00617833">
        <w:trPr>
          <w:trHeight w:val="270"/>
          <w:jc w:val="center"/>
        </w:trPr>
        <w:tc>
          <w:tcPr>
            <w:tcW w:w="3020" w:type="dxa"/>
            <w:tcBorders>
              <w:top w:val="nil"/>
              <w:left w:val="nil"/>
              <w:bottom w:val="nil"/>
              <w:right w:val="nil"/>
            </w:tcBorders>
            <w:shd w:val="clear" w:color="auto" w:fill="auto"/>
            <w:noWrap/>
            <w:vAlign w:val="bottom"/>
          </w:tcPr>
          <w:p w:rsidR="00815235" w:rsidRPr="00617833" w:rsidRDefault="00815235">
            <w:pPr>
              <w:rPr>
                <w:rFonts w:ascii="Verdana" w:hAnsi="Verdana" w:cs="Arial"/>
                <w:sz w:val="20"/>
                <w:szCs w:val="20"/>
              </w:rPr>
            </w:pPr>
          </w:p>
        </w:tc>
        <w:tc>
          <w:tcPr>
            <w:tcW w:w="1200" w:type="dxa"/>
            <w:tcBorders>
              <w:top w:val="single" w:sz="8" w:space="0" w:color="auto"/>
              <w:left w:val="nil"/>
              <w:bottom w:val="single" w:sz="8" w:space="0" w:color="auto"/>
              <w:right w:val="nil"/>
            </w:tcBorders>
            <w:shd w:val="clear" w:color="auto" w:fill="auto"/>
            <w:vAlign w:val="center"/>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2017</w:t>
            </w:r>
          </w:p>
        </w:tc>
        <w:tc>
          <w:tcPr>
            <w:tcW w:w="1200" w:type="dxa"/>
            <w:tcBorders>
              <w:top w:val="single" w:sz="8" w:space="0" w:color="auto"/>
              <w:left w:val="nil"/>
              <w:bottom w:val="single" w:sz="8" w:space="0" w:color="auto"/>
              <w:right w:val="nil"/>
            </w:tcBorders>
            <w:shd w:val="clear" w:color="auto" w:fill="auto"/>
            <w:vAlign w:val="center"/>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2016</w:t>
            </w:r>
          </w:p>
        </w:tc>
        <w:tc>
          <w:tcPr>
            <w:tcW w:w="1200" w:type="dxa"/>
            <w:tcBorders>
              <w:top w:val="single" w:sz="8" w:space="0" w:color="auto"/>
              <w:left w:val="nil"/>
              <w:bottom w:val="single" w:sz="8" w:space="0" w:color="auto"/>
              <w:right w:val="nil"/>
            </w:tcBorders>
            <w:shd w:val="clear" w:color="auto" w:fill="auto"/>
            <w:vAlign w:val="center"/>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2015</w:t>
            </w:r>
          </w:p>
        </w:tc>
        <w:tc>
          <w:tcPr>
            <w:tcW w:w="1200" w:type="dxa"/>
            <w:tcBorders>
              <w:top w:val="single" w:sz="8" w:space="0" w:color="auto"/>
              <w:left w:val="nil"/>
              <w:bottom w:val="single" w:sz="8" w:space="0" w:color="auto"/>
              <w:right w:val="nil"/>
            </w:tcBorders>
            <w:shd w:val="clear" w:color="auto" w:fill="auto"/>
            <w:vAlign w:val="center"/>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2014</w:t>
            </w:r>
          </w:p>
        </w:tc>
        <w:tc>
          <w:tcPr>
            <w:tcW w:w="1200" w:type="dxa"/>
            <w:tcBorders>
              <w:top w:val="single" w:sz="8" w:space="0" w:color="auto"/>
              <w:left w:val="nil"/>
              <w:bottom w:val="single" w:sz="8" w:space="0" w:color="auto"/>
              <w:right w:val="nil"/>
            </w:tcBorders>
            <w:shd w:val="clear" w:color="auto" w:fill="auto"/>
            <w:vAlign w:val="center"/>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2013</w:t>
            </w:r>
          </w:p>
        </w:tc>
      </w:tr>
      <w:tr w:rsidR="00815235" w:rsidRPr="00617833" w:rsidTr="00704B82">
        <w:trPr>
          <w:trHeight w:val="255"/>
          <w:jc w:val="center"/>
        </w:trPr>
        <w:tc>
          <w:tcPr>
            <w:tcW w:w="3020" w:type="dxa"/>
            <w:tcBorders>
              <w:top w:val="single" w:sz="8" w:space="0" w:color="auto"/>
              <w:left w:val="nil"/>
              <w:bottom w:val="nil"/>
              <w:right w:val="nil"/>
            </w:tcBorders>
            <w:shd w:val="clear" w:color="auto" w:fill="auto"/>
          </w:tcPr>
          <w:p w:rsidR="00815235" w:rsidRPr="00617833" w:rsidRDefault="00815235">
            <w:pPr>
              <w:jc w:val="both"/>
              <w:rPr>
                <w:rFonts w:ascii="Verdana" w:hAnsi="Verdana" w:cs="Arial"/>
                <w:sz w:val="20"/>
                <w:szCs w:val="20"/>
              </w:rPr>
            </w:pPr>
            <w:r w:rsidRPr="00617833">
              <w:rPr>
                <w:rFonts w:ascii="Verdana" w:hAnsi="Verdana" w:cs="Arial"/>
                <w:sz w:val="20"/>
                <w:szCs w:val="20"/>
              </w:rPr>
              <w:t>Nulidades</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13,6</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11,5</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11,5</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12,0</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12,9</w:t>
            </w:r>
          </w:p>
        </w:tc>
      </w:tr>
      <w:tr w:rsidR="00815235" w:rsidRPr="00617833" w:rsidTr="00704B82">
        <w:trPr>
          <w:trHeight w:val="255"/>
          <w:jc w:val="center"/>
        </w:trPr>
        <w:tc>
          <w:tcPr>
            <w:tcW w:w="3020" w:type="dxa"/>
            <w:tcBorders>
              <w:top w:val="nil"/>
              <w:left w:val="nil"/>
              <w:bottom w:val="nil"/>
              <w:right w:val="nil"/>
            </w:tcBorders>
            <w:shd w:val="clear" w:color="auto" w:fill="auto"/>
          </w:tcPr>
          <w:p w:rsidR="00815235" w:rsidRPr="00617833" w:rsidRDefault="00815235">
            <w:pPr>
              <w:jc w:val="both"/>
              <w:rPr>
                <w:rFonts w:ascii="Verdana" w:hAnsi="Verdana" w:cs="Arial"/>
                <w:sz w:val="20"/>
                <w:szCs w:val="20"/>
              </w:rPr>
            </w:pPr>
            <w:r w:rsidRPr="00617833">
              <w:rPr>
                <w:rFonts w:ascii="Verdana" w:hAnsi="Verdana" w:cs="Arial"/>
                <w:sz w:val="20"/>
                <w:szCs w:val="20"/>
              </w:rPr>
              <w:t>Divorcios consensuados</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2,1</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2,1</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1,9</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1,8</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1,9</w:t>
            </w:r>
          </w:p>
        </w:tc>
      </w:tr>
      <w:tr w:rsidR="00815235" w:rsidRPr="00617833" w:rsidTr="00704B82">
        <w:trPr>
          <w:trHeight w:val="255"/>
          <w:jc w:val="center"/>
        </w:trPr>
        <w:tc>
          <w:tcPr>
            <w:tcW w:w="3020" w:type="dxa"/>
            <w:tcBorders>
              <w:top w:val="nil"/>
              <w:left w:val="nil"/>
              <w:bottom w:val="nil"/>
              <w:right w:val="nil"/>
            </w:tcBorders>
            <w:shd w:val="clear" w:color="auto" w:fill="auto"/>
          </w:tcPr>
          <w:p w:rsidR="00815235" w:rsidRPr="00617833" w:rsidRDefault="00815235">
            <w:pPr>
              <w:jc w:val="both"/>
              <w:rPr>
                <w:rFonts w:ascii="Verdana" w:hAnsi="Verdana" w:cs="Arial"/>
                <w:sz w:val="20"/>
                <w:szCs w:val="20"/>
              </w:rPr>
            </w:pPr>
            <w:r w:rsidRPr="00617833">
              <w:rPr>
                <w:rFonts w:ascii="Verdana" w:hAnsi="Verdana" w:cs="Arial"/>
                <w:sz w:val="20"/>
                <w:szCs w:val="20"/>
              </w:rPr>
              <w:t>Divorcios no consensuados</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9,8</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9,6</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9,3</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9,3</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9,5</w:t>
            </w:r>
          </w:p>
        </w:tc>
      </w:tr>
      <w:tr w:rsidR="00815235" w:rsidRPr="00617833" w:rsidTr="00704B82">
        <w:trPr>
          <w:trHeight w:val="255"/>
          <w:jc w:val="center"/>
        </w:trPr>
        <w:tc>
          <w:tcPr>
            <w:tcW w:w="3020" w:type="dxa"/>
            <w:tcBorders>
              <w:top w:val="nil"/>
              <w:left w:val="nil"/>
              <w:bottom w:val="nil"/>
              <w:right w:val="nil"/>
            </w:tcBorders>
            <w:shd w:val="clear" w:color="auto" w:fill="auto"/>
          </w:tcPr>
          <w:p w:rsidR="00815235" w:rsidRPr="00617833" w:rsidRDefault="00815235">
            <w:pPr>
              <w:jc w:val="both"/>
              <w:rPr>
                <w:rFonts w:ascii="Verdana" w:hAnsi="Verdana" w:cs="Arial"/>
                <w:sz w:val="20"/>
                <w:szCs w:val="20"/>
              </w:rPr>
            </w:pPr>
            <w:r w:rsidRPr="00617833">
              <w:rPr>
                <w:rFonts w:ascii="Verdana" w:hAnsi="Verdana" w:cs="Arial"/>
                <w:sz w:val="20"/>
                <w:szCs w:val="20"/>
              </w:rPr>
              <w:t>Separación mutuo acuerdo</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3,3</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3,2</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2,9</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2,7</w:t>
            </w:r>
          </w:p>
        </w:tc>
        <w:tc>
          <w:tcPr>
            <w:tcW w:w="1200" w:type="dxa"/>
            <w:tcBorders>
              <w:top w:val="nil"/>
              <w:left w:val="nil"/>
              <w:bottom w:val="nil"/>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2,8</w:t>
            </w:r>
          </w:p>
        </w:tc>
      </w:tr>
      <w:tr w:rsidR="00815235" w:rsidRPr="00617833" w:rsidTr="00704B82">
        <w:trPr>
          <w:trHeight w:val="270"/>
          <w:jc w:val="center"/>
        </w:trPr>
        <w:tc>
          <w:tcPr>
            <w:tcW w:w="3020" w:type="dxa"/>
            <w:tcBorders>
              <w:top w:val="nil"/>
              <w:left w:val="nil"/>
              <w:bottom w:val="single" w:sz="8" w:space="0" w:color="auto"/>
              <w:right w:val="nil"/>
            </w:tcBorders>
            <w:shd w:val="clear" w:color="auto" w:fill="auto"/>
          </w:tcPr>
          <w:p w:rsidR="00815235" w:rsidRPr="00617833" w:rsidRDefault="00815235">
            <w:pPr>
              <w:jc w:val="both"/>
              <w:rPr>
                <w:rFonts w:ascii="Verdana" w:hAnsi="Verdana" w:cs="Arial"/>
                <w:sz w:val="20"/>
                <w:szCs w:val="20"/>
              </w:rPr>
            </w:pPr>
            <w:r w:rsidRPr="00617833">
              <w:rPr>
                <w:rFonts w:ascii="Verdana" w:hAnsi="Verdana" w:cs="Arial"/>
                <w:sz w:val="20"/>
                <w:szCs w:val="20"/>
              </w:rPr>
              <w:t>Separaciones contenciosas</w:t>
            </w:r>
          </w:p>
        </w:tc>
        <w:tc>
          <w:tcPr>
            <w:tcW w:w="1200" w:type="dxa"/>
            <w:tcBorders>
              <w:top w:val="nil"/>
              <w:left w:val="nil"/>
              <w:bottom w:val="single" w:sz="8" w:space="0" w:color="auto"/>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9,4</w:t>
            </w:r>
          </w:p>
        </w:tc>
        <w:tc>
          <w:tcPr>
            <w:tcW w:w="1200" w:type="dxa"/>
            <w:tcBorders>
              <w:top w:val="nil"/>
              <w:left w:val="nil"/>
              <w:bottom w:val="single" w:sz="8" w:space="0" w:color="auto"/>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9,2</w:t>
            </w:r>
          </w:p>
        </w:tc>
        <w:tc>
          <w:tcPr>
            <w:tcW w:w="1200" w:type="dxa"/>
            <w:tcBorders>
              <w:top w:val="nil"/>
              <w:left w:val="nil"/>
              <w:bottom w:val="single" w:sz="8" w:space="0" w:color="auto"/>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9,6</w:t>
            </w:r>
          </w:p>
        </w:tc>
        <w:tc>
          <w:tcPr>
            <w:tcW w:w="1200" w:type="dxa"/>
            <w:tcBorders>
              <w:top w:val="nil"/>
              <w:left w:val="nil"/>
              <w:bottom w:val="single" w:sz="8" w:space="0" w:color="auto"/>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9,9</w:t>
            </w:r>
          </w:p>
        </w:tc>
        <w:tc>
          <w:tcPr>
            <w:tcW w:w="1200" w:type="dxa"/>
            <w:tcBorders>
              <w:top w:val="nil"/>
              <w:left w:val="nil"/>
              <w:bottom w:val="single" w:sz="8" w:space="0" w:color="auto"/>
              <w:right w:val="nil"/>
            </w:tcBorders>
            <w:shd w:val="clear" w:color="auto" w:fill="auto"/>
            <w:noWrap/>
            <w:vAlign w:val="center"/>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10,5</w:t>
            </w:r>
          </w:p>
        </w:tc>
      </w:tr>
    </w:tbl>
    <w:p w:rsidR="002610B4" w:rsidRPr="00617833" w:rsidRDefault="0098555D" w:rsidP="002610B4">
      <w:pPr>
        <w:pStyle w:val="Textoindependiente"/>
        <w:spacing w:before="120" w:after="120"/>
        <w:ind w:firstLine="357"/>
        <w:rPr>
          <w:rFonts w:ascii="Verdana" w:hAnsi="Verdana"/>
          <w:sz w:val="20"/>
        </w:rPr>
      </w:pPr>
      <w:r w:rsidRPr="00617833">
        <w:rPr>
          <w:rFonts w:ascii="Verdana" w:hAnsi="Verdana"/>
          <w:sz w:val="20"/>
        </w:rPr>
        <w:t>L</w:t>
      </w:r>
      <w:r w:rsidR="001B4EE3" w:rsidRPr="00617833">
        <w:rPr>
          <w:rFonts w:ascii="Verdana" w:hAnsi="Verdana"/>
          <w:sz w:val="20"/>
        </w:rPr>
        <w:t>as  duraciones medias m</w:t>
      </w:r>
      <w:r w:rsidR="00AD22DB" w:rsidRPr="00617833">
        <w:rPr>
          <w:rFonts w:ascii="Verdana" w:hAnsi="Verdana"/>
          <w:sz w:val="20"/>
        </w:rPr>
        <w:t>á</w:t>
      </w:r>
      <w:r w:rsidR="001B4EE3" w:rsidRPr="00617833">
        <w:rPr>
          <w:rFonts w:ascii="Verdana" w:hAnsi="Verdana"/>
          <w:sz w:val="20"/>
        </w:rPr>
        <w:t>s altas en 20</w:t>
      </w:r>
      <w:r w:rsidR="00B22F27" w:rsidRPr="00617833">
        <w:rPr>
          <w:rFonts w:ascii="Verdana" w:hAnsi="Verdana"/>
          <w:sz w:val="20"/>
        </w:rPr>
        <w:t>1</w:t>
      </w:r>
      <w:r w:rsidR="00815235" w:rsidRPr="00617833">
        <w:rPr>
          <w:rFonts w:ascii="Verdana" w:hAnsi="Verdana"/>
          <w:sz w:val="20"/>
        </w:rPr>
        <w:t>7</w:t>
      </w:r>
      <w:r w:rsidR="001B4EE3" w:rsidRPr="00617833">
        <w:rPr>
          <w:rFonts w:ascii="Verdana" w:hAnsi="Verdana"/>
          <w:sz w:val="20"/>
        </w:rPr>
        <w:t xml:space="preserve"> </w:t>
      </w:r>
      <w:r w:rsidRPr="00617833">
        <w:rPr>
          <w:rFonts w:ascii="Verdana" w:hAnsi="Verdana"/>
          <w:sz w:val="20"/>
        </w:rPr>
        <w:t xml:space="preserve">para los divorcios contenciosos se han dado en </w:t>
      </w:r>
      <w:r w:rsidR="00196FDA" w:rsidRPr="00617833">
        <w:rPr>
          <w:rFonts w:ascii="Verdana" w:hAnsi="Verdana"/>
          <w:sz w:val="20"/>
        </w:rPr>
        <w:t>Castilla-La Mancha</w:t>
      </w:r>
      <w:r w:rsidR="003B5439" w:rsidRPr="00617833">
        <w:rPr>
          <w:rFonts w:ascii="Verdana" w:hAnsi="Verdana"/>
          <w:sz w:val="20"/>
        </w:rPr>
        <w:t xml:space="preserve">, </w:t>
      </w:r>
      <w:r w:rsidRPr="00617833">
        <w:rPr>
          <w:rFonts w:ascii="Verdana" w:hAnsi="Verdana"/>
          <w:sz w:val="20"/>
        </w:rPr>
        <w:t>1</w:t>
      </w:r>
      <w:r w:rsidR="00CD1BDD" w:rsidRPr="00617833">
        <w:rPr>
          <w:rFonts w:ascii="Verdana" w:hAnsi="Verdana"/>
          <w:sz w:val="20"/>
        </w:rPr>
        <w:t>2</w:t>
      </w:r>
      <w:r w:rsidR="00F61BBA" w:rsidRPr="00617833">
        <w:rPr>
          <w:rFonts w:ascii="Verdana" w:hAnsi="Verdana"/>
          <w:sz w:val="20"/>
        </w:rPr>
        <w:t>,</w:t>
      </w:r>
      <w:r w:rsidR="00815235" w:rsidRPr="00617833">
        <w:rPr>
          <w:rFonts w:ascii="Verdana" w:hAnsi="Verdana"/>
          <w:sz w:val="20"/>
        </w:rPr>
        <w:t>6</w:t>
      </w:r>
      <w:r w:rsidR="00F61BBA" w:rsidRPr="00617833">
        <w:rPr>
          <w:rFonts w:ascii="Verdana" w:hAnsi="Verdana"/>
          <w:sz w:val="20"/>
        </w:rPr>
        <w:t>;</w:t>
      </w:r>
      <w:r w:rsidR="00B22F27" w:rsidRPr="00617833">
        <w:rPr>
          <w:rFonts w:ascii="Verdana" w:hAnsi="Verdana"/>
          <w:sz w:val="20"/>
        </w:rPr>
        <w:t xml:space="preserve"> </w:t>
      </w:r>
      <w:r w:rsidRPr="00617833">
        <w:rPr>
          <w:rFonts w:ascii="Verdana" w:hAnsi="Verdana"/>
          <w:sz w:val="20"/>
        </w:rPr>
        <w:t>Cataluña</w:t>
      </w:r>
      <w:r w:rsidR="00DE7994" w:rsidRPr="00617833">
        <w:rPr>
          <w:rFonts w:ascii="Verdana" w:hAnsi="Verdana"/>
          <w:sz w:val="20"/>
        </w:rPr>
        <w:t>, 11,</w:t>
      </w:r>
      <w:r w:rsidR="00815235" w:rsidRPr="00617833">
        <w:rPr>
          <w:rFonts w:ascii="Verdana" w:hAnsi="Verdana"/>
          <w:sz w:val="20"/>
        </w:rPr>
        <w:t>8</w:t>
      </w:r>
      <w:r w:rsidR="00617833" w:rsidRPr="00617833">
        <w:rPr>
          <w:rFonts w:ascii="Verdana" w:hAnsi="Verdana"/>
          <w:sz w:val="20"/>
        </w:rPr>
        <w:t>;</w:t>
      </w:r>
      <w:r w:rsidR="00DE7994" w:rsidRPr="00617833">
        <w:rPr>
          <w:rFonts w:ascii="Verdana" w:hAnsi="Verdana"/>
          <w:sz w:val="20"/>
        </w:rPr>
        <w:t xml:space="preserve"> </w:t>
      </w:r>
      <w:r w:rsidR="00DE1942" w:rsidRPr="00617833">
        <w:rPr>
          <w:rFonts w:ascii="Verdana" w:hAnsi="Verdana"/>
          <w:sz w:val="20"/>
        </w:rPr>
        <w:t xml:space="preserve">y </w:t>
      </w:r>
      <w:r w:rsidR="00CD1BDD" w:rsidRPr="00617833">
        <w:rPr>
          <w:rFonts w:ascii="Verdana" w:hAnsi="Verdana"/>
          <w:sz w:val="20"/>
        </w:rPr>
        <w:t>Murcia</w:t>
      </w:r>
      <w:r w:rsidR="003B5439" w:rsidRPr="00617833">
        <w:rPr>
          <w:rFonts w:ascii="Verdana" w:hAnsi="Verdana"/>
          <w:sz w:val="20"/>
        </w:rPr>
        <w:t xml:space="preserve">, </w:t>
      </w:r>
      <w:r w:rsidRPr="00617833">
        <w:rPr>
          <w:rFonts w:ascii="Verdana" w:hAnsi="Verdana"/>
          <w:sz w:val="20"/>
        </w:rPr>
        <w:t>1</w:t>
      </w:r>
      <w:r w:rsidR="00F61BBA" w:rsidRPr="00617833">
        <w:rPr>
          <w:rFonts w:ascii="Verdana" w:hAnsi="Verdana"/>
          <w:sz w:val="20"/>
        </w:rPr>
        <w:t>1</w:t>
      </w:r>
      <w:r w:rsidR="00815235" w:rsidRPr="00617833">
        <w:rPr>
          <w:rFonts w:ascii="Verdana" w:hAnsi="Verdana"/>
          <w:sz w:val="20"/>
        </w:rPr>
        <w:t>,5</w:t>
      </w:r>
      <w:r w:rsidR="00DE1942" w:rsidRPr="00617833">
        <w:rPr>
          <w:rFonts w:ascii="Verdana" w:hAnsi="Verdana"/>
          <w:sz w:val="20"/>
        </w:rPr>
        <w:t xml:space="preserve"> mese</w:t>
      </w:r>
      <w:r w:rsidR="00DE7994" w:rsidRPr="00617833">
        <w:rPr>
          <w:rFonts w:ascii="Verdana" w:hAnsi="Verdana"/>
          <w:sz w:val="20"/>
        </w:rPr>
        <w:t>s.</w:t>
      </w:r>
      <w:r w:rsidR="0015594F" w:rsidRPr="00617833">
        <w:rPr>
          <w:rFonts w:ascii="Verdana" w:hAnsi="Verdana"/>
          <w:sz w:val="20"/>
        </w:rPr>
        <w:t xml:space="preserve"> </w:t>
      </w:r>
      <w:r w:rsidR="001B4EE3" w:rsidRPr="00617833">
        <w:rPr>
          <w:rFonts w:ascii="Verdana" w:hAnsi="Verdana"/>
          <w:sz w:val="20"/>
        </w:rPr>
        <w:t xml:space="preserve">Las menores duraciones se dieron en </w:t>
      </w:r>
      <w:r w:rsidR="00CD1BDD" w:rsidRPr="00617833">
        <w:rPr>
          <w:rFonts w:ascii="Verdana" w:hAnsi="Verdana"/>
          <w:sz w:val="20"/>
        </w:rPr>
        <w:t xml:space="preserve">Navarra, </w:t>
      </w:r>
      <w:r w:rsidR="00815235" w:rsidRPr="00617833">
        <w:rPr>
          <w:rFonts w:ascii="Verdana" w:hAnsi="Verdana"/>
          <w:sz w:val="20"/>
        </w:rPr>
        <w:t>4</w:t>
      </w:r>
      <w:r w:rsidR="00CD1BDD" w:rsidRPr="00617833">
        <w:rPr>
          <w:rFonts w:ascii="Verdana" w:hAnsi="Verdana"/>
          <w:sz w:val="20"/>
        </w:rPr>
        <w:t>,</w:t>
      </w:r>
      <w:r w:rsidR="00815235" w:rsidRPr="00617833">
        <w:rPr>
          <w:rFonts w:ascii="Verdana" w:hAnsi="Verdana"/>
          <w:sz w:val="20"/>
        </w:rPr>
        <w:t>7</w:t>
      </w:r>
      <w:r w:rsidR="00CD1BDD" w:rsidRPr="00617833">
        <w:rPr>
          <w:rFonts w:ascii="Verdana" w:hAnsi="Verdana"/>
          <w:sz w:val="20"/>
        </w:rPr>
        <w:t xml:space="preserve"> meses; </w:t>
      </w:r>
      <w:r w:rsidR="00850467" w:rsidRPr="00617833">
        <w:rPr>
          <w:rFonts w:ascii="Verdana" w:hAnsi="Verdana"/>
          <w:sz w:val="20"/>
        </w:rPr>
        <w:t>Asturias</w:t>
      </w:r>
      <w:r w:rsidR="003B5439" w:rsidRPr="00617833">
        <w:rPr>
          <w:rFonts w:ascii="Verdana" w:hAnsi="Verdana"/>
          <w:sz w:val="20"/>
        </w:rPr>
        <w:t xml:space="preserve">, </w:t>
      </w:r>
      <w:r w:rsidR="00815235" w:rsidRPr="00617833">
        <w:rPr>
          <w:rFonts w:ascii="Verdana" w:hAnsi="Verdana"/>
          <w:sz w:val="20"/>
        </w:rPr>
        <w:t>6</w:t>
      </w:r>
      <w:r w:rsidR="002C1731" w:rsidRPr="00617833">
        <w:rPr>
          <w:rFonts w:ascii="Verdana" w:hAnsi="Verdana"/>
          <w:sz w:val="20"/>
        </w:rPr>
        <w:t>,</w:t>
      </w:r>
      <w:r w:rsidR="00815235" w:rsidRPr="00617833">
        <w:rPr>
          <w:rFonts w:ascii="Verdana" w:hAnsi="Verdana"/>
          <w:sz w:val="20"/>
        </w:rPr>
        <w:t>9</w:t>
      </w:r>
      <w:r w:rsidR="00CD1BDD" w:rsidRPr="00617833">
        <w:rPr>
          <w:rFonts w:ascii="Verdana" w:hAnsi="Verdana"/>
          <w:sz w:val="20"/>
        </w:rPr>
        <w:t>.</w:t>
      </w:r>
      <w:r w:rsidR="00DE7994" w:rsidRPr="00617833">
        <w:rPr>
          <w:rFonts w:ascii="Verdana" w:hAnsi="Verdana"/>
          <w:sz w:val="20"/>
        </w:rPr>
        <w:t xml:space="preserve"> </w:t>
      </w:r>
      <w:r w:rsidR="002610B4" w:rsidRPr="00617833">
        <w:rPr>
          <w:rFonts w:ascii="Verdana" w:hAnsi="Verdana"/>
          <w:sz w:val="20"/>
        </w:rPr>
        <w:t xml:space="preserve">Los divorcios consensuados </w:t>
      </w:r>
      <w:r w:rsidR="0015594F" w:rsidRPr="00617833">
        <w:rPr>
          <w:rFonts w:ascii="Verdana" w:hAnsi="Verdana"/>
          <w:sz w:val="20"/>
        </w:rPr>
        <w:t>tuvieron</w:t>
      </w:r>
      <w:r w:rsidR="002D100E" w:rsidRPr="00617833">
        <w:rPr>
          <w:rFonts w:ascii="Verdana" w:hAnsi="Verdana"/>
          <w:sz w:val="20"/>
        </w:rPr>
        <w:t xml:space="preserve"> la</w:t>
      </w:r>
      <w:r w:rsidR="0015594F" w:rsidRPr="00617833">
        <w:rPr>
          <w:rFonts w:ascii="Verdana" w:hAnsi="Verdana"/>
          <w:sz w:val="20"/>
        </w:rPr>
        <w:t xml:space="preserve"> ma</w:t>
      </w:r>
      <w:r w:rsidR="00DE1942" w:rsidRPr="00617833">
        <w:rPr>
          <w:rFonts w:ascii="Verdana" w:hAnsi="Verdana"/>
          <w:sz w:val="20"/>
        </w:rPr>
        <w:t>y</w:t>
      </w:r>
      <w:r w:rsidR="0015594F" w:rsidRPr="00617833">
        <w:rPr>
          <w:rFonts w:ascii="Verdana" w:hAnsi="Verdana"/>
          <w:sz w:val="20"/>
        </w:rPr>
        <w:t>or duración</w:t>
      </w:r>
      <w:r w:rsidR="002610B4" w:rsidRPr="00617833">
        <w:rPr>
          <w:rFonts w:ascii="Verdana" w:hAnsi="Verdana"/>
          <w:sz w:val="20"/>
        </w:rPr>
        <w:t xml:space="preserve"> en </w:t>
      </w:r>
      <w:r w:rsidR="00CD1BDD" w:rsidRPr="00617833">
        <w:rPr>
          <w:rFonts w:ascii="Verdana" w:hAnsi="Verdana"/>
          <w:sz w:val="20"/>
        </w:rPr>
        <w:t>Murcia, 4</w:t>
      </w:r>
      <w:r w:rsidR="00F61BBA" w:rsidRPr="00617833">
        <w:rPr>
          <w:rFonts w:ascii="Verdana" w:hAnsi="Verdana"/>
          <w:sz w:val="20"/>
        </w:rPr>
        <w:t xml:space="preserve">; </w:t>
      </w:r>
      <w:r w:rsidR="00CD1BDD" w:rsidRPr="00617833">
        <w:rPr>
          <w:rFonts w:ascii="Verdana" w:hAnsi="Verdana"/>
          <w:sz w:val="20"/>
        </w:rPr>
        <w:t>Galicia, 2,</w:t>
      </w:r>
      <w:r w:rsidR="00815235" w:rsidRPr="00617833">
        <w:rPr>
          <w:rFonts w:ascii="Verdana" w:hAnsi="Verdana"/>
          <w:sz w:val="20"/>
        </w:rPr>
        <w:t>7</w:t>
      </w:r>
      <w:r w:rsidR="00CD1BDD" w:rsidRPr="00617833">
        <w:rPr>
          <w:rFonts w:ascii="Verdana" w:hAnsi="Verdana"/>
          <w:sz w:val="20"/>
        </w:rPr>
        <w:t xml:space="preserve">; </w:t>
      </w:r>
      <w:r w:rsidR="00815235" w:rsidRPr="00617833">
        <w:rPr>
          <w:rFonts w:ascii="Verdana" w:hAnsi="Verdana"/>
          <w:sz w:val="20"/>
        </w:rPr>
        <w:t xml:space="preserve">Aragón </w:t>
      </w:r>
      <w:r w:rsidR="00F61BBA" w:rsidRPr="00617833">
        <w:rPr>
          <w:rFonts w:ascii="Verdana" w:hAnsi="Verdana"/>
          <w:sz w:val="20"/>
        </w:rPr>
        <w:t>y Ca</w:t>
      </w:r>
      <w:r w:rsidR="00815235" w:rsidRPr="00617833">
        <w:rPr>
          <w:rFonts w:ascii="Verdana" w:hAnsi="Verdana"/>
          <w:sz w:val="20"/>
        </w:rPr>
        <w:t>stilla la Mancha</w:t>
      </w:r>
      <w:r w:rsidR="00F61BBA" w:rsidRPr="00617833">
        <w:rPr>
          <w:rFonts w:ascii="Verdana" w:hAnsi="Verdana"/>
          <w:sz w:val="20"/>
        </w:rPr>
        <w:t>, 2,</w:t>
      </w:r>
      <w:r w:rsidR="00CD1BDD" w:rsidRPr="00617833">
        <w:rPr>
          <w:rFonts w:ascii="Verdana" w:hAnsi="Verdana"/>
          <w:sz w:val="20"/>
        </w:rPr>
        <w:t>4</w:t>
      </w:r>
      <w:r w:rsidR="00F61BBA" w:rsidRPr="00617833">
        <w:rPr>
          <w:rFonts w:ascii="Verdana" w:hAnsi="Verdana"/>
          <w:sz w:val="20"/>
        </w:rPr>
        <w:t xml:space="preserve"> meses</w:t>
      </w:r>
      <w:r w:rsidR="00DE7994" w:rsidRPr="00617833">
        <w:rPr>
          <w:rFonts w:ascii="Verdana" w:hAnsi="Verdana"/>
          <w:sz w:val="20"/>
        </w:rPr>
        <w:t xml:space="preserve">. </w:t>
      </w:r>
    </w:p>
    <w:p w:rsidR="00D31923" w:rsidRPr="00617833" w:rsidRDefault="007A5651">
      <w:pPr>
        <w:pStyle w:val="Textoindependiente"/>
        <w:spacing w:before="120" w:after="120"/>
        <w:ind w:firstLine="357"/>
        <w:rPr>
          <w:rFonts w:ascii="Verdana" w:hAnsi="Verdana"/>
          <w:sz w:val="20"/>
        </w:rPr>
      </w:pPr>
      <w:r w:rsidRPr="00617833">
        <w:rPr>
          <w:rFonts w:ascii="Verdana" w:hAnsi="Verdana"/>
          <w:sz w:val="20"/>
        </w:rPr>
        <w:t xml:space="preserve">Las duraciones medias más altas  en las separaciones contenciosas se dieron en  </w:t>
      </w:r>
      <w:r w:rsidR="00CD1BDD" w:rsidRPr="00617833">
        <w:rPr>
          <w:rFonts w:ascii="Verdana" w:hAnsi="Verdana"/>
          <w:sz w:val="20"/>
        </w:rPr>
        <w:t>Cataluña, 13</w:t>
      </w:r>
      <w:r w:rsidR="00815235" w:rsidRPr="00617833">
        <w:rPr>
          <w:rFonts w:ascii="Verdana" w:hAnsi="Verdana"/>
          <w:sz w:val="20"/>
        </w:rPr>
        <w:t>,8</w:t>
      </w:r>
      <w:r w:rsidR="00CD1BDD" w:rsidRPr="00617833">
        <w:rPr>
          <w:rFonts w:ascii="Verdana" w:hAnsi="Verdana"/>
          <w:sz w:val="20"/>
        </w:rPr>
        <w:t xml:space="preserve">; </w:t>
      </w:r>
      <w:r w:rsidR="00815235" w:rsidRPr="00617833">
        <w:rPr>
          <w:rFonts w:ascii="Verdana" w:hAnsi="Verdana"/>
          <w:sz w:val="20"/>
        </w:rPr>
        <w:t xml:space="preserve">Aragón y </w:t>
      </w:r>
      <w:r w:rsidR="00CD1BDD" w:rsidRPr="00617833">
        <w:rPr>
          <w:rFonts w:ascii="Verdana" w:hAnsi="Verdana"/>
          <w:sz w:val="20"/>
        </w:rPr>
        <w:t>Castilla la Mancha, 12,</w:t>
      </w:r>
      <w:r w:rsidR="00815235" w:rsidRPr="00617833">
        <w:rPr>
          <w:rFonts w:ascii="Verdana" w:hAnsi="Verdana"/>
          <w:sz w:val="20"/>
        </w:rPr>
        <w:t>5</w:t>
      </w:r>
      <w:r w:rsidR="00CD1BDD" w:rsidRPr="00617833">
        <w:rPr>
          <w:rFonts w:ascii="Verdana" w:hAnsi="Verdana"/>
          <w:sz w:val="20"/>
        </w:rPr>
        <w:t xml:space="preserve">; </w:t>
      </w:r>
      <w:r w:rsidR="00815235" w:rsidRPr="00617833">
        <w:rPr>
          <w:rFonts w:ascii="Verdana" w:hAnsi="Verdana"/>
          <w:sz w:val="20"/>
        </w:rPr>
        <w:t xml:space="preserve">Cantabria, 11,7; Extremadura y Murcia, 10,9. </w:t>
      </w:r>
      <w:r w:rsidR="00CD1BDD" w:rsidRPr="00617833">
        <w:rPr>
          <w:rFonts w:ascii="Verdana" w:hAnsi="Verdana"/>
          <w:sz w:val="20"/>
        </w:rPr>
        <w:t xml:space="preserve"> </w:t>
      </w:r>
      <w:r w:rsidR="001B4EE3" w:rsidRPr="00617833">
        <w:rPr>
          <w:rFonts w:ascii="Verdana" w:hAnsi="Verdana"/>
          <w:sz w:val="20"/>
        </w:rPr>
        <w:t>Las más bajas en</w:t>
      </w:r>
      <w:r w:rsidR="00E47228" w:rsidRPr="00617833">
        <w:rPr>
          <w:rFonts w:ascii="Verdana" w:hAnsi="Verdana"/>
          <w:sz w:val="20"/>
        </w:rPr>
        <w:t xml:space="preserve"> </w:t>
      </w:r>
      <w:r w:rsidR="00D31923" w:rsidRPr="00617833">
        <w:rPr>
          <w:rFonts w:ascii="Verdana" w:hAnsi="Verdana"/>
          <w:sz w:val="20"/>
        </w:rPr>
        <w:t xml:space="preserve">La Rioja, </w:t>
      </w:r>
      <w:r w:rsidR="00220B0C" w:rsidRPr="00617833">
        <w:rPr>
          <w:rFonts w:ascii="Verdana" w:hAnsi="Verdana"/>
          <w:sz w:val="20"/>
        </w:rPr>
        <w:t>1,9</w:t>
      </w:r>
      <w:r w:rsidR="00D31923" w:rsidRPr="00617833">
        <w:rPr>
          <w:rFonts w:ascii="Verdana" w:hAnsi="Verdana"/>
          <w:sz w:val="20"/>
        </w:rPr>
        <w:t xml:space="preserve">; </w:t>
      </w:r>
      <w:r w:rsidR="00C74D90" w:rsidRPr="00617833">
        <w:rPr>
          <w:rFonts w:ascii="Verdana" w:hAnsi="Verdana"/>
          <w:sz w:val="20"/>
        </w:rPr>
        <w:t xml:space="preserve">y </w:t>
      </w:r>
      <w:r w:rsidR="00220B0C" w:rsidRPr="00617833">
        <w:rPr>
          <w:rFonts w:ascii="Verdana" w:hAnsi="Verdana"/>
          <w:sz w:val="20"/>
        </w:rPr>
        <w:t>Asturias, 4,6 meses.</w:t>
      </w:r>
      <w:r w:rsidR="00F25870" w:rsidRPr="00617833">
        <w:rPr>
          <w:rFonts w:ascii="Verdana" w:hAnsi="Verdana"/>
          <w:sz w:val="20"/>
        </w:rPr>
        <w:t xml:space="preserve"> </w:t>
      </w:r>
      <w:r w:rsidR="002610B4" w:rsidRPr="00617833">
        <w:rPr>
          <w:rFonts w:ascii="Verdana" w:hAnsi="Verdana"/>
          <w:sz w:val="20"/>
        </w:rPr>
        <w:t xml:space="preserve"> </w:t>
      </w:r>
      <w:r w:rsidR="007D0B34" w:rsidRPr="00617833">
        <w:rPr>
          <w:rFonts w:ascii="Verdana" w:hAnsi="Verdana"/>
          <w:sz w:val="20"/>
        </w:rPr>
        <w:t xml:space="preserve">Las separaciones de mutuo acuerdo </w:t>
      </w:r>
      <w:r w:rsidR="008509A0" w:rsidRPr="00617833">
        <w:rPr>
          <w:rFonts w:ascii="Verdana" w:hAnsi="Verdana"/>
          <w:sz w:val="20"/>
        </w:rPr>
        <w:t>con</w:t>
      </w:r>
      <w:r w:rsidR="007D0B34" w:rsidRPr="00617833">
        <w:rPr>
          <w:rFonts w:ascii="Verdana" w:hAnsi="Verdana"/>
          <w:sz w:val="20"/>
        </w:rPr>
        <w:t xml:space="preserve"> mayor duración media se </w:t>
      </w:r>
      <w:r w:rsidR="008509A0" w:rsidRPr="00617833">
        <w:rPr>
          <w:rFonts w:ascii="Verdana" w:hAnsi="Verdana"/>
          <w:sz w:val="20"/>
        </w:rPr>
        <w:t>han dado</w:t>
      </w:r>
      <w:r w:rsidR="007D0B34" w:rsidRPr="00617833">
        <w:rPr>
          <w:rFonts w:ascii="Verdana" w:hAnsi="Verdana"/>
          <w:sz w:val="20"/>
        </w:rPr>
        <w:t xml:space="preserve"> en </w:t>
      </w:r>
      <w:r w:rsidR="00D31923" w:rsidRPr="00617833">
        <w:rPr>
          <w:rFonts w:ascii="Verdana" w:hAnsi="Verdana"/>
          <w:sz w:val="20"/>
        </w:rPr>
        <w:t xml:space="preserve">Cataluña, </w:t>
      </w:r>
      <w:r w:rsidR="00220B0C" w:rsidRPr="00617833">
        <w:rPr>
          <w:rFonts w:ascii="Verdana" w:hAnsi="Verdana"/>
          <w:sz w:val="20"/>
        </w:rPr>
        <w:t>5</w:t>
      </w:r>
      <w:r w:rsidR="00E93298" w:rsidRPr="00617833">
        <w:rPr>
          <w:rFonts w:ascii="Verdana" w:hAnsi="Verdana"/>
          <w:sz w:val="20"/>
        </w:rPr>
        <w:t>,</w:t>
      </w:r>
      <w:r w:rsidR="00220B0C" w:rsidRPr="00617833">
        <w:rPr>
          <w:rFonts w:ascii="Verdana" w:hAnsi="Verdana"/>
          <w:sz w:val="20"/>
        </w:rPr>
        <w:t>3</w:t>
      </w:r>
      <w:r w:rsidR="00E93298" w:rsidRPr="00617833">
        <w:rPr>
          <w:rFonts w:ascii="Verdana" w:hAnsi="Verdana"/>
          <w:sz w:val="20"/>
        </w:rPr>
        <w:t xml:space="preserve">; </w:t>
      </w:r>
      <w:r w:rsidR="00D31923" w:rsidRPr="00617833">
        <w:rPr>
          <w:rFonts w:ascii="Verdana" w:hAnsi="Verdana"/>
          <w:sz w:val="20"/>
        </w:rPr>
        <w:t>Canarias, 4,</w:t>
      </w:r>
      <w:r w:rsidR="00220B0C" w:rsidRPr="00617833">
        <w:rPr>
          <w:rFonts w:ascii="Verdana" w:hAnsi="Verdana"/>
          <w:sz w:val="20"/>
        </w:rPr>
        <w:t>8</w:t>
      </w:r>
      <w:r w:rsidR="00D31923" w:rsidRPr="00617833">
        <w:rPr>
          <w:rFonts w:ascii="Verdana" w:hAnsi="Verdana"/>
          <w:sz w:val="20"/>
        </w:rPr>
        <w:t xml:space="preserve">; </w:t>
      </w:r>
      <w:r w:rsidR="00731CC9" w:rsidRPr="00617833">
        <w:rPr>
          <w:rFonts w:ascii="Verdana" w:hAnsi="Verdana"/>
          <w:sz w:val="20"/>
          <w:szCs w:val="20"/>
          <w:lang w:val="es-ES_tradnl"/>
        </w:rPr>
        <w:t>Castilla-L</w:t>
      </w:r>
      <w:r w:rsidR="00E93298" w:rsidRPr="00617833">
        <w:rPr>
          <w:rFonts w:ascii="Verdana" w:hAnsi="Verdana"/>
          <w:sz w:val="20"/>
          <w:szCs w:val="20"/>
          <w:lang w:val="es-ES_tradnl"/>
        </w:rPr>
        <w:t>a Mancha,</w:t>
      </w:r>
      <w:r w:rsidR="00E93298" w:rsidRPr="00617833">
        <w:rPr>
          <w:rFonts w:ascii="Verdana" w:hAnsi="Verdana"/>
          <w:sz w:val="20"/>
        </w:rPr>
        <w:t xml:space="preserve"> </w:t>
      </w:r>
      <w:r w:rsidR="00220B0C" w:rsidRPr="00617833">
        <w:rPr>
          <w:rFonts w:ascii="Verdana" w:hAnsi="Verdana"/>
          <w:sz w:val="20"/>
        </w:rPr>
        <w:t>4</w:t>
      </w:r>
      <w:r w:rsidR="00E93298" w:rsidRPr="00617833">
        <w:rPr>
          <w:rFonts w:ascii="Verdana" w:hAnsi="Verdana"/>
          <w:sz w:val="20"/>
        </w:rPr>
        <w:t>,</w:t>
      </w:r>
      <w:r w:rsidR="00220B0C" w:rsidRPr="00617833">
        <w:rPr>
          <w:rFonts w:ascii="Verdana" w:hAnsi="Verdana"/>
          <w:sz w:val="20"/>
        </w:rPr>
        <w:t>4; Andalucía y Murcia, 3,7</w:t>
      </w:r>
      <w:r w:rsidR="00D31923" w:rsidRPr="00617833">
        <w:rPr>
          <w:rFonts w:ascii="Verdana" w:hAnsi="Verdana"/>
          <w:sz w:val="20"/>
        </w:rPr>
        <w:t xml:space="preserve"> </w:t>
      </w:r>
      <w:r w:rsidR="00E93298" w:rsidRPr="00617833">
        <w:rPr>
          <w:rFonts w:ascii="Verdana" w:hAnsi="Verdana"/>
          <w:sz w:val="20"/>
        </w:rPr>
        <w:t xml:space="preserve">meses. </w:t>
      </w:r>
      <w:r w:rsidR="00622F6C" w:rsidRPr="00617833">
        <w:rPr>
          <w:rFonts w:ascii="Verdana" w:hAnsi="Verdana"/>
          <w:sz w:val="20"/>
        </w:rPr>
        <w:t>L</w:t>
      </w:r>
      <w:r w:rsidR="007D0B34" w:rsidRPr="00617833">
        <w:rPr>
          <w:rFonts w:ascii="Verdana" w:hAnsi="Verdana"/>
          <w:sz w:val="20"/>
        </w:rPr>
        <w:t xml:space="preserve">as más rápidas fueron en </w:t>
      </w:r>
      <w:r w:rsidR="00220B0C" w:rsidRPr="00617833">
        <w:rPr>
          <w:rFonts w:ascii="Verdana" w:hAnsi="Verdana"/>
          <w:sz w:val="20"/>
        </w:rPr>
        <w:t>Aragón, 1,3; Navarra, 1</w:t>
      </w:r>
      <w:r w:rsidR="00D31923" w:rsidRPr="00617833">
        <w:rPr>
          <w:rFonts w:ascii="Verdana" w:hAnsi="Verdana"/>
          <w:sz w:val="20"/>
        </w:rPr>
        <w:t>,</w:t>
      </w:r>
      <w:r w:rsidR="00220B0C" w:rsidRPr="00617833">
        <w:rPr>
          <w:rFonts w:ascii="Verdana" w:hAnsi="Verdana"/>
          <w:sz w:val="20"/>
        </w:rPr>
        <w:t>4 meses</w:t>
      </w:r>
      <w:r w:rsidR="00D31923" w:rsidRPr="00617833">
        <w:rPr>
          <w:rFonts w:ascii="Verdana" w:hAnsi="Verdana"/>
          <w:sz w:val="20"/>
        </w:rPr>
        <w:t>.</w:t>
      </w:r>
    </w:p>
    <w:p w:rsidR="006E6509" w:rsidRPr="00617833" w:rsidRDefault="007D0B34">
      <w:pPr>
        <w:pStyle w:val="Textoindependiente"/>
        <w:spacing w:before="120" w:after="120"/>
        <w:ind w:firstLine="357"/>
        <w:rPr>
          <w:rFonts w:ascii="Verdana" w:hAnsi="Verdana"/>
          <w:sz w:val="20"/>
        </w:rPr>
      </w:pPr>
      <w:r w:rsidRPr="00617833">
        <w:rPr>
          <w:rFonts w:ascii="Verdana" w:hAnsi="Verdana"/>
          <w:sz w:val="20"/>
        </w:rPr>
        <w:lastRenderedPageBreak/>
        <w:t xml:space="preserve"> </w:t>
      </w:r>
      <w:r w:rsidR="00624D48" w:rsidRPr="00617833">
        <w:rPr>
          <w:rFonts w:ascii="Verdana" w:hAnsi="Verdana"/>
          <w:sz w:val="20"/>
        </w:rPr>
        <w:t>L</w:t>
      </w:r>
      <w:r w:rsidR="00A77A96" w:rsidRPr="00617833">
        <w:rPr>
          <w:rFonts w:ascii="Verdana" w:hAnsi="Verdana"/>
          <w:sz w:val="20"/>
        </w:rPr>
        <w:t xml:space="preserve">as duraciones medias </w:t>
      </w:r>
      <w:r w:rsidR="006E6509" w:rsidRPr="00617833">
        <w:rPr>
          <w:rFonts w:ascii="Verdana" w:hAnsi="Verdana"/>
          <w:sz w:val="20"/>
        </w:rPr>
        <w:t xml:space="preserve">de los </w:t>
      </w:r>
      <w:r w:rsidR="006A1CEA" w:rsidRPr="00617833">
        <w:rPr>
          <w:rFonts w:ascii="Verdana" w:hAnsi="Verdana"/>
          <w:sz w:val="20"/>
        </w:rPr>
        <w:t>procedimientos</w:t>
      </w:r>
      <w:r w:rsidR="006E6509" w:rsidRPr="00617833">
        <w:rPr>
          <w:rFonts w:ascii="Verdana" w:hAnsi="Verdana"/>
          <w:sz w:val="20"/>
        </w:rPr>
        <w:t xml:space="preserve"> ordinarios han disminuido, mientras que han aumentado las de los juicios verbales</w:t>
      </w:r>
      <w:r w:rsidR="00575724" w:rsidRPr="00617833">
        <w:rPr>
          <w:rFonts w:ascii="Verdana" w:hAnsi="Verdana"/>
          <w:sz w:val="20"/>
        </w:rPr>
        <w:t xml:space="preserve"> y</w:t>
      </w:r>
      <w:r w:rsidR="002252F2" w:rsidRPr="00617833">
        <w:rPr>
          <w:rFonts w:ascii="Verdana" w:hAnsi="Verdana"/>
          <w:sz w:val="20"/>
        </w:rPr>
        <w:t xml:space="preserve">, especialmente, </w:t>
      </w:r>
      <w:r w:rsidR="00575724" w:rsidRPr="00617833">
        <w:rPr>
          <w:rFonts w:ascii="Verdana" w:hAnsi="Verdana"/>
          <w:sz w:val="20"/>
        </w:rPr>
        <w:t xml:space="preserve"> las de los monitorios</w:t>
      </w:r>
      <w:r w:rsidR="006E6509" w:rsidRPr="00617833">
        <w:rPr>
          <w:rFonts w:ascii="Verdana" w:hAnsi="Verdana"/>
          <w:sz w:val="20"/>
        </w:rPr>
        <w:t>.</w:t>
      </w:r>
    </w:p>
    <w:p w:rsidR="00A77A96" w:rsidRPr="00617833" w:rsidRDefault="00A77A96">
      <w:pPr>
        <w:pStyle w:val="Textoindependiente"/>
        <w:spacing w:before="120" w:after="120"/>
        <w:ind w:firstLine="357"/>
        <w:rPr>
          <w:rFonts w:ascii="Verdana" w:hAnsi="Verdana"/>
          <w:sz w:val="20"/>
        </w:rPr>
      </w:pPr>
    </w:p>
    <w:tbl>
      <w:tblPr>
        <w:tblW w:w="8320" w:type="dxa"/>
        <w:jc w:val="center"/>
        <w:tblInd w:w="55" w:type="dxa"/>
        <w:tblCellMar>
          <w:left w:w="70" w:type="dxa"/>
          <w:right w:w="70" w:type="dxa"/>
        </w:tblCellMar>
        <w:tblLook w:val="04A0" w:firstRow="1" w:lastRow="0" w:firstColumn="1" w:lastColumn="0" w:noHBand="0" w:noVBand="1"/>
      </w:tblPr>
      <w:tblGrid>
        <w:gridCol w:w="1720"/>
        <w:gridCol w:w="1320"/>
        <w:gridCol w:w="1320"/>
        <w:gridCol w:w="1320"/>
        <w:gridCol w:w="1320"/>
        <w:gridCol w:w="1320"/>
      </w:tblGrid>
      <w:tr w:rsidR="00815235" w:rsidRPr="00617833" w:rsidTr="006E6509">
        <w:trPr>
          <w:trHeight w:val="315"/>
          <w:jc w:val="center"/>
        </w:trPr>
        <w:tc>
          <w:tcPr>
            <w:tcW w:w="1720" w:type="dxa"/>
            <w:tcBorders>
              <w:top w:val="nil"/>
              <w:left w:val="nil"/>
              <w:bottom w:val="nil"/>
              <w:right w:val="nil"/>
            </w:tcBorders>
            <w:shd w:val="clear" w:color="auto" w:fill="auto"/>
            <w:noWrap/>
            <w:vAlign w:val="center"/>
            <w:hideMark/>
          </w:tcPr>
          <w:p w:rsidR="00815235" w:rsidRPr="00617833" w:rsidRDefault="00815235">
            <w:pPr>
              <w:rPr>
                <w:rFonts w:ascii="Verdana" w:hAnsi="Verdana" w:cs="Calibri"/>
                <w:color w:val="000000"/>
                <w:sz w:val="20"/>
                <w:szCs w:val="20"/>
              </w:rPr>
            </w:pPr>
          </w:p>
        </w:tc>
        <w:tc>
          <w:tcPr>
            <w:tcW w:w="1320" w:type="dxa"/>
            <w:tcBorders>
              <w:top w:val="single" w:sz="8" w:space="0" w:color="auto"/>
              <w:left w:val="nil"/>
              <w:bottom w:val="single" w:sz="8" w:space="0" w:color="auto"/>
              <w:right w:val="nil"/>
            </w:tcBorders>
            <w:shd w:val="clear" w:color="auto" w:fill="auto"/>
            <w:vAlign w:val="center"/>
            <w:hideMark/>
          </w:tcPr>
          <w:p w:rsidR="00815235" w:rsidRPr="00617833" w:rsidRDefault="00815235" w:rsidP="00815235">
            <w:pPr>
              <w:jc w:val="center"/>
              <w:rPr>
                <w:rFonts w:ascii="Verdana" w:hAnsi="Verdana" w:cs="Calibri"/>
                <w:b/>
                <w:bCs/>
                <w:color w:val="000080"/>
                <w:sz w:val="20"/>
                <w:szCs w:val="20"/>
              </w:rPr>
            </w:pPr>
            <w:r w:rsidRPr="00617833">
              <w:rPr>
                <w:rFonts w:ascii="Verdana" w:hAnsi="Verdana" w:cs="Calibri"/>
                <w:b/>
                <w:bCs/>
                <w:color w:val="000080"/>
                <w:sz w:val="20"/>
                <w:szCs w:val="20"/>
              </w:rPr>
              <w:t>2017</w:t>
            </w:r>
          </w:p>
        </w:tc>
        <w:tc>
          <w:tcPr>
            <w:tcW w:w="1320" w:type="dxa"/>
            <w:tcBorders>
              <w:top w:val="single" w:sz="8" w:space="0" w:color="auto"/>
              <w:left w:val="nil"/>
              <w:bottom w:val="single" w:sz="8" w:space="0" w:color="auto"/>
              <w:right w:val="nil"/>
            </w:tcBorders>
            <w:shd w:val="clear" w:color="auto" w:fill="auto"/>
            <w:vAlign w:val="center"/>
            <w:hideMark/>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2016</w:t>
            </w:r>
          </w:p>
        </w:tc>
        <w:tc>
          <w:tcPr>
            <w:tcW w:w="1320" w:type="dxa"/>
            <w:tcBorders>
              <w:top w:val="single" w:sz="8" w:space="0" w:color="auto"/>
              <w:left w:val="nil"/>
              <w:bottom w:val="single" w:sz="8" w:space="0" w:color="auto"/>
              <w:right w:val="nil"/>
            </w:tcBorders>
            <w:shd w:val="clear" w:color="auto" w:fill="auto"/>
            <w:vAlign w:val="center"/>
            <w:hideMark/>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2015</w:t>
            </w:r>
          </w:p>
        </w:tc>
        <w:tc>
          <w:tcPr>
            <w:tcW w:w="1320" w:type="dxa"/>
            <w:tcBorders>
              <w:top w:val="single" w:sz="8" w:space="0" w:color="auto"/>
              <w:left w:val="nil"/>
              <w:bottom w:val="single" w:sz="8" w:space="0" w:color="auto"/>
              <w:right w:val="nil"/>
            </w:tcBorders>
            <w:shd w:val="clear" w:color="auto" w:fill="auto"/>
            <w:vAlign w:val="center"/>
            <w:hideMark/>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2014</w:t>
            </w:r>
          </w:p>
        </w:tc>
        <w:tc>
          <w:tcPr>
            <w:tcW w:w="1320" w:type="dxa"/>
            <w:tcBorders>
              <w:top w:val="single" w:sz="8" w:space="0" w:color="auto"/>
              <w:left w:val="nil"/>
              <w:bottom w:val="single" w:sz="8" w:space="0" w:color="auto"/>
              <w:right w:val="nil"/>
            </w:tcBorders>
            <w:shd w:val="clear" w:color="auto" w:fill="auto"/>
            <w:vAlign w:val="center"/>
            <w:hideMark/>
          </w:tcPr>
          <w:p w:rsidR="00815235" w:rsidRPr="00617833" w:rsidRDefault="00815235"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2013</w:t>
            </w:r>
          </w:p>
        </w:tc>
      </w:tr>
      <w:tr w:rsidR="00815235" w:rsidRPr="00617833" w:rsidTr="006E6509">
        <w:trPr>
          <w:trHeight w:val="300"/>
          <w:jc w:val="center"/>
        </w:trPr>
        <w:tc>
          <w:tcPr>
            <w:tcW w:w="1720" w:type="dxa"/>
            <w:tcBorders>
              <w:top w:val="single" w:sz="8" w:space="0" w:color="auto"/>
              <w:left w:val="nil"/>
              <w:bottom w:val="nil"/>
              <w:right w:val="nil"/>
            </w:tcBorders>
            <w:shd w:val="clear" w:color="auto" w:fill="auto"/>
            <w:vAlign w:val="center"/>
            <w:hideMark/>
          </w:tcPr>
          <w:p w:rsidR="00815235" w:rsidRPr="00617833" w:rsidRDefault="00815235">
            <w:pPr>
              <w:jc w:val="both"/>
              <w:rPr>
                <w:rFonts w:ascii="Verdana" w:hAnsi="Verdana" w:cs="Calibri"/>
                <w:color w:val="000000"/>
                <w:sz w:val="20"/>
                <w:szCs w:val="20"/>
              </w:rPr>
            </w:pPr>
            <w:r w:rsidRPr="00617833">
              <w:rPr>
                <w:rFonts w:ascii="Verdana" w:hAnsi="Verdana" w:cs="Calibri"/>
                <w:color w:val="000000"/>
                <w:sz w:val="20"/>
                <w:szCs w:val="20"/>
              </w:rPr>
              <w:t>Ordinarios</w:t>
            </w:r>
          </w:p>
        </w:tc>
        <w:tc>
          <w:tcPr>
            <w:tcW w:w="1320" w:type="dxa"/>
            <w:tcBorders>
              <w:top w:val="nil"/>
              <w:left w:val="nil"/>
              <w:bottom w:val="nil"/>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10,7</w:t>
            </w:r>
          </w:p>
        </w:tc>
        <w:tc>
          <w:tcPr>
            <w:tcW w:w="1320" w:type="dxa"/>
            <w:tcBorders>
              <w:top w:val="nil"/>
              <w:left w:val="nil"/>
              <w:bottom w:val="nil"/>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11,3</w:t>
            </w:r>
          </w:p>
        </w:tc>
        <w:tc>
          <w:tcPr>
            <w:tcW w:w="1320" w:type="dxa"/>
            <w:tcBorders>
              <w:top w:val="nil"/>
              <w:left w:val="nil"/>
              <w:bottom w:val="nil"/>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12,5</w:t>
            </w:r>
          </w:p>
        </w:tc>
        <w:tc>
          <w:tcPr>
            <w:tcW w:w="1320" w:type="dxa"/>
            <w:tcBorders>
              <w:top w:val="nil"/>
              <w:left w:val="nil"/>
              <w:bottom w:val="nil"/>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14,0</w:t>
            </w:r>
          </w:p>
        </w:tc>
        <w:tc>
          <w:tcPr>
            <w:tcW w:w="1320" w:type="dxa"/>
            <w:tcBorders>
              <w:top w:val="nil"/>
              <w:left w:val="nil"/>
              <w:bottom w:val="nil"/>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14,3</w:t>
            </w:r>
          </w:p>
        </w:tc>
      </w:tr>
      <w:tr w:rsidR="002252F2" w:rsidRPr="00617833" w:rsidTr="006E6509">
        <w:trPr>
          <w:trHeight w:val="300"/>
          <w:jc w:val="center"/>
        </w:trPr>
        <w:tc>
          <w:tcPr>
            <w:tcW w:w="1720" w:type="dxa"/>
            <w:tcBorders>
              <w:top w:val="nil"/>
              <w:left w:val="nil"/>
              <w:bottom w:val="nil"/>
              <w:right w:val="nil"/>
            </w:tcBorders>
            <w:shd w:val="clear" w:color="auto" w:fill="auto"/>
            <w:vAlign w:val="center"/>
            <w:hideMark/>
          </w:tcPr>
          <w:p w:rsidR="002252F2" w:rsidRPr="00617833" w:rsidRDefault="002252F2">
            <w:pPr>
              <w:jc w:val="both"/>
              <w:rPr>
                <w:rFonts w:ascii="Verdana" w:hAnsi="Verdana" w:cs="Calibri"/>
                <w:color w:val="000000"/>
                <w:sz w:val="20"/>
                <w:szCs w:val="20"/>
              </w:rPr>
            </w:pPr>
            <w:r w:rsidRPr="00617833">
              <w:rPr>
                <w:rFonts w:ascii="Verdana" w:hAnsi="Verdana" w:cs="Calibri"/>
                <w:color w:val="000000"/>
                <w:sz w:val="20"/>
                <w:szCs w:val="20"/>
              </w:rPr>
              <w:t>Verbales</w:t>
            </w:r>
          </w:p>
        </w:tc>
        <w:tc>
          <w:tcPr>
            <w:tcW w:w="1320" w:type="dxa"/>
            <w:tcBorders>
              <w:top w:val="nil"/>
              <w:left w:val="nil"/>
              <w:bottom w:val="nil"/>
              <w:right w:val="nil"/>
            </w:tcBorders>
            <w:shd w:val="clear" w:color="auto" w:fill="auto"/>
            <w:noWrap/>
            <w:vAlign w:val="bottom"/>
            <w:hideMark/>
          </w:tcPr>
          <w:p w:rsidR="002252F2" w:rsidRPr="00617833" w:rsidRDefault="002252F2" w:rsidP="002252F2">
            <w:pPr>
              <w:jc w:val="center"/>
              <w:rPr>
                <w:rFonts w:ascii="Arial" w:hAnsi="Arial" w:cs="Arial"/>
                <w:sz w:val="20"/>
                <w:szCs w:val="20"/>
              </w:rPr>
            </w:pPr>
            <w:r w:rsidRPr="00617833">
              <w:rPr>
                <w:rFonts w:ascii="Arial" w:hAnsi="Arial" w:cs="Arial"/>
                <w:sz w:val="20"/>
                <w:szCs w:val="20"/>
              </w:rPr>
              <w:t>7,0</w:t>
            </w:r>
          </w:p>
        </w:tc>
        <w:tc>
          <w:tcPr>
            <w:tcW w:w="1320" w:type="dxa"/>
            <w:tcBorders>
              <w:top w:val="nil"/>
              <w:left w:val="nil"/>
              <w:bottom w:val="nil"/>
              <w:right w:val="nil"/>
            </w:tcBorders>
            <w:shd w:val="clear" w:color="auto" w:fill="auto"/>
            <w:noWrap/>
            <w:vAlign w:val="bottom"/>
            <w:hideMark/>
          </w:tcPr>
          <w:p w:rsidR="002252F2" w:rsidRPr="00617833" w:rsidRDefault="002252F2" w:rsidP="002252F2">
            <w:pPr>
              <w:jc w:val="center"/>
              <w:rPr>
                <w:rFonts w:ascii="Arial" w:hAnsi="Arial" w:cs="Arial"/>
                <w:sz w:val="20"/>
                <w:szCs w:val="20"/>
              </w:rPr>
            </w:pPr>
            <w:r w:rsidRPr="00617833">
              <w:rPr>
                <w:rFonts w:ascii="Arial" w:hAnsi="Arial" w:cs="Arial"/>
                <w:sz w:val="20"/>
                <w:szCs w:val="20"/>
              </w:rPr>
              <w:t>6,8</w:t>
            </w:r>
          </w:p>
        </w:tc>
        <w:tc>
          <w:tcPr>
            <w:tcW w:w="1320" w:type="dxa"/>
            <w:tcBorders>
              <w:top w:val="nil"/>
              <w:left w:val="nil"/>
              <w:bottom w:val="nil"/>
              <w:right w:val="nil"/>
            </w:tcBorders>
            <w:shd w:val="clear" w:color="auto" w:fill="auto"/>
            <w:noWrap/>
            <w:vAlign w:val="bottom"/>
            <w:hideMark/>
          </w:tcPr>
          <w:p w:rsidR="002252F2" w:rsidRPr="00617833" w:rsidRDefault="002252F2" w:rsidP="002252F2">
            <w:pPr>
              <w:jc w:val="center"/>
              <w:rPr>
                <w:rFonts w:ascii="Arial" w:hAnsi="Arial" w:cs="Arial"/>
                <w:sz w:val="20"/>
                <w:szCs w:val="20"/>
              </w:rPr>
            </w:pPr>
            <w:r w:rsidRPr="00617833">
              <w:rPr>
                <w:rFonts w:ascii="Arial" w:hAnsi="Arial" w:cs="Arial"/>
                <w:sz w:val="20"/>
                <w:szCs w:val="20"/>
              </w:rPr>
              <w:t>6,1</w:t>
            </w:r>
          </w:p>
        </w:tc>
        <w:tc>
          <w:tcPr>
            <w:tcW w:w="1320" w:type="dxa"/>
            <w:tcBorders>
              <w:top w:val="nil"/>
              <w:left w:val="nil"/>
              <w:bottom w:val="nil"/>
              <w:right w:val="nil"/>
            </w:tcBorders>
            <w:shd w:val="clear" w:color="auto" w:fill="auto"/>
            <w:noWrap/>
            <w:vAlign w:val="bottom"/>
            <w:hideMark/>
          </w:tcPr>
          <w:p w:rsidR="002252F2" w:rsidRPr="00617833" w:rsidRDefault="002252F2" w:rsidP="002252F2">
            <w:pPr>
              <w:jc w:val="center"/>
              <w:rPr>
                <w:rFonts w:ascii="Arial" w:hAnsi="Arial" w:cs="Arial"/>
                <w:sz w:val="20"/>
                <w:szCs w:val="20"/>
              </w:rPr>
            </w:pPr>
            <w:r w:rsidRPr="00617833">
              <w:rPr>
                <w:rFonts w:ascii="Arial" w:hAnsi="Arial" w:cs="Arial"/>
                <w:sz w:val="20"/>
                <w:szCs w:val="20"/>
              </w:rPr>
              <w:t>6,5</w:t>
            </w:r>
          </w:p>
        </w:tc>
        <w:tc>
          <w:tcPr>
            <w:tcW w:w="1320" w:type="dxa"/>
            <w:tcBorders>
              <w:top w:val="nil"/>
              <w:left w:val="nil"/>
              <w:bottom w:val="nil"/>
              <w:right w:val="nil"/>
            </w:tcBorders>
            <w:shd w:val="clear" w:color="auto" w:fill="auto"/>
            <w:noWrap/>
            <w:vAlign w:val="bottom"/>
            <w:hideMark/>
          </w:tcPr>
          <w:p w:rsidR="002252F2" w:rsidRPr="00617833" w:rsidRDefault="002252F2" w:rsidP="002252F2">
            <w:pPr>
              <w:jc w:val="center"/>
              <w:rPr>
                <w:rFonts w:ascii="Arial" w:hAnsi="Arial" w:cs="Arial"/>
                <w:sz w:val="20"/>
                <w:szCs w:val="20"/>
              </w:rPr>
            </w:pPr>
            <w:r w:rsidRPr="00617833">
              <w:rPr>
                <w:rFonts w:ascii="Arial" w:hAnsi="Arial" w:cs="Arial"/>
                <w:sz w:val="20"/>
                <w:szCs w:val="20"/>
              </w:rPr>
              <w:t>6,7</w:t>
            </w:r>
          </w:p>
        </w:tc>
      </w:tr>
      <w:tr w:rsidR="00815235" w:rsidTr="006E6509">
        <w:trPr>
          <w:trHeight w:val="315"/>
          <w:jc w:val="center"/>
        </w:trPr>
        <w:tc>
          <w:tcPr>
            <w:tcW w:w="1720" w:type="dxa"/>
            <w:tcBorders>
              <w:top w:val="nil"/>
              <w:left w:val="nil"/>
              <w:bottom w:val="single" w:sz="8" w:space="0" w:color="auto"/>
              <w:right w:val="nil"/>
            </w:tcBorders>
            <w:shd w:val="clear" w:color="auto" w:fill="auto"/>
            <w:vAlign w:val="center"/>
            <w:hideMark/>
          </w:tcPr>
          <w:p w:rsidR="00815235" w:rsidRPr="00617833" w:rsidRDefault="00815235">
            <w:pPr>
              <w:jc w:val="both"/>
              <w:rPr>
                <w:rFonts w:ascii="Verdana" w:hAnsi="Verdana" w:cs="Calibri"/>
                <w:color w:val="000000"/>
                <w:sz w:val="20"/>
                <w:szCs w:val="20"/>
              </w:rPr>
            </w:pPr>
            <w:r w:rsidRPr="00617833">
              <w:rPr>
                <w:rFonts w:ascii="Verdana" w:hAnsi="Verdana" w:cs="Calibri"/>
                <w:color w:val="000000"/>
                <w:sz w:val="20"/>
                <w:szCs w:val="20"/>
              </w:rPr>
              <w:t>Monitorios</w:t>
            </w:r>
          </w:p>
        </w:tc>
        <w:tc>
          <w:tcPr>
            <w:tcW w:w="1320" w:type="dxa"/>
            <w:tcBorders>
              <w:top w:val="nil"/>
              <w:left w:val="nil"/>
              <w:bottom w:val="single" w:sz="8" w:space="0" w:color="auto"/>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6,0</w:t>
            </w:r>
          </w:p>
        </w:tc>
        <w:tc>
          <w:tcPr>
            <w:tcW w:w="1320" w:type="dxa"/>
            <w:tcBorders>
              <w:top w:val="nil"/>
              <w:left w:val="nil"/>
              <w:bottom w:val="single" w:sz="8" w:space="0" w:color="auto"/>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5,7</w:t>
            </w:r>
          </w:p>
        </w:tc>
        <w:tc>
          <w:tcPr>
            <w:tcW w:w="1320" w:type="dxa"/>
            <w:tcBorders>
              <w:top w:val="nil"/>
              <w:left w:val="nil"/>
              <w:bottom w:val="single" w:sz="8" w:space="0" w:color="auto"/>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5,3</w:t>
            </w:r>
          </w:p>
        </w:tc>
        <w:tc>
          <w:tcPr>
            <w:tcW w:w="1320" w:type="dxa"/>
            <w:tcBorders>
              <w:top w:val="nil"/>
              <w:left w:val="nil"/>
              <w:bottom w:val="single" w:sz="8" w:space="0" w:color="auto"/>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5,9</w:t>
            </w:r>
          </w:p>
        </w:tc>
        <w:tc>
          <w:tcPr>
            <w:tcW w:w="1320" w:type="dxa"/>
            <w:tcBorders>
              <w:top w:val="nil"/>
              <w:left w:val="nil"/>
              <w:bottom w:val="single" w:sz="8" w:space="0" w:color="auto"/>
              <w:right w:val="nil"/>
            </w:tcBorders>
            <w:shd w:val="clear" w:color="auto" w:fill="auto"/>
            <w:noWrap/>
            <w:vAlign w:val="center"/>
            <w:hideMark/>
          </w:tcPr>
          <w:p w:rsidR="00815235" w:rsidRPr="00617833" w:rsidRDefault="00815235" w:rsidP="00815235">
            <w:pPr>
              <w:jc w:val="center"/>
              <w:rPr>
                <w:rFonts w:ascii="Verdana" w:hAnsi="Verdana" w:cs="Calibri"/>
                <w:color w:val="000000"/>
                <w:sz w:val="20"/>
                <w:szCs w:val="20"/>
              </w:rPr>
            </w:pPr>
            <w:r w:rsidRPr="00617833">
              <w:rPr>
                <w:rFonts w:ascii="Verdana" w:hAnsi="Verdana" w:cs="Calibri"/>
                <w:color w:val="000000"/>
                <w:sz w:val="20"/>
                <w:szCs w:val="20"/>
              </w:rPr>
              <w:t>7,4</w:t>
            </w:r>
          </w:p>
        </w:tc>
      </w:tr>
    </w:tbl>
    <w:p w:rsidR="00F9053C" w:rsidRDefault="00F9053C" w:rsidP="00883E44">
      <w:pPr>
        <w:pStyle w:val="Textoindependiente"/>
        <w:spacing w:before="120" w:after="120"/>
        <w:ind w:firstLine="357"/>
        <w:rPr>
          <w:rFonts w:ascii="Verdana" w:hAnsi="Verdana"/>
          <w:sz w:val="20"/>
          <w:highlight w:val="green"/>
        </w:rPr>
      </w:pPr>
    </w:p>
    <w:p w:rsidR="00F9053C" w:rsidRPr="00F9053C" w:rsidRDefault="00F9053C" w:rsidP="008A3FC4">
      <w:pPr>
        <w:pStyle w:val="Textoindependiente"/>
        <w:spacing w:before="120" w:after="120"/>
        <w:ind w:firstLine="357"/>
        <w:rPr>
          <w:rFonts w:ascii="Verdana" w:hAnsi="Verdana"/>
          <w:sz w:val="20"/>
        </w:rPr>
      </w:pPr>
      <w:r w:rsidRPr="00DB39D2">
        <w:rPr>
          <w:rFonts w:ascii="Verdana" w:hAnsi="Verdana"/>
          <w:sz w:val="20"/>
        </w:rPr>
        <w:t>Por segundo año consecutivo, las duraciones de los ordinarios han disminuido; la raz</w:t>
      </w:r>
      <w:r w:rsidR="00DB39D2" w:rsidRPr="00DB39D2">
        <w:rPr>
          <w:rFonts w:ascii="Verdana" w:hAnsi="Verdana"/>
          <w:sz w:val="20"/>
        </w:rPr>
        <w:t>ó</w:t>
      </w:r>
      <w:r w:rsidRPr="00DB39D2">
        <w:rPr>
          <w:rFonts w:ascii="Verdana" w:hAnsi="Verdana"/>
          <w:sz w:val="20"/>
        </w:rPr>
        <w:t>n está en la natural</w:t>
      </w:r>
      <w:r w:rsidR="00DB39D2" w:rsidRPr="00DB39D2">
        <w:rPr>
          <w:rFonts w:ascii="Verdana" w:hAnsi="Verdana"/>
          <w:sz w:val="20"/>
        </w:rPr>
        <w:t>e</w:t>
      </w:r>
      <w:r w:rsidRPr="00DB39D2">
        <w:rPr>
          <w:rFonts w:ascii="Verdana" w:hAnsi="Verdana"/>
          <w:sz w:val="20"/>
        </w:rPr>
        <w:t xml:space="preserve">za de muchos de estos procedimientos, que son reclamaciones surgidas sobre contratos bancarios; se trata de acciones muy similares entre ellas, y que en muchos casos se reducen al estudio de cuestiones jurídicas, que no requieren practicar más pruebas que la documental, lo que hace que el juzgador declare el pleito visto para sentencia </w:t>
      </w:r>
      <w:r w:rsidR="00DB39D2" w:rsidRPr="00DB39D2">
        <w:rPr>
          <w:rFonts w:ascii="Verdana" w:hAnsi="Verdana"/>
          <w:sz w:val="20"/>
        </w:rPr>
        <w:t>tras</w:t>
      </w:r>
      <w:r w:rsidRPr="00DB39D2">
        <w:rPr>
          <w:rFonts w:ascii="Verdana" w:hAnsi="Verdana"/>
          <w:sz w:val="20"/>
        </w:rPr>
        <w:t xml:space="preserve"> la celebración de la audiencia previa y sin necesidad de celebrar juicio. También por segundo año consecutivo los juicios verbales y los procesos monitorios aumentan sus duraciones, como consecuencia de la reforma operada por la Ley 428/2015 de reforma de la Ley de Enjuiciamiento Civil : para los juicios verbales introdujo la contestación escrita a la demanda, y el aumento de algunos plazos procesales, y para los procesos monitorios</w:t>
      </w:r>
      <w:r w:rsidR="008A3FC4" w:rsidRPr="00DB39D2">
        <w:rPr>
          <w:rFonts w:ascii="Verdana" w:hAnsi="Verdana"/>
          <w:sz w:val="20"/>
        </w:rPr>
        <w:t>, la introducción del trámite de examen preceptivo por el juez de la posible existencia de cláusulas abusivas siempre que a reclamación de la deuda se funde en un contrato entre un empresario o profesional y un consumidor o usuario</w:t>
      </w:r>
    </w:p>
    <w:p w:rsidR="00F9053C" w:rsidRPr="00750DCB" w:rsidRDefault="00F9053C" w:rsidP="00883E44">
      <w:pPr>
        <w:pStyle w:val="Textoindependiente"/>
        <w:spacing w:before="120" w:after="120"/>
        <w:ind w:firstLine="357"/>
        <w:rPr>
          <w:rFonts w:ascii="Verdana" w:hAnsi="Verdana"/>
          <w:sz w:val="20"/>
          <w:highlight w:val="green"/>
        </w:rPr>
      </w:pPr>
    </w:p>
    <w:p w:rsidR="003520B3" w:rsidRPr="00617833" w:rsidRDefault="00F30BEC" w:rsidP="00F30BEC">
      <w:pPr>
        <w:pStyle w:val="Textoindependiente"/>
        <w:spacing w:before="120" w:after="120"/>
        <w:ind w:firstLine="357"/>
        <w:rPr>
          <w:rFonts w:ascii="Verdana" w:hAnsi="Verdana"/>
          <w:sz w:val="20"/>
        </w:rPr>
      </w:pPr>
      <w:r w:rsidRPr="00617833">
        <w:rPr>
          <w:rFonts w:ascii="Verdana" w:hAnsi="Verdana"/>
          <w:sz w:val="20"/>
        </w:rPr>
        <w:t>La mayor duración media de los juicios ordinarios se da en Murcia, 1</w:t>
      </w:r>
      <w:r w:rsidR="003520B3" w:rsidRPr="00617833">
        <w:rPr>
          <w:rFonts w:ascii="Verdana" w:hAnsi="Verdana"/>
          <w:sz w:val="20"/>
        </w:rPr>
        <w:t>7</w:t>
      </w:r>
      <w:r w:rsidRPr="00617833">
        <w:rPr>
          <w:rFonts w:ascii="Verdana" w:hAnsi="Verdana"/>
          <w:sz w:val="20"/>
        </w:rPr>
        <w:t>,</w:t>
      </w:r>
      <w:r w:rsidR="003520B3" w:rsidRPr="00617833">
        <w:rPr>
          <w:rFonts w:ascii="Verdana" w:hAnsi="Verdana"/>
          <w:sz w:val="20"/>
        </w:rPr>
        <w:t>2</w:t>
      </w:r>
      <w:r w:rsidRPr="00617833">
        <w:rPr>
          <w:rFonts w:ascii="Verdana" w:hAnsi="Verdana"/>
          <w:sz w:val="20"/>
        </w:rPr>
        <w:t xml:space="preserve"> meses; </w:t>
      </w:r>
      <w:r w:rsidRPr="00617833">
        <w:rPr>
          <w:rFonts w:ascii="Verdana" w:hAnsi="Verdana"/>
          <w:sz w:val="20"/>
          <w:szCs w:val="20"/>
          <w:lang w:val="es-ES_tradnl"/>
        </w:rPr>
        <w:t>Castilla-La Mancha,</w:t>
      </w:r>
      <w:r w:rsidRPr="00617833">
        <w:rPr>
          <w:rFonts w:ascii="Verdana" w:hAnsi="Verdana"/>
          <w:sz w:val="20"/>
        </w:rPr>
        <w:t xml:space="preserve"> 1</w:t>
      </w:r>
      <w:r w:rsidR="003520B3" w:rsidRPr="00617833">
        <w:rPr>
          <w:rFonts w:ascii="Verdana" w:hAnsi="Verdana"/>
          <w:sz w:val="20"/>
        </w:rPr>
        <w:t>2</w:t>
      </w:r>
      <w:r w:rsidRPr="00617833">
        <w:rPr>
          <w:rFonts w:ascii="Verdana" w:hAnsi="Verdana"/>
          <w:sz w:val="20"/>
        </w:rPr>
        <w:t>,</w:t>
      </w:r>
      <w:r w:rsidR="003520B3" w:rsidRPr="00617833">
        <w:rPr>
          <w:rFonts w:ascii="Verdana" w:hAnsi="Verdana"/>
          <w:sz w:val="20"/>
        </w:rPr>
        <w:t>6</w:t>
      </w:r>
      <w:r w:rsidRPr="00617833">
        <w:rPr>
          <w:rFonts w:ascii="Verdana" w:hAnsi="Verdana"/>
          <w:sz w:val="20"/>
        </w:rPr>
        <w:t>; Andalucía</w:t>
      </w:r>
      <w:r w:rsidR="003520B3" w:rsidRPr="00617833">
        <w:rPr>
          <w:rFonts w:ascii="Verdana" w:hAnsi="Verdana"/>
          <w:sz w:val="20"/>
        </w:rPr>
        <w:t xml:space="preserve">, 12,2; </w:t>
      </w:r>
      <w:r w:rsidRPr="00617833">
        <w:rPr>
          <w:rFonts w:ascii="Verdana" w:hAnsi="Verdana"/>
          <w:sz w:val="20"/>
        </w:rPr>
        <w:t>Cataluña</w:t>
      </w:r>
      <w:r w:rsidR="003520B3" w:rsidRPr="00617833">
        <w:rPr>
          <w:rFonts w:ascii="Verdana" w:hAnsi="Verdana"/>
          <w:sz w:val="20"/>
        </w:rPr>
        <w:t xml:space="preserve"> y Madrid</w:t>
      </w:r>
      <w:r w:rsidRPr="00617833">
        <w:rPr>
          <w:rFonts w:ascii="Verdana" w:hAnsi="Verdana"/>
          <w:sz w:val="20"/>
        </w:rPr>
        <w:t>, 12,</w:t>
      </w:r>
      <w:r w:rsidR="003520B3" w:rsidRPr="00617833">
        <w:rPr>
          <w:rFonts w:ascii="Verdana" w:hAnsi="Verdana"/>
          <w:sz w:val="20"/>
        </w:rPr>
        <w:t>1</w:t>
      </w:r>
      <w:r w:rsidRPr="00617833">
        <w:rPr>
          <w:rFonts w:ascii="Verdana" w:hAnsi="Verdana"/>
          <w:sz w:val="20"/>
        </w:rPr>
        <w:t>; C. Valenciana, 1</w:t>
      </w:r>
      <w:r w:rsidR="003520B3" w:rsidRPr="00617833">
        <w:rPr>
          <w:rFonts w:ascii="Verdana" w:hAnsi="Verdana"/>
          <w:sz w:val="20"/>
        </w:rPr>
        <w:t>1</w:t>
      </w:r>
      <w:r w:rsidRPr="00617833">
        <w:rPr>
          <w:rFonts w:ascii="Verdana" w:hAnsi="Verdana"/>
          <w:sz w:val="20"/>
        </w:rPr>
        <w:t>,</w:t>
      </w:r>
      <w:r w:rsidR="003520B3" w:rsidRPr="00617833">
        <w:rPr>
          <w:rFonts w:ascii="Verdana" w:hAnsi="Verdana"/>
          <w:sz w:val="20"/>
        </w:rPr>
        <w:t>3</w:t>
      </w:r>
      <w:r w:rsidRPr="00617833">
        <w:rPr>
          <w:rFonts w:ascii="Verdana" w:hAnsi="Verdana"/>
          <w:sz w:val="20"/>
        </w:rPr>
        <w:t xml:space="preserve"> meses.  Las más cortas en </w:t>
      </w:r>
      <w:r w:rsidR="003520B3" w:rsidRPr="00617833">
        <w:rPr>
          <w:rFonts w:ascii="Verdana" w:hAnsi="Verdana"/>
          <w:sz w:val="20"/>
        </w:rPr>
        <w:t>Aragón y Navarra, 6,7; y Extremadura, 6,7 meses.</w:t>
      </w:r>
    </w:p>
    <w:p w:rsidR="00AE23F0" w:rsidRPr="00617833" w:rsidRDefault="00ED21BC" w:rsidP="00C91A96">
      <w:pPr>
        <w:pStyle w:val="Textoindependiente"/>
        <w:spacing w:before="120" w:after="120"/>
        <w:ind w:firstLine="357"/>
        <w:rPr>
          <w:rFonts w:ascii="Verdana" w:hAnsi="Verdana"/>
          <w:color w:val="FF0000"/>
          <w:sz w:val="20"/>
        </w:rPr>
      </w:pPr>
      <w:r w:rsidRPr="00617833">
        <w:rPr>
          <w:rFonts w:ascii="Verdana" w:hAnsi="Verdana"/>
          <w:sz w:val="20"/>
        </w:rPr>
        <w:t xml:space="preserve">La duración media más alta para los verbales se ha dado en </w:t>
      </w:r>
      <w:r w:rsidR="0018371C" w:rsidRPr="00617833">
        <w:rPr>
          <w:rFonts w:ascii="Verdana" w:hAnsi="Verdana"/>
          <w:sz w:val="20"/>
        </w:rPr>
        <w:t>Murcia</w:t>
      </w:r>
      <w:r w:rsidR="00C90179" w:rsidRPr="00617833">
        <w:rPr>
          <w:rFonts w:ascii="Verdana" w:hAnsi="Verdana"/>
          <w:sz w:val="20"/>
        </w:rPr>
        <w:t>, 10</w:t>
      </w:r>
      <w:r w:rsidR="002252F2" w:rsidRPr="00617833">
        <w:rPr>
          <w:rFonts w:ascii="Verdana" w:hAnsi="Verdana"/>
          <w:sz w:val="20"/>
        </w:rPr>
        <w:t>,1</w:t>
      </w:r>
      <w:r w:rsidR="00A40899" w:rsidRPr="00617833">
        <w:rPr>
          <w:rFonts w:ascii="Verdana" w:hAnsi="Verdana"/>
          <w:sz w:val="20"/>
        </w:rPr>
        <w:t>;</w:t>
      </w:r>
      <w:r w:rsidRPr="00617833">
        <w:rPr>
          <w:rFonts w:ascii="Verdana" w:hAnsi="Verdana"/>
          <w:sz w:val="20"/>
        </w:rPr>
        <w:t xml:space="preserve"> seguida de </w:t>
      </w:r>
      <w:r w:rsidR="00731CC9" w:rsidRPr="00617833">
        <w:rPr>
          <w:rFonts w:ascii="Verdana" w:hAnsi="Verdana"/>
          <w:sz w:val="20"/>
          <w:szCs w:val="20"/>
          <w:lang w:val="es-ES_tradnl"/>
        </w:rPr>
        <w:t>Castill</w:t>
      </w:r>
      <w:r w:rsidR="00E91590" w:rsidRPr="00617833">
        <w:rPr>
          <w:rFonts w:ascii="Verdana" w:hAnsi="Verdana"/>
          <w:sz w:val="20"/>
          <w:szCs w:val="20"/>
          <w:lang w:val="es-ES_tradnl"/>
        </w:rPr>
        <w:t>a</w:t>
      </w:r>
      <w:r w:rsidR="00C90179" w:rsidRPr="00617833">
        <w:rPr>
          <w:rFonts w:ascii="Verdana" w:hAnsi="Verdana"/>
          <w:sz w:val="20"/>
          <w:szCs w:val="20"/>
          <w:lang w:val="es-ES_tradnl"/>
        </w:rPr>
        <w:t xml:space="preserve"> </w:t>
      </w:r>
      <w:r w:rsidR="00A40899" w:rsidRPr="00617833">
        <w:rPr>
          <w:rFonts w:ascii="Verdana" w:hAnsi="Verdana"/>
          <w:sz w:val="20"/>
          <w:szCs w:val="20"/>
          <w:lang w:val="es-ES_tradnl"/>
        </w:rPr>
        <w:t>la Mancha</w:t>
      </w:r>
      <w:r w:rsidR="00C90179" w:rsidRPr="00617833">
        <w:rPr>
          <w:rFonts w:ascii="Verdana" w:hAnsi="Verdana"/>
          <w:sz w:val="20"/>
          <w:szCs w:val="20"/>
          <w:lang w:val="es-ES_tradnl"/>
        </w:rPr>
        <w:t>, 8,</w:t>
      </w:r>
      <w:r w:rsidR="002252F2" w:rsidRPr="00617833">
        <w:rPr>
          <w:rFonts w:ascii="Verdana" w:hAnsi="Verdana"/>
          <w:sz w:val="20"/>
          <w:szCs w:val="20"/>
          <w:lang w:val="es-ES_tradnl"/>
        </w:rPr>
        <w:t>9</w:t>
      </w:r>
      <w:r w:rsidR="00C90179" w:rsidRPr="00617833">
        <w:rPr>
          <w:rFonts w:ascii="Verdana" w:hAnsi="Verdana"/>
          <w:sz w:val="20"/>
          <w:szCs w:val="20"/>
          <w:lang w:val="es-ES_tradnl"/>
        </w:rPr>
        <w:t xml:space="preserve">; </w:t>
      </w:r>
      <w:r w:rsidR="00A40899" w:rsidRPr="00617833">
        <w:rPr>
          <w:rFonts w:ascii="Verdana" w:hAnsi="Verdana"/>
          <w:sz w:val="20"/>
        </w:rPr>
        <w:t xml:space="preserve"> </w:t>
      </w:r>
      <w:r w:rsidR="00C90179" w:rsidRPr="00617833">
        <w:rPr>
          <w:rFonts w:ascii="Verdana" w:hAnsi="Verdana"/>
          <w:sz w:val="20"/>
        </w:rPr>
        <w:t xml:space="preserve">Andalucía, </w:t>
      </w:r>
      <w:r w:rsidR="002252F2" w:rsidRPr="00617833">
        <w:rPr>
          <w:rFonts w:ascii="Verdana" w:hAnsi="Verdana"/>
          <w:sz w:val="20"/>
        </w:rPr>
        <w:t>8</w:t>
      </w:r>
      <w:r w:rsidR="00C90179" w:rsidRPr="00617833">
        <w:rPr>
          <w:rFonts w:ascii="Verdana" w:hAnsi="Verdana"/>
          <w:sz w:val="20"/>
        </w:rPr>
        <w:t xml:space="preserve">; </w:t>
      </w:r>
      <w:r w:rsidR="002252F2" w:rsidRPr="00617833">
        <w:rPr>
          <w:rFonts w:ascii="Verdana" w:hAnsi="Verdana"/>
          <w:sz w:val="20"/>
        </w:rPr>
        <w:t xml:space="preserve">C. Valenciana, 7,4; </w:t>
      </w:r>
      <w:r w:rsidR="00A40899" w:rsidRPr="00617833">
        <w:rPr>
          <w:rFonts w:ascii="Verdana" w:hAnsi="Verdana"/>
          <w:sz w:val="20"/>
        </w:rPr>
        <w:t xml:space="preserve">y </w:t>
      </w:r>
      <w:r w:rsidR="002252F2" w:rsidRPr="00617833">
        <w:rPr>
          <w:rFonts w:ascii="Verdana" w:hAnsi="Verdana"/>
          <w:sz w:val="20"/>
        </w:rPr>
        <w:t>Madrid</w:t>
      </w:r>
      <w:r w:rsidR="00C90179" w:rsidRPr="00617833">
        <w:rPr>
          <w:rFonts w:ascii="Verdana" w:hAnsi="Verdana"/>
          <w:sz w:val="20"/>
        </w:rPr>
        <w:t xml:space="preserve">, </w:t>
      </w:r>
      <w:r w:rsidR="002252F2" w:rsidRPr="00617833">
        <w:rPr>
          <w:rFonts w:ascii="Verdana" w:hAnsi="Verdana"/>
          <w:sz w:val="20"/>
        </w:rPr>
        <w:t>7</w:t>
      </w:r>
      <w:r w:rsidR="00C90179" w:rsidRPr="00617833">
        <w:rPr>
          <w:rFonts w:ascii="Verdana" w:hAnsi="Verdana"/>
          <w:sz w:val="20"/>
        </w:rPr>
        <w:t>,</w:t>
      </w:r>
      <w:r w:rsidR="002252F2" w:rsidRPr="00617833">
        <w:rPr>
          <w:rFonts w:ascii="Verdana" w:hAnsi="Verdana"/>
          <w:sz w:val="20"/>
        </w:rPr>
        <w:t>3</w:t>
      </w:r>
      <w:r w:rsidR="00C90179" w:rsidRPr="00617833">
        <w:rPr>
          <w:rFonts w:ascii="Verdana" w:hAnsi="Verdana"/>
          <w:sz w:val="20"/>
        </w:rPr>
        <w:t>.</w:t>
      </w:r>
      <w:r w:rsidRPr="00617833">
        <w:rPr>
          <w:rFonts w:ascii="Verdana" w:hAnsi="Verdana"/>
          <w:sz w:val="20"/>
        </w:rPr>
        <w:t xml:space="preserve"> Las menores en Navarra, 3,</w:t>
      </w:r>
      <w:r w:rsidR="002252F2" w:rsidRPr="00617833">
        <w:rPr>
          <w:rFonts w:ascii="Verdana" w:hAnsi="Verdana"/>
          <w:sz w:val="20"/>
        </w:rPr>
        <w:t>8</w:t>
      </w:r>
      <w:r w:rsidRPr="00617833">
        <w:rPr>
          <w:rFonts w:ascii="Verdana" w:hAnsi="Verdana"/>
          <w:sz w:val="20"/>
        </w:rPr>
        <w:t xml:space="preserve"> meses</w:t>
      </w:r>
      <w:r w:rsidR="00C90179" w:rsidRPr="00617833">
        <w:rPr>
          <w:rFonts w:ascii="Verdana" w:hAnsi="Verdana"/>
          <w:sz w:val="20"/>
        </w:rPr>
        <w:t xml:space="preserve">; y </w:t>
      </w:r>
      <w:r w:rsidR="002252F2" w:rsidRPr="00617833">
        <w:rPr>
          <w:rFonts w:ascii="Verdana" w:hAnsi="Verdana"/>
          <w:sz w:val="20"/>
        </w:rPr>
        <w:t>Asturias</w:t>
      </w:r>
      <w:r w:rsidR="00C90179" w:rsidRPr="00617833">
        <w:rPr>
          <w:rFonts w:ascii="Verdana" w:hAnsi="Verdana"/>
          <w:sz w:val="20"/>
        </w:rPr>
        <w:t xml:space="preserve">, </w:t>
      </w:r>
      <w:r w:rsidR="002252F2" w:rsidRPr="00617833">
        <w:rPr>
          <w:rFonts w:ascii="Verdana" w:hAnsi="Verdana"/>
          <w:sz w:val="20"/>
        </w:rPr>
        <w:t>4</w:t>
      </w:r>
      <w:r w:rsidR="00C90179" w:rsidRPr="00617833">
        <w:rPr>
          <w:rFonts w:ascii="Verdana" w:hAnsi="Verdana"/>
          <w:sz w:val="20"/>
        </w:rPr>
        <w:t>,</w:t>
      </w:r>
      <w:r w:rsidR="002252F2" w:rsidRPr="00617833">
        <w:rPr>
          <w:rFonts w:ascii="Verdana" w:hAnsi="Verdana"/>
          <w:sz w:val="20"/>
        </w:rPr>
        <w:t>2</w:t>
      </w:r>
      <w:r w:rsidR="00C90179" w:rsidRPr="00617833">
        <w:rPr>
          <w:rFonts w:ascii="Verdana" w:hAnsi="Verdana"/>
          <w:sz w:val="20"/>
        </w:rPr>
        <w:t>.</w:t>
      </w:r>
      <w:r w:rsidRPr="00617833">
        <w:rPr>
          <w:rFonts w:ascii="Verdana" w:hAnsi="Verdana"/>
          <w:sz w:val="20"/>
        </w:rPr>
        <w:t xml:space="preserve"> </w:t>
      </w:r>
      <w:r w:rsidR="00C90179" w:rsidRPr="00617833">
        <w:rPr>
          <w:rFonts w:ascii="Verdana" w:hAnsi="Verdana"/>
          <w:sz w:val="20"/>
        </w:rPr>
        <w:t xml:space="preserve">También </w:t>
      </w:r>
      <w:r w:rsidR="002252F2" w:rsidRPr="00617833">
        <w:rPr>
          <w:rFonts w:ascii="Verdana" w:hAnsi="Verdana"/>
          <w:sz w:val="20"/>
        </w:rPr>
        <w:t>Murcia</w:t>
      </w:r>
      <w:r w:rsidR="00A40899" w:rsidRPr="00617833">
        <w:rPr>
          <w:rFonts w:ascii="Verdana" w:hAnsi="Verdana"/>
          <w:sz w:val="20"/>
        </w:rPr>
        <w:t xml:space="preserve"> presenta la duración media estimada más alta para</w:t>
      </w:r>
      <w:r w:rsidR="00624D48" w:rsidRPr="00617833">
        <w:rPr>
          <w:rFonts w:ascii="Verdana" w:hAnsi="Verdana"/>
          <w:sz w:val="20"/>
        </w:rPr>
        <w:t xml:space="preserve"> los procedimientos monitorios</w:t>
      </w:r>
      <w:r w:rsidR="00A40899" w:rsidRPr="00617833">
        <w:rPr>
          <w:rFonts w:ascii="Verdana" w:hAnsi="Verdana"/>
          <w:sz w:val="20"/>
        </w:rPr>
        <w:t>,</w:t>
      </w:r>
      <w:r w:rsidR="00624D48" w:rsidRPr="00617833">
        <w:rPr>
          <w:rFonts w:ascii="Verdana" w:hAnsi="Verdana"/>
          <w:sz w:val="20"/>
        </w:rPr>
        <w:t xml:space="preserve"> </w:t>
      </w:r>
      <w:r w:rsidRPr="00617833">
        <w:rPr>
          <w:rFonts w:ascii="Verdana" w:hAnsi="Verdana"/>
          <w:sz w:val="20"/>
        </w:rPr>
        <w:t>9</w:t>
      </w:r>
      <w:r w:rsidR="008D7E7E" w:rsidRPr="00617833">
        <w:rPr>
          <w:rFonts w:ascii="Verdana" w:hAnsi="Verdana"/>
          <w:sz w:val="20"/>
        </w:rPr>
        <w:t>,</w:t>
      </w:r>
      <w:r w:rsidR="002252F2" w:rsidRPr="00617833">
        <w:rPr>
          <w:rFonts w:ascii="Verdana" w:hAnsi="Verdana"/>
          <w:sz w:val="20"/>
        </w:rPr>
        <w:t>5</w:t>
      </w:r>
      <w:r w:rsidR="00A40899" w:rsidRPr="00617833">
        <w:rPr>
          <w:rFonts w:ascii="Verdana" w:hAnsi="Verdana"/>
          <w:sz w:val="20"/>
        </w:rPr>
        <w:t>;</w:t>
      </w:r>
      <w:r w:rsidR="00E34A14" w:rsidRPr="00617833">
        <w:rPr>
          <w:rFonts w:ascii="Verdana" w:hAnsi="Verdana"/>
          <w:sz w:val="20"/>
        </w:rPr>
        <w:t xml:space="preserve"> </w:t>
      </w:r>
      <w:r w:rsidR="00A40899" w:rsidRPr="00617833">
        <w:rPr>
          <w:rFonts w:ascii="Verdana" w:hAnsi="Verdana"/>
          <w:sz w:val="20"/>
        </w:rPr>
        <w:t xml:space="preserve">seguida de </w:t>
      </w:r>
      <w:r w:rsidR="00731CC9" w:rsidRPr="00617833">
        <w:rPr>
          <w:rFonts w:ascii="Verdana" w:hAnsi="Verdana"/>
          <w:sz w:val="20"/>
          <w:szCs w:val="20"/>
          <w:lang w:val="es-ES_tradnl"/>
        </w:rPr>
        <w:t>Castilla-L</w:t>
      </w:r>
      <w:r w:rsidR="00A40899" w:rsidRPr="00617833">
        <w:rPr>
          <w:rFonts w:ascii="Verdana" w:hAnsi="Verdana"/>
          <w:sz w:val="20"/>
          <w:szCs w:val="20"/>
          <w:lang w:val="es-ES_tradnl"/>
        </w:rPr>
        <w:t>a Mancha,</w:t>
      </w:r>
      <w:r w:rsidR="00A40899" w:rsidRPr="00617833">
        <w:rPr>
          <w:rFonts w:ascii="Verdana" w:hAnsi="Verdana"/>
          <w:sz w:val="20"/>
        </w:rPr>
        <w:t xml:space="preserve"> </w:t>
      </w:r>
      <w:r w:rsidR="00C90179" w:rsidRPr="00617833">
        <w:rPr>
          <w:rFonts w:ascii="Verdana" w:hAnsi="Verdana"/>
          <w:sz w:val="20"/>
        </w:rPr>
        <w:t>7</w:t>
      </w:r>
      <w:r w:rsidR="00A40899" w:rsidRPr="00617833">
        <w:rPr>
          <w:rFonts w:ascii="Verdana" w:hAnsi="Verdana"/>
          <w:sz w:val="20"/>
        </w:rPr>
        <w:t>,</w:t>
      </w:r>
      <w:r w:rsidR="002252F2" w:rsidRPr="00617833">
        <w:rPr>
          <w:rFonts w:ascii="Verdana" w:hAnsi="Verdana"/>
          <w:sz w:val="20"/>
        </w:rPr>
        <w:t>6</w:t>
      </w:r>
      <w:r w:rsidR="00A40899" w:rsidRPr="00617833">
        <w:rPr>
          <w:rFonts w:ascii="Verdana" w:hAnsi="Verdana"/>
          <w:sz w:val="20"/>
        </w:rPr>
        <w:t xml:space="preserve">; </w:t>
      </w:r>
      <w:r w:rsidR="002252F2" w:rsidRPr="00617833">
        <w:rPr>
          <w:rFonts w:ascii="Verdana" w:hAnsi="Verdana"/>
          <w:sz w:val="20"/>
        </w:rPr>
        <w:t xml:space="preserve">Andalucía 7,5; </w:t>
      </w:r>
      <w:r w:rsidR="00C90179" w:rsidRPr="00617833">
        <w:rPr>
          <w:rFonts w:ascii="Verdana" w:hAnsi="Verdana"/>
          <w:sz w:val="20"/>
        </w:rPr>
        <w:t>e Illes Balears, 6,3.</w:t>
      </w:r>
      <w:r w:rsidR="001A0306" w:rsidRPr="00617833">
        <w:rPr>
          <w:rFonts w:ascii="Verdana" w:hAnsi="Verdana"/>
          <w:sz w:val="20"/>
        </w:rPr>
        <w:t xml:space="preserve"> L</w:t>
      </w:r>
      <w:r w:rsidR="001B4EE3" w:rsidRPr="00617833">
        <w:rPr>
          <w:rFonts w:ascii="Verdana" w:hAnsi="Verdana"/>
          <w:sz w:val="20"/>
        </w:rPr>
        <w:t>a</w:t>
      </w:r>
      <w:r w:rsidR="00A40899" w:rsidRPr="00617833">
        <w:rPr>
          <w:rFonts w:ascii="Verdana" w:hAnsi="Verdana"/>
          <w:sz w:val="20"/>
        </w:rPr>
        <w:t>s</w:t>
      </w:r>
      <w:r w:rsidR="001B4EE3" w:rsidRPr="00617833">
        <w:rPr>
          <w:rFonts w:ascii="Verdana" w:hAnsi="Verdana"/>
          <w:sz w:val="20"/>
        </w:rPr>
        <w:t xml:space="preserve"> </w:t>
      </w:r>
      <w:r w:rsidR="001A0306" w:rsidRPr="00617833">
        <w:rPr>
          <w:rFonts w:ascii="Verdana" w:hAnsi="Verdana"/>
          <w:sz w:val="20"/>
        </w:rPr>
        <w:t xml:space="preserve">duraciones </w:t>
      </w:r>
      <w:r w:rsidR="001B4EE3" w:rsidRPr="00617833">
        <w:rPr>
          <w:rFonts w:ascii="Verdana" w:hAnsi="Verdana"/>
          <w:sz w:val="20"/>
        </w:rPr>
        <w:t>más corta</w:t>
      </w:r>
      <w:r w:rsidR="00A40899" w:rsidRPr="00617833">
        <w:rPr>
          <w:rFonts w:ascii="Verdana" w:hAnsi="Verdana"/>
          <w:sz w:val="20"/>
        </w:rPr>
        <w:t>s</w:t>
      </w:r>
      <w:r w:rsidR="001B4EE3" w:rsidRPr="00617833">
        <w:rPr>
          <w:rFonts w:ascii="Verdana" w:hAnsi="Verdana"/>
          <w:sz w:val="20"/>
        </w:rPr>
        <w:t xml:space="preserve"> se da</w:t>
      </w:r>
      <w:r w:rsidR="00A40899" w:rsidRPr="00617833">
        <w:rPr>
          <w:rFonts w:ascii="Verdana" w:hAnsi="Verdana"/>
          <w:sz w:val="20"/>
        </w:rPr>
        <w:t>n</w:t>
      </w:r>
      <w:r w:rsidR="001B4EE3" w:rsidRPr="00617833">
        <w:rPr>
          <w:rFonts w:ascii="Verdana" w:hAnsi="Verdana"/>
          <w:sz w:val="20"/>
        </w:rPr>
        <w:t xml:space="preserve"> en </w:t>
      </w:r>
      <w:r w:rsidR="001A0306" w:rsidRPr="00617833">
        <w:rPr>
          <w:rFonts w:ascii="Verdana" w:hAnsi="Verdana"/>
          <w:sz w:val="20"/>
        </w:rPr>
        <w:t>Navarra, 2,</w:t>
      </w:r>
      <w:r w:rsidR="002252F2" w:rsidRPr="00617833">
        <w:rPr>
          <w:rFonts w:ascii="Verdana" w:hAnsi="Verdana"/>
          <w:sz w:val="20"/>
        </w:rPr>
        <w:t>9</w:t>
      </w:r>
      <w:r w:rsidR="001A0306" w:rsidRPr="00617833">
        <w:rPr>
          <w:rFonts w:ascii="Verdana" w:hAnsi="Verdana"/>
          <w:sz w:val="20"/>
        </w:rPr>
        <w:t xml:space="preserve">; </w:t>
      </w:r>
      <w:r w:rsidR="002252F2" w:rsidRPr="00617833">
        <w:rPr>
          <w:rFonts w:ascii="Verdana" w:hAnsi="Verdana"/>
          <w:sz w:val="20"/>
        </w:rPr>
        <w:t xml:space="preserve">Asturias, 3,3; y </w:t>
      </w:r>
      <w:r w:rsidR="00A40899" w:rsidRPr="00617833">
        <w:rPr>
          <w:rFonts w:ascii="Verdana" w:hAnsi="Verdana"/>
          <w:sz w:val="20"/>
        </w:rPr>
        <w:t xml:space="preserve">País </w:t>
      </w:r>
      <w:r w:rsidR="00D9649F" w:rsidRPr="00617833">
        <w:rPr>
          <w:rFonts w:ascii="Verdana" w:hAnsi="Verdana"/>
          <w:sz w:val="20"/>
        </w:rPr>
        <w:t>V</w:t>
      </w:r>
      <w:r w:rsidR="00A40899" w:rsidRPr="00617833">
        <w:rPr>
          <w:rFonts w:ascii="Verdana" w:hAnsi="Verdana"/>
          <w:sz w:val="20"/>
        </w:rPr>
        <w:t xml:space="preserve">asco, </w:t>
      </w:r>
      <w:r w:rsidR="001A0306" w:rsidRPr="00617833">
        <w:rPr>
          <w:rFonts w:ascii="Verdana" w:hAnsi="Verdana"/>
          <w:sz w:val="20"/>
        </w:rPr>
        <w:t>3</w:t>
      </w:r>
      <w:r w:rsidR="00A40899" w:rsidRPr="00617833">
        <w:rPr>
          <w:rFonts w:ascii="Verdana" w:hAnsi="Verdana"/>
          <w:sz w:val="20"/>
        </w:rPr>
        <w:t>,</w:t>
      </w:r>
      <w:r w:rsidR="006B79D9" w:rsidRPr="00617833">
        <w:rPr>
          <w:rFonts w:ascii="Verdana" w:hAnsi="Verdana"/>
          <w:sz w:val="20"/>
        </w:rPr>
        <w:t>4</w:t>
      </w:r>
      <w:r w:rsidR="00A40899" w:rsidRPr="00617833">
        <w:rPr>
          <w:rFonts w:ascii="Verdana" w:hAnsi="Verdana"/>
          <w:sz w:val="20"/>
        </w:rPr>
        <w:t xml:space="preserve"> meses</w:t>
      </w:r>
      <w:r w:rsidR="00A40899" w:rsidRPr="00617833">
        <w:rPr>
          <w:rFonts w:ascii="Verdana" w:hAnsi="Verdana"/>
          <w:color w:val="FF0000"/>
          <w:sz w:val="20"/>
        </w:rPr>
        <w:t>.</w:t>
      </w:r>
      <w:r w:rsidR="00C91A96" w:rsidRPr="00617833">
        <w:rPr>
          <w:rFonts w:ascii="Verdana" w:hAnsi="Verdana"/>
          <w:color w:val="FF0000"/>
          <w:sz w:val="20"/>
        </w:rPr>
        <w:t xml:space="preserve"> </w:t>
      </w:r>
    </w:p>
    <w:p w:rsidR="006B79D9" w:rsidRPr="00617833" w:rsidRDefault="006B79D9" w:rsidP="00C91A96">
      <w:pPr>
        <w:pStyle w:val="Textoindependiente"/>
        <w:spacing w:before="120" w:after="120"/>
        <w:ind w:firstLine="357"/>
        <w:rPr>
          <w:rFonts w:ascii="Verdana" w:hAnsi="Verdana"/>
          <w:sz w:val="20"/>
        </w:rPr>
      </w:pPr>
      <w:r w:rsidRPr="00617833">
        <w:rPr>
          <w:rFonts w:ascii="Verdana" w:hAnsi="Verdana"/>
          <w:sz w:val="20"/>
        </w:rPr>
        <w:t xml:space="preserve">En los juzgados de primera instancia y de primera instancia e instrucción, los concursos de personas físicas han tenido una duración media </w:t>
      </w:r>
      <w:r w:rsidR="00DE0D53" w:rsidRPr="00617833">
        <w:rPr>
          <w:rFonts w:ascii="Verdana" w:hAnsi="Verdana"/>
          <w:sz w:val="20"/>
        </w:rPr>
        <w:t>estimada</w:t>
      </w:r>
      <w:r w:rsidRPr="00617833">
        <w:rPr>
          <w:rFonts w:ascii="Verdana" w:hAnsi="Verdana"/>
          <w:sz w:val="20"/>
        </w:rPr>
        <w:t xml:space="preserve"> de 8,9 meses en 2017. </w:t>
      </w:r>
    </w:p>
    <w:p w:rsidR="001F6522" w:rsidRPr="00617833" w:rsidRDefault="001F6522">
      <w:pPr>
        <w:pStyle w:val="Textoindependiente"/>
        <w:spacing w:before="120" w:after="120"/>
        <w:ind w:firstLine="357"/>
        <w:rPr>
          <w:rFonts w:ascii="Verdana" w:hAnsi="Verdana"/>
          <w:sz w:val="20"/>
        </w:rPr>
      </w:pPr>
      <w:r w:rsidRPr="00617833">
        <w:rPr>
          <w:rFonts w:ascii="Verdana" w:hAnsi="Verdana"/>
          <w:sz w:val="20"/>
        </w:rPr>
        <w:t xml:space="preserve">En los juzgados de lo mercantil, los concursos </w:t>
      </w:r>
      <w:r w:rsidR="006B79D9" w:rsidRPr="00617833">
        <w:rPr>
          <w:rFonts w:ascii="Verdana" w:hAnsi="Verdana"/>
          <w:sz w:val="20"/>
        </w:rPr>
        <w:t xml:space="preserve">han </w:t>
      </w:r>
      <w:r w:rsidR="009A7EC9" w:rsidRPr="00617833">
        <w:rPr>
          <w:rFonts w:ascii="Verdana" w:hAnsi="Verdana"/>
          <w:sz w:val="20"/>
        </w:rPr>
        <w:t xml:space="preserve"> </w:t>
      </w:r>
      <w:r w:rsidR="00DE0D53" w:rsidRPr="00617833">
        <w:rPr>
          <w:rFonts w:ascii="Verdana" w:hAnsi="Verdana"/>
          <w:sz w:val="20"/>
        </w:rPr>
        <w:t>incrementado</w:t>
      </w:r>
      <w:r w:rsidR="009A7EC9" w:rsidRPr="00617833">
        <w:rPr>
          <w:rFonts w:ascii="Verdana" w:hAnsi="Verdana"/>
          <w:sz w:val="20"/>
        </w:rPr>
        <w:t xml:space="preserve"> </w:t>
      </w:r>
      <w:r w:rsidRPr="00617833">
        <w:rPr>
          <w:rFonts w:ascii="Verdana" w:hAnsi="Verdana"/>
          <w:sz w:val="20"/>
        </w:rPr>
        <w:t xml:space="preserve"> </w:t>
      </w:r>
      <w:r w:rsidR="006B79D9" w:rsidRPr="00617833">
        <w:rPr>
          <w:rFonts w:ascii="Verdana" w:hAnsi="Verdana"/>
          <w:sz w:val="20"/>
        </w:rPr>
        <w:t xml:space="preserve">significativamente </w:t>
      </w:r>
      <w:r w:rsidR="009A7EC9" w:rsidRPr="00617833">
        <w:rPr>
          <w:rFonts w:ascii="Verdana" w:hAnsi="Verdana"/>
          <w:sz w:val="20"/>
        </w:rPr>
        <w:t>su</w:t>
      </w:r>
      <w:r w:rsidRPr="00617833">
        <w:rPr>
          <w:rFonts w:ascii="Verdana" w:hAnsi="Verdana"/>
          <w:sz w:val="20"/>
        </w:rPr>
        <w:t xml:space="preserve"> duración media estimada:</w:t>
      </w:r>
    </w:p>
    <w:p w:rsidR="001F6522" w:rsidRPr="00617833" w:rsidRDefault="001F6522">
      <w:pPr>
        <w:pStyle w:val="Textoindependiente"/>
        <w:spacing w:before="120" w:after="120"/>
        <w:ind w:firstLine="357"/>
        <w:rPr>
          <w:rFonts w:ascii="Verdana" w:hAnsi="Verdana"/>
          <w:sz w:val="20"/>
        </w:rPr>
      </w:pPr>
    </w:p>
    <w:tbl>
      <w:tblPr>
        <w:tblW w:w="8580" w:type="dxa"/>
        <w:jc w:val="center"/>
        <w:tblInd w:w="55" w:type="dxa"/>
        <w:tblCellMar>
          <w:left w:w="70" w:type="dxa"/>
          <w:right w:w="70" w:type="dxa"/>
        </w:tblCellMar>
        <w:tblLook w:val="0000" w:firstRow="0" w:lastRow="0" w:firstColumn="0" w:lastColumn="0" w:noHBand="0" w:noVBand="0"/>
      </w:tblPr>
      <w:tblGrid>
        <w:gridCol w:w="2580"/>
        <w:gridCol w:w="1200"/>
        <w:gridCol w:w="1200"/>
        <w:gridCol w:w="1200"/>
        <w:gridCol w:w="1200"/>
        <w:gridCol w:w="1200"/>
      </w:tblGrid>
      <w:tr w:rsidR="006B79D9" w:rsidRPr="00617833" w:rsidTr="00F81A92">
        <w:trPr>
          <w:trHeight w:val="270"/>
          <w:jc w:val="center"/>
        </w:trPr>
        <w:tc>
          <w:tcPr>
            <w:tcW w:w="2580" w:type="dxa"/>
            <w:tcBorders>
              <w:top w:val="nil"/>
              <w:left w:val="nil"/>
              <w:bottom w:val="nil"/>
              <w:right w:val="nil"/>
            </w:tcBorders>
            <w:shd w:val="clear" w:color="auto" w:fill="auto"/>
            <w:noWrap/>
            <w:vAlign w:val="bottom"/>
          </w:tcPr>
          <w:p w:rsidR="006B79D9" w:rsidRPr="00617833" w:rsidRDefault="006B79D9" w:rsidP="00F81A92">
            <w:pPr>
              <w:rPr>
                <w:rFonts w:ascii="Verdana" w:hAnsi="Verdana" w:cs="Arial"/>
                <w:sz w:val="20"/>
                <w:szCs w:val="20"/>
              </w:rPr>
            </w:pPr>
          </w:p>
        </w:tc>
        <w:tc>
          <w:tcPr>
            <w:tcW w:w="1200" w:type="dxa"/>
            <w:tcBorders>
              <w:top w:val="single" w:sz="8" w:space="0" w:color="auto"/>
              <w:left w:val="nil"/>
              <w:bottom w:val="nil"/>
              <w:right w:val="nil"/>
            </w:tcBorders>
            <w:shd w:val="clear" w:color="auto" w:fill="auto"/>
            <w:vAlign w:val="center"/>
          </w:tcPr>
          <w:p w:rsidR="006B79D9" w:rsidRPr="00617833" w:rsidRDefault="006B79D9" w:rsidP="006B79D9">
            <w:pPr>
              <w:jc w:val="center"/>
              <w:rPr>
                <w:rFonts w:ascii="Verdana" w:hAnsi="Verdana" w:cs="Calibri"/>
                <w:b/>
                <w:bCs/>
                <w:color w:val="000080"/>
                <w:sz w:val="20"/>
                <w:szCs w:val="20"/>
              </w:rPr>
            </w:pPr>
            <w:r w:rsidRPr="00617833">
              <w:rPr>
                <w:rFonts w:ascii="Verdana" w:hAnsi="Verdana" w:cs="Calibri"/>
                <w:b/>
                <w:bCs/>
                <w:color w:val="000080"/>
                <w:sz w:val="20"/>
                <w:szCs w:val="20"/>
              </w:rPr>
              <w:t>2017</w:t>
            </w:r>
          </w:p>
        </w:tc>
        <w:tc>
          <w:tcPr>
            <w:tcW w:w="1200" w:type="dxa"/>
            <w:tcBorders>
              <w:top w:val="single" w:sz="8" w:space="0" w:color="auto"/>
              <w:left w:val="nil"/>
              <w:bottom w:val="nil"/>
              <w:right w:val="nil"/>
            </w:tcBorders>
            <w:shd w:val="clear" w:color="auto" w:fill="auto"/>
            <w:vAlign w:val="center"/>
          </w:tcPr>
          <w:p w:rsidR="006B79D9" w:rsidRPr="00617833" w:rsidRDefault="006B79D9"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2016</w:t>
            </w:r>
          </w:p>
        </w:tc>
        <w:tc>
          <w:tcPr>
            <w:tcW w:w="1200" w:type="dxa"/>
            <w:tcBorders>
              <w:top w:val="single" w:sz="8" w:space="0" w:color="auto"/>
              <w:left w:val="nil"/>
              <w:bottom w:val="nil"/>
              <w:right w:val="nil"/>
            </w:tcBorders>
            <w:shd w:val="clear" w:color="auto" w:fill="auto"/>
            <w:vAlign w:val="center"/>
          </w:tcPr>
          <w:p w:rsidR="006B79D9" w:rsidRPr="00617833" w:rsidRDefault="006B79D9"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2015</w:t>
            </w:r>
          </w:p>
        </w:tc>
        <w:tc>
          <w:tcPr>
            <w:tcW w:w="1200" w:type="dxa"/>
            <w:tcBorders>
              <w:top w:val="single" w:sz="8" w:space="0" w:color="auto"/>
              <w:left w:val="nil"/>
              <w:bottom w:val="nil"/>
              <w:right w:val="nil"/>
            </w:tcBorders>
            <w:shd w:val="clear" w:color="auto" w:fill="auto"/>
            <w:vAlign w:val="center"/>
          </w:tcPr>
          <w:p w:rsidR="006B79D9" w:rsidRPr="00617833" w:rsidRDefault="006B79D9"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2014</w:t>
            </w:r>
          </w:p>
        </w:tc>
        <w:tc>
          <w:tcPr>
            <w:tcW w:w="1200" w:type="dxa"/>
            <w:tcBorders>
              <w:top w:val="single" w:sz="8" w:space="0" w:color="auto"/>
              <w:left w:val="nil"/>
              <w:bottom w:val="nil"/>
              <w:right w:val="nil"/>
            </w:tcBorders>
            <w:shd w:val="clear" w:color="auto" w:fill="auto"/>
            <w:vAlign w:val="center"/>
          </w:tcPr>
          <w:p w:rsidR="006B79D9" w:rsidRPr="00617833" w:rsidRDefault="006B79D9" w:rsidP="00704B82">
            <w:pPr>
              <w:jc w:val="center"/>
              <w:rPr>
                <w:rFonts w:ascii="Verdana" w:hAnsi="Verdana" w:cs="Calibri"/>
                <w:b/>
                <w:bCs/>
                <w:color w:val="000080"/>
                <w:sz w:val="20"/>
                <w:szCs w:val="20"/>
              </w:rPr>
            </w:pPr>
            <w:r w:rsidRPr="00617833">
              <w:rPr>
                <w:rFonts w:ascii="Verdana" w:hAnsi="Verdana" w:cs="Calibri"/>
                <w:b/>
                <w:bCs/>
                <w:color w:val="000080"/>
                <w:sz w:val="20"/>
                <w:szCs w:val="20"/>
              </w:rPr>
              <w:t>2013</w:t>
            </w:r>
          </w:p>
        </w:tc>
      </w:tr>
      <w:tr w:rsidR="006B79D9" w:rsidRPr="00617833" w:rsidTr="00704B82">
        <w:trPr>
          <w:trHeight w:val="270"/>
          <w:jc w:val="center"/>
        </w:trPr>
        <w:tc>
          <w:tcPr>
            <w:tcW w:w="2580" w:type="dxa"/>
            <w:tcBorders>
              <w:top w:val="single" w:sz="8" w:space="0" w:color="auto"/>
              <w:left w:val="nil"/>
              <w:bottom w:val="single" w:sz="8" w:space="0" w:color="auto"/>
              <w:right w:val="nil"/>
            </w:tcBorders>
            <w:shd w:val="clear" w:color="auto" w:fill="auto"/>
          </w:tcPr>
          <w:p w:rsidR="006B79D9" w:rsidRPr="00617833" w:rsidRDefault="006B79D9" w:rsidP="00F81A92">
            <w:pPr>
              <w:jc w:val="both"/>
              <w:rPr>
                <w:rFonts w:ascii="Verdana" w:hAnsi="Verdana" w:cs="Arial"/>
                <w:b/>
                <w:bCs/>
                <w:color w:val="000080"/>
                <w:sz w:val="20"/>
                <w:szCs w:val="20"/>
              </w:rPr>
            </w:pPr>
            <w:r w:rsidRPr="00617833">
              <w:rPr>
                <w:rFonts w:ascii="Verdana" w:hAnsi="Verdana" w:cs="Arial"/>
                <w:b/>
                <w:bCs/>
                <w:color w:val="000080"/>
                <w:sz w:val="20"/>
                <w:szCs w:val="20"/>
              </w:rPr>
              <w:t>Concursos</w:t>
            </w:r>
          </w:p>
        </w:tc>
        <w:tc>
          <w:tcPr>
            <w:tcW w:w="1200" w:type="dxa"/>
            <w:tcBorders>
              <w:top w:val="single" w:sz="8" w:space="0" w:color="auto"/>
              <w:left w:val="nil"/>
              <w:bottom w:val="single" w:sz="8" w:space="0" w:color="auto"/>
              <w:right w:val="nil"/>
            </w:tcBorders>
            <w:shd w:val="clear" w:color="auto" w:fill="auto"/>
            <w:noWrap/>
            <w:vAlign w:val="center"/>
          </w:tcPr>
          <w:p w:rsidR="006B79D9" w:rsidRPr="00617833" w:rsidRDefault="006B79D9" w:rsidP="006B79D9">
            <w:pPr>
              <w:jc w:val="center"/>
              <w:rPr>
                <w:rFonts w:ascii="Verdana" w:hAnsi="Verdana" w:cs="Calibri"/>
                <w:color w:val="000000"/>
                <w:sz w:val="20"/>
                <w:szCs w:val="20"/>
              </w:rPr>
            </w:pPr>
            <w:r w:rsidRPr="00617833">
              <w:rPr>
                <w:rFonts w:ascii="Verdana" w:hAnsi="Verdana" w:cs="Calibri"/>
                <w:color w:val="000000"/>
                <w:sz w:val="20"/>
                <w:szCs w:val="20"/>
              </w:rPr>
              <w:t>49,0</w:t>
            </w:r>
          </w:p>
        </w:tc>
        <w:tc>
          <w:tcPr>
            <w:tcW w:w="1200" w:type="dxa"/>
            <w:tcBorders>
              <w:top w:val="single" w:sz="8" w:space="0" w:color="auto"/>
              <w:left w:val="nil"/>
              <w:bottom w:val="single" w:sz="8" w:space="0" w:color="auto"/>
              <w:right w:val="nil"/>
            </w:tcBorders>
            <w:shd w:val="clear" w:color="auto" w:fill="auto"/>
            <w:noWrap/>
            <w:vAlign w:val="center"/>
          </w:tcPr>
          <w:p w:rsidR="006B79D9" w:rsidRPr="00617833" w:rsidRDefault="006B79D9" w:rsidP="006B79D9">
            <w:pPr>
              <w:jc w:val="center"/>
              <w:rPr>
                <w:rFonts w:ascii="Verdana" w:hAnsi="Verdana" w:cs="Calibri"/>
                <w:color w:val="000000"/>
                <w:sz w:val="20"/>
                <w:szCs w:val="20"/>
              </w:rPr>
            </w:pPr>
            <w:r w:rsidRPr="00617833">
              <w:rPr>
                <w:rFonts w:ascii="Verdana" w:hAnsi="Verdana" w:cs="Calibri"/>
                <w:color w:val="000000"/>
                <w:sz w:val="20"/>
                <w:szCs w:val="20"/>
              </w:rPr>
              <w:t>44,8</w:t>
            </w:r>
          </w:p>
        </w:tc>
        <w:tc>
          <w:tcPr>
            <w:tcW w:w="1200" w:type="dxa"/>
            <w:tcBorders>
              <w:top w:val="single" w:sz="8" w:space="0" w:color="auto"/>
              <w:left w:val="nil"/>
              <w:bottom w:val="single" w:sz="8" w:space="0" w:color="auto"/>
              <w:right w:val="nil"/>
            </w:tcBorders>
            <w:shd w:val="clear" w:color="auto" w:fill="auto"/>
            <w:noWrap/>
            <w:vAlign w:val="center"/>
          </w:tcPr>
          <w:p w:rsidR="006B79D9" w:rsidRPr="00617833" w:rsidRDefault="006B79D9" w:rsidP="006B79D9">
            <w:pPr>
              <w:jc w:val="center"/>
              <w:rPr>
                <w:rFonts w:ascii="Verdana" w:hAnsi="Verdana" w:cs="Calibri"/>
                <w:color w:val="000000"/>
                <w:sz w:val="20"/>
                <w:szCs w:val="20"/>
              </w:rPr>
            </w:pPr>
            <w:r w:rsidRPr="00617833">
              <w:rPr>
                <w:rFonts w:ascii="Verdana" w:hAnsi="Verdana" w:cs="Calibri"/>
                <w:color w:val="000000"/>
                <w:sz w:val="20"/>
                <w:szCs w:val="20"/>
              </w:rPr>
              <w:t>41,6</w:t>
            </w:r>
          </w:p>
        </w:tc>
        <w:tc>
          <w:tcPr>
            <w:tcW w:w="1200" w:type="dxa"/>
            <w:tcBorders>
              <w:top w:val="single" w:sz="8" w:space="0" w:color="auto"/>
              <w:left w:val="nil"/>
              <w:bottom w:val="single" w:sz="8" w:space="0" w:color="auto"/>
              <w:right w:val="nil"/>
            </w:tcBorders>
            <w:shd w:val="clear" w:color="auto" w:fill="auto"/>
            <w:noWrap/>
            <w:vAlign w:val="center"/>
          </w:tcPr>
          <w:p w:rsidR="006B79D9" w:rsidRPr="00617833" w:rsidRDefault="006B79D9" w:rsidP="006B79D9">
            <w:pPr>
              <w:jc w:val="center"/>
              <w:rPr>
                <w:rFonts w:ascii="Verdana" w:hAnsi="Verdana" w:cs="Calibri"/>
                <w:color w:val="000000"/>
                <w:sz w:val="20"/>
                <w:szCs w:val="20"/>
              </w:rPr>
            </w:pPr>
            <w:r w:rsidRPr="00617833">
              <w:rPr>
                <w:rFonts w:ascii="Verdana" w:hAnsi="Verdana" w:cs="Calibri"/>
                <w:color w:val="000000"/>
                <w:sz w:val="20"/>
                <w:szCs w:val="20"/>
              </w:rPr>
              <w:t>40,0</w:t>
            </w:r>
          </w:p>
        </w:tc>
        <w:tc>
          <w:tcPr>
            <w:tcW w:w="1200" w:type="dxa"/>
            <w:tcBorders>
              <w:top w:val="single" w:sz="8" w:space="0" w:color="auto"/>
              <w:left w:val="nil"/>
              <w:bottom w:val="single" w:sz="8" w:space="0" w:color="auto"/>
              <w:right w:val="nil"/>
            </w:tcBorders>
            <w:shd w:val="clear" w:color="auto" w:fill="auto"/>
            <w:noWrap/>
            <w:vAlign w:val="center"/>
          </w:tcPr>
          <w:p w:rsidR="006B79D9" w:rsidRPr="00617833" w:rsidRDefault="006B79D9" w:rsidP="006B79D9">
            <w:pPr>
              <w:jc w:val="center"/>
              <w:rPr>
                <w:rFonts w:ascii="Verdana" w:hAnsi="Verdana" w:cs="Calibri"/>
                <w:color w:val="000000"/>
                <w:sz w:val="20"/>
                <w:szCs w:val="20"/>
              </w:rPr>
            </w:pPr>
            <w:r w:rsidRPr="00617833">
              <w:rPr>
                <w:rFonts w:ascii="Verdana" w:hAnsi="Verdana" w:cs="Calibri"/>
                <w:color w:val="000000"/>
                <w:sz w:val="20"/>
                <w:szCs w:val="20"/>
              </w:rPr>
              <w:t>38,1</w:t>
            </w:r>
          </w:p>
        </w:tc>
      </w:tr>
    </w:tbl>
    <w:p w:rsidR="00F30BEC" w:rsidRDefault="00F32950" w:rsidP="00A42C93">
      <w:pPr>
        <w:pStyle w:val="Textoindependiente"/>
        <w:spacing w:before="120" w:after="120"/>
        <w:ind w:firstLine="357"/>
        <w:rPr>
          <w:rFonts w:ascii="Verdana" w:hAnsi="Verdana"/>
          <w:sz w:val="20"/>
        </w:rPr>
      </w:pPr>
      <w:r w:rsidRPr="00617833">
        <w:rPr>
          <w:rFonts w:ascii="Verdana" w:hAnsi="Verdana"/>
          <w:sz w:val="20"/>
        </w:rPr>
        <w:t>Las duraciones en la</w:t>
      </w:r>
      <w:r w:rsidR="008509A0" w:rsidRPr="00617833">
        <w:rPr>
          <w:rFonts w:ascii="Verdana" w:hAnsi="Verdana"/>
          <w:sz w:val="20"/>
        </w:rPr>
        <w:t>s</w:t>
      </w:r>
      <w:r w:rsidRPr="00617833">
        <w:rPr>
          <w:rFonts w:ascii="Verdana" w:hAnsi="Verdana"/>
          <w:sz w:val="20"/>
        </w:rPr>
        <w:t xml:space="preserve"> </w:t>
      </w:r>
      <w:r w:rsidR="005F69F1" w:rsidRPr="00617833">
        <w:rPr>
          <w:rFonts w:ascii="Verdana" w:hAnsi="Verdana"/>
          <w:sz w:val="20"/>
        </w:rPr>
        <w:t>a</w:t>
      </w:r>
      <w:r w:rsidRPr="00617833">
        <w:rPr>
          <w:rFonts w:ascii="Verdana" w:hAnsi="Verdana"/>
          <w:sz w:val="20"/>
        </w:rPr>
        <w:t xml:space="preserve">udiencias </w:t>
      </w:r>
      <w:r w:rsidR="005F69F1" w:rsidRPr="00617833">
        <w:rPr>
          <w:rFonts w:ascii="Verdana" w:hAnsi="Verdana"/>
          <w:sz w:val="20"/>
        </w:rPr>
        <w:t>p</w:t>
      </w:r>
      <w:r w:rsidRPr="00617833">
        <w:rPr>
          <w:rFonts w:ascii="Verdana" w:hAnsi="Verdana"/>
          <w:sz w:val="20"/>
        </w:rPr>
        <w:t xml:space="preserve">rovinciales </w:t>
      </w:r>
      <w:r w:rsidR="005F69F1" w:rsidRPr="00617833">
        <w:rPr>
          <w:rFonts w:ascii="Verdana" w:hAnsi="Verdana"/>
          <w:sz w:val="20"/>
        </w:rPr>
        <w:t>con competencia en materias c</w:t>
      </w:r>
      <w:r w:rsidRPr="00617833">
        <w:rPr>
          <w:rFonts w:ascii="Verdana" w:hAnsi="Verdana"/>
          <w:sz w:val="20"/>
        </w:rPr>
        <w:t xml:space="preserve">iviles han </w:t>
      </w:r>
      <w:r w:rsidR="007A5651" w:rsidRPr="00617833">
        <w:rPr>
          <w:rFonts w:ascii="Verdana" w:hAnsi="Verdana"/>
          <w:sz w:val="20"/>
        </w:rPr>
        <w:t>mostrado</w:t>
      </w:r>
      <w:r w:rsidR="00F30BEC" w:rsidRPr="00617833">
        <w:rPr>
          <w:rFonts w:ascii="Verdana" w:hAnsi="Verdana"/>
          <w:sz w:val="20"/>
        </w:rPr>
        <w:t xml:space="preserve"> un</w:t>
      </w:r>
      <w:r w:rsidR="006E4D52" w:rsidRPr="00617833">
        <w:rPr>
          <w:rFonts w:ascii="Verdana" w:hAnsi="Verdana"/>
          <w:sz w:val="20"/>
        </w:rPr>
        <w:t>a leve disminución</w:t>
      </w:r>
      <w:r w:rsidR="00F30BEC" w:rsidRPr="00617833">
        <w:rPr>
          <w:rFonts w:ascii="Verdana" w:hAnsi="Verdana"/>
          <w:sz w:val="20"/>
        </w:rPr>
        <w:t xml:space="preserve"> en los </w:t>
      </w:r>
      <w:r w:rsidR="00764C2C" w:rsidRPr="00617833">
        <w:rPr>
          <w:rFonts w:ascii="Verdana" w:hAnsi="Verdana"/>
          <w:sz w:val="20"/>
        </w:rPr>
        <w:t>procesos</w:t>
      </w:r>
      <w:r w:rsidR="00F30BEC" w:rsidRPr="00617833">
        <w:rPr>
          <w:rFonts w:ascii="Verdana" w:hAnsi="Verdana"/>
          <w:sz w:val="20"/>
        </w:rPr>
        <w:t xml:space="preserve"> de única instancia y un importante incremento en los recursos.</w:t>
      </w:r>
    </w:p>
    <w:tbl>
      <w:tblPr>
        <w:tblW w:w="9540" w:type="dxa"/>
        <w:jc w:val="center"/>
        <w:tblInd w:w="55" w:type="dxa"/>
        <w:tblCellMar>
          <w:left w:w="70" w:type="dxa"/>
          <w:right w:w="70" w:type="dxa"/>
        </w:tblCellMar>
        <w:tblLook w:val="04A0" w:firstRow="1" w:lastRow="0" w:firstColumn="1" w:lastColumn="0" w:noHBand="0" w:noVBand="1"/>
      </w:tblPr>
      <w:tblGrid>
        <w:gridCol w:w="4420"/>
        <w:gridCol w:w="1020"/>
        <w:gridCol w:w="1000"/>
        <w:gridCol w:w="1040"/>
        <w:gridCol w:w="920"/>
        <w:gridCol w:w="1140"/>
      </w:tblGrid>
      <w:tr w:rsidR="006E4D52" w:rsidTr="006E4D52">
        <w:trPr>
          <w:trHeight w:val="315"/>
          <w:jc w:val="center"/>
        </w:trPr>
        <w:tc>
          <w:tcPr>
            <w:tcW w:w="4420" w:type="dxa"/>
            <w:tcBorders>
              <w:top w:val="nil"/>
              <w:left w:val="nil"/>
              <w:bottom w:val="nil"/>
              <w:right w:val="nil"/>
            </w:tcBorders>
            <w:shd w:val="clear" w:color="auto" w:fill="auto"/>
            <w:noWrap/>
            <w:vAlign w:val="center"/>
            <w:hideMark/>
          </w:tcPr>
          <w:p w:rsidR="006E4D52" w:rsidRDefault="006E4D52">
            <w:pPr>
              <w:rPr>
                <w:rFonts w:ascii="Verdana" w:hAnsi="Verdana" w:cs="Calibri"/>
                <w:color w:val="000000"/>
                <w:sz w:val="20"/>
                <w:szCs w:val="20"/>
              </w:rPr>
            </w:pPr>
          </w:p>
        </w:tc>
        <w:tc>
          <w:tcPr>
            <w:tcW w:w="1020" w:type="dxa"/>
            <w:tcBorders>
              <w:top w:val="single" w:sz="8" w:space="0" w:color="auto"/>
              <w:left w:val="nil"/>
              <w:bottom w:val="nil"/>
              <w:right w:val="nil"/>
            </w:tcBorders>
            <w:shd w:val="clear" w:color="auto" w:fill="auto"/>
            <w:vAlign w:val="center"/>
            <w:hideMark/>
          </w:tcPr>
          <w:p w:rsidR="006E4D52" w:rsidRDefault="006E4D52">
            <w:pPr>
              <w:jc w:val="center"/>
              <w:rPr>
                <w:rFonts w:ascii="Verdana" w:hAnsi="Verdana" w:cs="Calibri"/>
                <w:b/>
                <w:bCs/>
                <w:color w:val="000080"/>
                <w:sz w:val="20"/>
                <w:szCs w:val="20"/>
              </w:rPr>
            </w:pPr>
            <w:r>
              <w:rPr>
                <w:rFonts w:ascii="Verdana" w:hAnsi="Verdana" w:cs="Calibri"/>
                <w:b/>
                <w:bCs/>
                <w:color w:val="000080"/>
                <w:sz w:val="20"/>
                <w:szCs w:val="20"/>
              </w:rPr>
              <w:t>2017</w:t>
            </w:r>
          </w:p>
        </w:tc>
        <w:tc>
          <w:tcPr>
            <w:tcW w:w="1000" w:type="dxa"/>
            <w:tcBorders>
              <w:top w:val="single" w:sz="8" w:space="0" w:color="auto"/>
              <w:left w:val="nil"/>
              <w:bottom w:val="nil"/>
              <w:right w:val="nil"/>
            </w:tcBorders>
            <w:shd w:val="clear" w:color="auto" w:fill="auto"/>
            <w:vAlign w:val="center"/>
            <w:hideMark/>
          </w:tcPr>
          <w:p w:rsidR="006E4D52" w:rsidRDefault="006E4D52">
            <w:pPr>
              <w:jc w:val="center"/>
              <w:rPr>
                <w:rFonts w:ascii="Verdana" w:hAnsi="Verdana" w:cs="Calibri"/>
                <w:b/>
                <w:bCs/>
                <w:color w:val="000080"/>
                <w:sz w:val="20"/>
                <w:szCs w:val="20"/>
              </w:rPr>
            </w:pPr>
            <w:r>
              <w:rPr>
                <w:rFonts w:ascii="Verdana" w:hAnsi="Verdana" w:cs="Calibri"/>
                <w:b/>
                <w:bCs/>
                <w:color w:val="000080"/>
                <w:sz w:val="20"/>
                <w:szCs w:val="20"/>
              </w:rPr>
              <w:t>2016</w:t>
            </w:r>
          </w:p>
        </w:tc>
        <w:tc>
          <w:tcPr>
            <w:tcW w:w="1040" w:type="dxa"/>
            <w:tcBorders>
              <w:top w:val="single" w:sz="8" w:space="0" w:color="auto"/>
              <w:left w:val="nil"/>
              <w:bottom w:val="nil"/>
              <w:right w:val="nil"/>
            </w:tcBorders>
            <w:shd w:val="clear" w:color="auto" w:fill="auto"/>
            <w:vAlign w:val="center"/>
            <w:hideMark/>
          </w:tcPr>
          <w:p w:rsidR="006E4D52" w:rsidRDefault="006E4D52">
            <w:pPr>
              <w:jc w:val="center"/>
              <w:rPr>
                <w:rFonts w:ascii="Verdana" w:hAnsi="Verdana" w:cs="Calibri"/>
                <w:b/>
                <w:bCs/>
                <w:color w:val="000080"/>
                <w:sz w:val="20"/>
                <w:szCs w:val="20"/>
              </w:rPr>
            </w:pPr>
            <w:r>
              <w:rPr>
                <w:rFonts w:ascii="Verdana" w:hAnsi="Verdana" w:cs="Calibri"/>
                <w:b/>
                <w:bCs/>
                <w:color w:val="000080"/>
                <w:sz w:val="20"/>
                <w:szCs w:val="20"/>
              </w:rPr>
              <w:t>2015</w:t>
            </w:r>
          </w:p>
        </w:tc>
        <w:tc>
          <w:tcPr>
            <w:tcW w:w="920" w:type="dxa"/>
            <w:tcBorders>
              <w:top w:val="single" w:sz="8" w:space="0" w:color="auto"/>
              <w:left w:val="nil"/>
              <w:bottom w:val="nil"/>
              <w:right w:val="nil"/>
            </w:tcBorders>
            <w:shd w:val="clear" w:color="auto" w:fill="auto"/>
            <w:vAlign w:val="center"/>
            <w:hideMark/>
          </w:tcPr>
          <w:p w:rsidR="006E4D52" w:rsidRDefault="006E4D52">
            <w:pPr>
              <w:jc w:val="center"/>
              <w:rPr>
                <w:rFonts w:ascii="Verdana" w:hAnsi="Verdana" w:cs="Calibri"/>
                <w:b/>
                <w:bCs/>
                <w:color w:val="000080"/>
                <w:sz w:val="20"/>
                <w:szCs w:val="20"/>
              </w:rPr>
            </w:pPr>
            <w:r>
              <w:rPr>
                <w:rFonts w:ascii="Verdana" w:hAnsi="Verdana" w:cs="Calibri"/>
                <w:b/>
                <w:bCs/>
                <w:color w:val="000080"/>
                <w:sz w:val="20"/>
                <w:szCs w:val="20"/>
              </w:rPr>
              <w:t>2014</w:t>
            </w:r>
          </w:p>
        </w:tc>
        <w:tc>
          <w:tcPr>
            <w:tcW w:w="1140" w:type="dxa"/>
            <w:tcBorders>
              <w:top w:val="single" w:sz="8" w:space="0" w:color="auto"/>
              <w:left w:val="nil"/>
              <w:bottom w:val="nil"/>
              <w:right w:val="nil"/>
            </w:tcBorders>
            <w:shd w:val="clear" w:color="auto" w:fill="auto"/>
            <w:vAlign w:val="center"/>
            <w:hideMark/>
          </w:tcPr>
          <w:p w:rsidR="006E4D52" w:rsidRDefault="006E4D52">
            <w:pPr>
              <w:jc w:val="center"/>
              <w:rPr>
                <w:rFonts w:ascii="Verdana" w:hAnsi="Verdana" w:cs="Calibri"/>
                <w:b/>
                <w:bCs/>
                <w:color w:val="000080"/>
                <w:sz w:val="20"/>
                <w:szCs w:val="20"/>
              </w:rPr>
            </w:pPr>
            <w:r>
              <w:rPr>
                <w:rFonts w:ascii="Verdana" w:hAnsi="Verdana" w:cs="Calibri"/>
                <w:b/>
                <w:bCs/>
                <w:color w:val="000080"/>
                <w:sz w:val="20"/>
                <w:szCs w:val="20"/>
              </w:rPr>
              <w:t>2013</w:t>
            </w:r>
          </w:p>
        </w:tc>
      </w:tr>
      <w:tr w:rsidR="00A75439" w:rsidTr="006E4D52">
        <w:trPr>
          <w:trHeight w:val="300"/>
          <w:jc w:val="center"/>
        </w:trPr>
        <w:tc>
          <w:tcPr>
            <w:tcW w:w="4420" w:type="dxa"/>
            <w:tcBorders>
              <w:top w:val="single" w:sz="8" w:space="0" w:color="auto"/>
              <w:left w:val="nil"/>
              <w:bottom w:val="nil"/>
              <w:right w:val="nil"/>
            </w:tcBorders>
            <w:shd w:val="clear" w:color="auto" w:fill="auto"/>
            <w:vAlign w:val="center"/>
            <w:hideMark/>
          </w:tcPr>
          <w:p w:rsidR="00A75439" w:rsidRDefault="00A75439">
            <w:pPr>
              <w:rPr>
                <w:rFonts w:ascii="Verdana" w:hAnsi="Verdana" w:cs="Calibri"/>
                <w:color w:val="000000"/>
                <w:sz w:val="20"/>
                <w:szCs w:val="20"/>
              </w:rPr>
            </w:pPr>
            <w:r>
              <w:rPr>
                <w:rFonts w:ascii="Verdana" w:hAnsi="Verdana" w:cs="Arial"/>
                <w:color w:val="000000"/>
                <w:sz w:val="20"/>
                <w:szCs w:val="20"/>
              </w:rPr>
              <w:t>Procesos Única Instancia</w:t>
            </w:r>
          </w:p>
        </w:tc>
        <w:tc>
          <w:tcPr>
            <w:tcW w:w="1020" w:type="dxa"/>
            <w:tcBorders>
              <w:top w:val="single" w:sz="8" w:space="0" w:color="auto"/>
              <w:left w:val="nil"/>
              <w:bottom w:val="nil"/>
              <w:right w:val="nil"/>
            </w:tcBorders>
            <w:shd w:val="clear" w:color="auto" w:fill="auto"/>
            <w:noWrap/>
            <w:vAlign w:val="center"/>
            <w:hideMark/>
          </w:tcPr>
          <w:p w:rsidR="00A75439" w:rsidRDefault="00A75439">
            <w:pPr>
              <w:jc w:val="right"/>
              <w:rPr>
                <w:rFonts w:ascii="Verdana" w:hAnsi="Verdana" w:cs="Calibri"/>
                <w:color w:val="000000"/>
                <w:sz w:val="20"/>
                <w:szCs w:val="20"/>
              </w:rPr>
            </w:pPr>
            <w:r>
              <w:rPr>
                <w:rFonts w:ascii="Verdana" w:hAnsi="Verdana" w:cs="Calibri"/>
                <w:color w:val="000000"/>
                <w:sz w:val="20"/>
                <w:szCs w:val="20"/>
              </w:rPr>
              <w:t>2,7</w:t>
            </w:r>
          </w:p>
        </w:tc>
        <w:tc>
          <w:tcPr>
            <w:tcW w:w="1000" w:type="dxa"/>
            <w:tcBorders>
              <w:top w:val="single" w:sz="8" w:space="0" w:color="auto"/>
              <w:left w:val="nil"/>
              <w:bottom w:val="nil"/>
              <w:right w:val="nil"/>
            </w:tcBorders>
            <w:shd w:val="clear" w:color="auto" w:fill="auto"/>
            <w:noWrap/>
            <w:vAlign w:val="center"/>
            <w:hideMark/>
          </w:tcPr>
          <w:p w:rsidR="00A75439" w:rsidRDefault="00A75439">
            <w:pPr>
              <w:jc w:val="right"/>
              <w:rPr>
                <w:rFonts w:ascii="Verdana" w:hAnsi="Verdana" w:cs="Calibri"/>
                <w:color w:val="000000"/>
                <w:sz w:val="20"/>
                <w:szCs w:val="20"/>
              </w:rPr>
            </w:pPr>
            <w:r>
              <w:rPr>
                <w:rFonts w:ascii="Verdana" w:hAnsi="Verdana" w:cs="Calibri"/>
                <w:color w:val="000000"/>
                <w:sz w:val="20"/>
                <w:szCs w:val="20"/>
              </w:rPr>
              <w:t>2,8</w:t>
            </w:r>
          </w:p>
        </w:tc>
        <w:tc>
          <w:tcPr>
            <w:tcW w:w="1040" w:type="dxa"/>
            <w:tcBorders>
              <w:top w:val="single" w:sz="8" w:space="0" w:color="auto"/>
              <w:left w:val="nil"/>
              <w:bottom w:val="nil"/>
              <w:right w:val="nil"/>
            </w:tcBorders>
            <w:shd w:val="clear" w:color="auto" w:fill="auto"/>
            <w:noWrap/>
            <w:vAlign w:val="center"/>
            <w:hideMark/>
          </w:tcPr>
          <w:p w:rsidR="00A75439" w:rsidRDefault="00A75439">
            <w:pPr>
              <w:jc w:val="right"/>
              <w:rPr>
                <w:rFonts w:ascii="Verdana" w:hAnsi="Verdana" w:cs="Calibri"/>
                <w:color w:val="000000"/>
                <w:sz w:val="20"/>
                <w:szCs w:val="20"/>
              </w:rPr>
            </w:pPr>
            <w:r>
              <w:rPr>
                <w:rFonts w:ascii="Verdana" w:hAnsi="Verdana" w:cs="Calibri"/>
                <w:color w:val="000000"/>
                <w:sz w:val="20"/>
                <w:szCs w:val="20"/>
              </w:rPr>
              <w:t>2,7</w:t>
            </w:r>
          </w:p>
        </w:tc>
        <w:tc>
          <w:tcPr>
            <w:tcW w:w="920" w:type="dxa"/>
            <w:tcBorders>
              <w:top w:val="single" w:sz="8" w:space="0" w:color="auto"/>
              <w:left w:val="nil"/>
              <w:bottom w:val="nil"/>
              <w:right w:val="nil"/>
            </w:tcBorders>
            <w:shd w:val="clear" w:color="auto" w:fill="auto"/>
            <w:noWrap/>
            <w:vAlign w:val="center"/>
            <w:hideMark/>
          </w:tcPr>
          <w:p w:rsidR="00A75439" w:rsidRDefault="00A75439">
            <w:pPr>
              <w:jc w:val="right"/>
              <w:rPr>
                <w:rFonts w:ascii="Verdana" w:hAnsi="Verdana" w:cs="Calibri"/>
                <w:color w:val="000000"/>
                <w:sz w:val="20"/>
                <w:szCs w:val="20"/>
              </w:rPr>
            </w:pPr>
            <w:r>
              <w:rPr>
                <w:rFonts w:ascii="Verdana" w:hAnsi="Verdana" w:cs="Calibri"/>
                <w:color w:val="000000"/>
                <w:sz w:val="20"/>
                <w:szCs w:val="20"/>
              </w:rPr>
              <w:t>2,4</w:t>
            </w:r>
          </w:p>
        </w:tc>
        <w:tc>
          <w:tcPr>
            <w:tcW w:w="1140" w:type="dxa"/>
            <w:tcBorders>
              <w:top w:val="single" w:sz="8" w:space="0" w:color="auto"/>
              <w:left w:val="nil"/>
              <w:bottom w:val="nil"/>
              <w:right w:val="nil"/>
            </w:tcBorders>
            <w:shd w:val="clear" w:color="auto" w:fill="auto"/>
            <w:noWrap/>
            <w:vAlign w:val="center"/>
            <w:hideMark/>
          </w:tcPr>
          <w:p w:rsidR="00A75439" w:rsidRDefault="00A75439">
            <w:pPr>
              <w:jc w:val="right"/>
              <w:rPr>
                <w:rFonts w:ascii="Verdana" w:hAnsi="Verdana" w:cs="Calibri"/>
                <w:color w:val="000000"/>
                <w:sz w:val="20"/>
                <w:szCs w:val="20"/>
              </w:rPr>
            </w:pPr>
            <w:r>
              <w:rPr>
                <w:rFonts w:ascii="Verdana" w:hAnsi="Verdana" w:cs="Calibri"/>
                <w:color w:val="000000"/>
                <w:sz w:val="20"/>
                <w:szCs w:val="20"/>
              </w:rPr>
              <w:t>2,8</w:t>
            </w:r>
          </w:p>
        </w:tc>
      </w:tr>
      <w:tr w:rsidR="009E3AE1" w:rsidTr="00343324">
        <w:trPr>
          <w:trHeight w:val="300"/>
          <w:jc w:val="center"/>
        </w:trPr>
        <w:tc>
          <w:tcPr>
            <w:tcW w:w="4420" w:type="dxa"/>
            <w:tcBorders>
              <w:top w:val="nil"/>
              <w:left w:val="nil"/>
              <w:bottom w:val="nil"/>
              <w:right w:val="nil"/>
            </w:tcBorders>
            <w:shd w:val="clear" w:color="auto" w:fill="auto"/>
            <w:vAlign w:val="center"/>
            <w:hideMark/>
          </w:tcPr>
          <w:p w:rsidR="009E3AE1" w:rsidRDefault="009E3AE1">
            <w:pPr>
              <w:jc w:val="both"/>
              <w:rPr>
                <w:rFonts w:ascii="Verdana" w:hAnsi="Verdana" w:cs="Calibri"/>
                <w:color w:val="000000"/>
                <w:sz w:val="20"/>
                <w:szCs w:val="20"/>
              </w:rPr>
            </w:pPr>
            <w:r>
              <w:rPr>
                <w:rFonts w:ascii="Verdana" w:hAnsi="Verdana" w:cs="Arial"/>
                <w:color w:val="000000"/>
                <w:sz w:val="20"/>
                <w:szCs w:val="20"/>
              </w:rPr>
              <w:t>Recursos civiles, incluyendo familia</w:t>
            </w:r>
          </w:p>
        </w:tc>
        <w:tc>
          <w:tcPr>
            <w:tcW w:w="1020" w:type="dxa"/>
            <w:tcBorders>
              <w:top w:val="nil"/>
              <w:left w:val="nil"/>
              <w:bottom w:val="nil"/>
              <w:right w:val="nil"/>
            </w:tcBorders>
            <w:shd w:val="clear" w:color="auto" w:fill="auto"/>
            <w:noWrap/>
            <w:vAlign w:val="bottom"/>
            <w:hideMark/>
          </w:tcPr>
          <w:p w:rsidR="009E3AE1" w:rsidRDefault="009E3AE1">
            <w:pPr>
              <w:jc w:val="right"/>
              <w:rPr>
                <w:rFonts w:ascii="Arial" w:hAnsi="Arial" w:cs="Arial"/>
                <w:sz w:val="20"/>
                <w:szCs w:val="20"/>
              </w:rPr>
            </w:pPr>
            <w:r>
              <w:rPr>
                <w:rFonts w:ascii="Arial" w:hAnsi="Arial" w:cs="Arial"/>
                <w:sz w:val="20"/>
                <w:szCs w:val="20"/>
              </w:rPr>
              <w:t>6,7</w:t>
            </w:r>
          </w:p>
        </w:tc>
        <w:tc>
          <w:tcPr>
            <w:tcW w:w="1000" w:type="dxa"/>
            <w:tcBorders>
              <w:top w:val="nil"/>
              <w:left w:val="nil"/>
              <w:bottom w:val="nil"/>
              <w:right w:val="nil"/>
            </w:tcBorders>
            <w:shd w:val="clear" w:color="auto" w:fill="auto"/>
            <w:noWrap/>
            <w:vAlign w:val="bottom"/>
            <w:hideMark/>
          </w:tcPr>
          <w:p w:rsidR="009E3AE1" w:rsidRDefault="009E3AE1">
            <w:pPr>
              <w:jc w:val="right"/>
              <w:rPr>
                <w:rFonts w:ascii="Arial" w:hAnsi="Arial" w:cs="Arial"/>
                <w:sz w:val="20"/>
                <w:szCs w:val="20"/>
              </w:rPr>
            </w:pPr>
            <w:r>
              <w:rPr>
                <w:rFonts w:ascii="Arial" w:hAnsi="Arial" w:cs="Arial"/>
                <w:sz w:val="20"/>
                <w:szCs w:val="20"/>
              </w:rPr>
              <w:t>6,3</w:t>
            </w:r>
          </w:p>
        </w:tc>
        <w:tc>
          <w:tcPr>
            <w:tcW w:w="1040" w:type="dxa"/>
            <w:tcBorders>
              <w:top w:val="nil"/>
              <w:left w:val="nil"/>
              <w:bottom w:val="nil"/>
              <w:right w:val="nil"/>
            </w:tcBorders>
            <w:shd w:val="clear" w:color="auto" w:fill="auto"/>
            <w:noWrap/>
            <w:vAlign w:val="bottom"/>
            <w:hideMark/>
          </w:tcPr>
          <w:p w:rsidR="009E3AE1" w:rsidRDefault="009E3AE1">
            <w:pPr>
              <w:jc w:val="right"/>
              <w:rPr>
                <w:rFonts w:ascii="Arial" w:hAnsi="Arial" w:cs="Arial"/>
                <w:sz w:val="20"/>
                <w:szCs w:val="20"/>
              </w:rPr>
            </w:pPr>
            <w:r>
              <w:rPr>
                <w:rFonts w:ascii="Arial" w:hAnsi="Arial" w:cs="Arial"/>
                <w:sz w:val="20"/>
                <w:szCs w:val="20"/>
              </w:rPr>
              <w:t>6,5</w:t>
            </w:r>
          </w:p>
        </w:tc>
        <w:tc>
          <w:tcPr>
            <w:tcW w:w="920" w:type="dxa"/>
            <w:tcBorders>
              <w:top w:val="nil"/>
              <w:left w:val="nil"/>
              <w:bottom w:val="nil"/>
              <w:right w:val="nil"/>
            </w:tcBorders>
            <w:shd w:val="clear" w:color="auto" w:fill="auto"/>
            <w:noWrap/>
            <w:vAlign w:val="bottom"/>
            <w:hideMark/>
          </w:tcPr>
          <w:p w:rsidR="009E3AE1" w:rsidRDefault="009E3AE1">
            <w:pPr>
              <w:jc w:val="right"/>
              <w:rPr>
                <w:rFonts w:ascii="Arial" w:hAnsi="Arial" w:cs="Arial"/>
                <w:sz w:val="20"/>
                <w:szCs w:val="20"/>
              </w:rPr>
            </w:pPr>
            <w:r>
              <w:rPr>
                <w:rFonts w:ascii="Arial" w:hAnsi="Arial" w:cs="Arial"/>
                <w:sz w:val="20"/>
                <w:szCs w:val="20"/>
              </w:rPr>
              <w:t>7,1</w:t>
            </w:r>
          </w:p>
        </w:tc>
        <w:tc>
          <w:tcPr>
            <w:tcW w:w="1140" w:type="dxa"/>
            <w:tcBorders>
              <w:top w:val="nil"/>
              <w:left w:val="nil"/>
              <w:bottom w:val="nil"/>
              <w:right w:val="nil"/>
            </w:tcBorders>
            <w:shd w:val="clear" w:color="auto" w:fill="auto"/>
            <w:noWrap/>
            <w:vAlign w:val="bottom"/>
            <w:hideMark/>
          </w:tcPr>
          <w:p w:rsidR="009E3AE1" w:rsidRDefault="009E3AE1">
            <w:pPr>
              <w:jc w:val="right"/>
              <w:rPr>
                <w:rFonts w:ascii="Arial" w:hAnsi="Arial" w:cs="Arial"/>
                <w:sz w:val="20"/>
                <w:szCs w:val="20"/>
              </w:rPr>
            </w:pPr>
            <w:r>
              <w:rPr>
                <w:rFonts w:ascii="Arial" w:hAnsi="Arial" w:cs="Arial"/>
                <w:sz w:val="20"/>
                <w:szCs w:val="20"/>
              </w:rPr>
              <w:t>7,5</w:t>
            </w:r>
          </w:p>
        </w:tc>
      </w:tr>
      <w:tr w:rsidR="006E4D52" w:rsidTr="006E4D52">
        <w:trPr>
          <w:trHeight w:val="525"/>
          <w:jc w:val="center"/>
        </w:trPr>
        <w:tc>
          <w:tcPr>
            <w:tcW w:w="4420" w:type="dxa"/>
            <w:tcBorders>
              <w:top w:val="nil"/>
              <w:left w:val="nil"/>
              <w:bottom w:val="nil"/>
              <w:right w:val="nil"/>
            </w:tcBorders>
            <w:shd w:val="clear" w:color="auto" w:fill="auto"/>
            <w:vAlign w:val="center"/>
            <w:hideMark/>
          </w:tcPr>
          <w:p w:rsidR="006E4D52" w:rsidRDefault="006E4D52">
            <w:pPr>
              <w:jc w:val="both"/>
              <w:rPr>
                <w:rFonts w:ascii="Verdana" w:hAnsi="Verdana" w:cs="Calibri"/>
                <w:color w:val="000000"/>
                <w:sz w:val="20"/>
                <w:szCs w:val="20"/>
              </w:rPr>
            </w:pPr>
            <w:r>
              <w:rPr>
                <w:rFonts w:ascii="Verdana" w:hAnsi="Verdana" w:cs="Arial"/>
                <w:color w:val="000000"/>
                <w:sz w:val="20"/>
                <w:szCs w:val="20"/>
              </w:rPr>
              <w:t>Recursos contra concursos, sentencias j. mercantil y marca y dibujo comunitarios</w:t>
            </w:r>
          </w:p>
        </w:tc>
        <w:tc>
          <w:tcPr>
            <w:tcW w:w="1020" w:type="dxa"/>
            <w:tcBorders>
              <w:top w:val="nil"/>
              <w:left w:val="nil"/>
              <w:bottom w:val="nil"/>
              <w:right w:val="nil"/>
            </w:tcBorders>
            <w:shd w:val="clear" w:color="auto" w:fill="auto"/>
            <w:noWrap/>
            <w:vAlign w:val="center"/>
            <w:hideMark/>
          </w:tcPr>
          <w:p w:rsidR="006E4D52" w:rsidRDefault="006E4D52">
            <w:pPr>
              <w:jc w:val="right"/>
              <w:rPr>
                <w:rFonts w:ascii="Verdana" w:hAnsi="Verdana" w:cs="Calibri"/>
                <w:color w:val="000000"/>
                <w:sz w:val="20"/>
                <w:szCs w:val="20"/>
              </w:rPr>
            </w:pPr>
            <w:r>
              <w:rPr>
                <w:rFonts w:ascii="Verdana" w:hAnsi="Verdana" w:cs="Calibri"/>
                <w:color w:val="000000"/>
                <w:sz w:val="20"/>
                <w:szCs w:val="20"/>
              </w:rPr>
              <w:t>8,6</w:t>
            </w:r>
          </w:p>
        </w:tc>
        <w:tc>
          <w:tcPr>
            <w:tcW w:w="1000" w:type="dxa"/>
            <w:tcBorders>
              <w:top w:val="nil"/>
              <w:left w:val="nil"/>
              <w:bottom w:val="nil"/>
              <w:right w:val="nil"/>
            </w:tcBorders>
            <w:shd w:val="clear" w:color="auto" w:fill="auto"/>
            <w:noWrap/>
            <w:vAlign w:val="center"/>
            <w:hideMark/>
          </w:tcPr>
          <w:p w:rsidR="006E4D52" w:rsidRDefault="006E4D52">
            <w:pPr>
              <w:jc w:val="right"/>
              <w:rPr>
                <w:rFonts w:ascii="Verdana" w:hAnsi="Verdana" w:cs="Calibri"/>
                <w:color w:val="000000"/>
                <w:sz w:val="20"/>
                <w:szCs w:val="20"/>
              </w:rPr>
            </w:pPr>
            <w:r>
              <w:rPr>
                <w:rFonts w:ascii="Verdana" w:hAnsi="Verdana" w:cs="Calibri"/>
                <w:color w:val="000000"/>
                <w:sz w:val="20"/>
                <w:szCs w:val="20"/>
              </w:rPr>
              <w:t>8,2</w:t>
            </w:r>
          </w:p>
        </w:tc>
        <w:tc>
          <w:tcPr>
            <w:tcW w:w="1040" w:type="dxa"/>
            <w:tcBorders>
              <w:top w:val="nil"/>
              <w:left w:val="nil"/>
              <w:bottom w:val="nil"/>
              <w:right w:val="nil"/>
            </w:tcBorders>
            <w:shd w:val="clear" w:color="auto" w:fill="auto"/>
            <w:noWrap/>
            <w:vAlign w:val="center"/>
            <w:hideMark/>
          </w:tcPr>
          <w:p w:rsidR="006E4D52" w:rsidRDefault="006E4D52">
            <w:pPr>
              <w:jc w:val="right"/>
              <w:rPr>
                <w:rFonts w:ascii="Verdana" w:hAnsi="Verdana" w:cs="Calibri"/>
                <w:color w:val="000000"/>
                <w:sz w:val="20"/>
                <w:szCs w:val="20"/>
              </w:rPr>
            </w:pPr>
            <w:r>
              <w:rPr>
                <w:rFonts w:ascii="Verdana" w:hAnsi="Verdana" w:cs="Calibri"/>
                <w:color w:val="000000"/>
                <w:sz w:val="20"/>
                <w:szCs w:val="20"/>
              </w:rPr>
              <w:t>7,2</w:t>
            </w:r>
          </w:p>
        </w:tc>
        <w:tc>
          <w:tcPr>
            <w:tcW w:w="920" w:type="dxa"/>
            <w:tcBorders>
              <w:top w:val="nil"/>
              <w:left w:val="nil"/>
              <w:bottom w:val="nil"/>
              <w:right w:val="nil"/>
            </w:tcBorders>
            <w:shd w:val="clear" w:color="auto" w:fill="auto"/>
            <w:noWrap/>
            <w:vAlign w:val="center"/>
            <w:hideMark/>
          </w:tcPr>
          <w:p w:rsidR="006E4D52" w:rsidRDefault="006E4D52">
            <w:pPr>
              <w:jc w:val="right"/>
              <w:rPr>
                <w:rFonts w:ascii="Verdana" w:hAnsi="Verdana" w:cs="Calibri"/>
                <w:color w:val="000000"/>
                <w:sz w:val="20"/>
                <w:szCs w:val="20"/>
              </w:rPr>
            </w:pPr>
            <w:r>
              <w:rPr>
                <w:rFonts w:ascii="Verdana" w:hAnsi="Verdana" w:cs="Calibri"/>
                <w:color w:val="000000"/>
                <w:sz w:val="20"/>
                <w:szCs w:val="20"/>
              </w:rPr>
              <w:t>7,6</w:t>
            </w:r>
          </w:p>
        </w:tc>
        <w:tc>
          <w:tcPr>
            <w:tcW w:w="1140" w:type="dxa"/>
            <w:tcBorders>
              <w:top w:val="nil"/>
              <w:left w:val="nil"/>
              <w:bottom w:val="nil"/>
              <w:right w:val="nil"/>
            </w:tcBorders>
            <w:shd w:val="clear" w:color="auto" w:fill="auto"/>
            <w:noWrap/>
            <w:vAlign w:val="center"/>
            <w:hideMark/>
          </w:tcPr>
          <w:p w:rsidR="006E4D52" w:rsidRDefault="006E4D52">
            <w:pPr>
              <w:jc w:val="right"/>
              <w:rPr>
                <w:rFonts w:ascii="Verdana" w:hAnsi="Verdana" w:cs="Calibri"/>
                <w:color w:val="000000"/>
                <w:sz w:val="20"/>
                <w:szCs w:val="20"/>
              </w:rPr>
            </w:pPr>
            <w:r>
              <w:rPr>
                <w:rFonts w:ascii="Verdana" w:hAnsi="Verdana" w:cs="Calibri"/>
                <w:color w:val="000000"/>
                <w:sz w:val="20"/>
                <w:szCs w:val="20"/>
              </w:rPr>
              <w:t>7,6</w:t>
            </w:r>
          </w:p>
        </w:tc>
      </w:tr>
      <w:tr w:rsidR="006921ED" w:rsidTr="00343324">
        <w:trPr>
          <w:trHeight w:val="315"/>
          <w:jc w:val="center"/>
        </w:trPr>
        <w:tc>
          <w:tcPr>
            <w:tcW w:w="4420" w:type="dxa"/>
            <w:tcBorders>
              <w:top w:val="single" w:sz="8" w:space="0" w:color="auto"/>
              <w:left w:val="nil"/>
              <w:bottom w:val="single" w:sz="8" w:space="0" w:color="auto"/>
              <w:right w:val="nil"/>
            </w:tcBorders>
            <w:shd w:val="clear" w:color="auto" w:fill="auto"/>
            <w:vAlign w:val="center"/>
            <w:hideMark/>
          </w:tcPr>
          <w:p w:rsidR="006921ED" w:rsidRDefault="006921ED">
            <w:pPr>
              <w:jc w:val="both"/>
              <w:rPr>
                <w:rFonts w:ascii="Verdana" w:hAnsi="Verdana" w:cs="Calibri"/>
                <w:b/>
                <w:bCs/>
                <w:color w:val="000080"/>
                <w:sz w:val="20"/>
                <w:szCs w:val="20"/>
              </w:rPr>
            </w:pPr>
            <w:r>
              <w:rPr>
                <w:rFonts w:ascii="Verdana" w:hAnsi="Verdana" w:cs="Arial"/>
                <w:b/>
                <w:bCs/>
                <w:color w:val="000080"/>
                <w:sz w:val="20"/>
                <w:szCs w:val="20"/>
              </w:rPr>
              <w:lastRenderedPageBreak/>
              <w:t>Total A. P. civiles</w:t>
            </w:r>
          </w:p>
        </w:tc>
        <w:tc>
          <w:tcPr>
            <w:tcW w:w="1020" w:type="dxa"/>
            <w:tcBorders>
              <w:top w:val="single" w:sz="8" w:space="0" w:color="auto"/>
              <w:left w:val="nil"/>
              <w:bottom w:val="single" w:sz="8" w:space="0" w:color="auto"/>
              <w:right w:val="nil"/>
            </w:tcBorders>
            <w:shd w:val="clear" w:color="auto" w:fill="auto"/>
            <w:noWrap/>
            <w:vAlign w:val="bottom"/>
            <w:hideMark/>
          </w:tcPr>
          <w:p w:rsidR="006921ED" w:rsidRPr="006921ED" w:rsidRDefault="006921ED">
            <w:pPr>
              <w:jc w:val="right"/>
              <w:rPr>
                <w:rFonts w:ascii="Verdana" w:hAnsi="Verdana" w:cs="Arial"/>
                <w:b/>
                <w:sz w:val="20"/>
                <w:szCs w:val="20"/>
              </w:rPr>
            </w:pPr>
            <w:r w:rsidRPr="006921ED">
              <w:rPr>
                <w:rFonts w:ascii="Verdana" w:hAnsi="Verdana" w:cs="Arial"/>
                <w:b/>
                <w:sz w:val="20"/>
                <w:szCs w:val="20"/>
              </w:rPr>
              <w:t>6,8</w:t>
            </w:r>
          </w:p>
        </w:tc>
        <w:tc>
          <w:tcPr>
            <w:tcW w:w="1000" w:type="dxa"/>
            <w:tcBorders>
              <w:top w:val="single" w:sz="8" w:space="0" w:color="auto"/>
              <w:left w:val="nil"/>
              <w:bottom w:val="single" w:sz="8" w:space="0" w:color="auto"/>
              <w:right w:val="nil"/>
            </w:tcBorders>
            <w:shd w:val="clear" w:color="auto" w:fill="auto"/>
            <w:noWrap/>
            <w:vAlign w:val="bottom"/>
            <w:hideMark/>
          </w:tcPr>
          <w:p w:rsidR="006921ED" w:rsidRPr="006921ED" w:rsidRDefault="006921ED">
            <w:pPr>
              <w:jc w:val="right"/>
              <w:rPr>
                <w:rFonts w:ascii="Verdana" w:hAnsi="Verdana" w:cs="Arial"/>
                <w:b/>
                <w:sz w:val="20"/>
                <w:szCs w:val="20"/>
              </w:rPr>
            </w:pPr>
            <w:r w:rsidRPr="006921ED">
              <w:rPr>
                <w:rFonts w:ascii="Verdana" w:hAnsi="Verdana" w:cs="Arial"/>
                <w:b/>
                <w:sz w:val="20"/>
                <w:szCs w:val="20"/>
              </w:rPr>
              <w:t>6,4</w:t>
            </w:r>
          </w:p>
        </w:tc>
        <w:tc>
          <w:tcPr>
            <w:tcW w:w="1040" w:type="dxa"/>
            <w:tcBorders>
              <w:top w:val="single" w:sz="8" w:space="0" w:color="auto"/>
              <w:left w:val="nil"/>
              <w:bottom w:val="single" w:sz="8" w:space="0" w:color="auto"/>
              <w:right w:val="nil"/>
            </w:tcBorders>
            <w:shd w:val="clear" w:color="auto" w:fill="auto"/>
            <w:noWrap/>
            <w:vAlign w:val="bottom"/>
            <w:hideMark/>
          </w:tcPr>
          <w:p w:rsidR="006921ED" w:rsidRPr="006921ED" w:rsidRDefault="006921ED">
            <w:pPr>
              <w:jc w:val="right"/>
              <w:rPr>
                <w:rFonts w:ascii="Verdana" w:hAnsi="Verdana" w:cs="Arial"/>
                <w:b/>
                <w:sz w:val="20"/>
                <w:szCs w:val="20"/>
              </w:rPr>
            </w:pPr>
            <w:r w:rsidRPr="006921ED">
              <w:rPr>
                <w:rFonts w:ascii="Verdana" w:hAnsi="Verdana" w:cs="Arial"/>
                <w:b/>
                <w:sz w:val="20"/>
                <w:szCs w:val="20"/>
              </w:rPr>
              <w:t>6,4</w:t>
            </w:r>
          </w:p>
        </w:tc>
        <w:tc>
          <w:tcPr>
            <w:tcW w:w="920" w:type="dxa"/>
            <w:tcBorders>
              <w:top w:val="single" w:sz="8" w:space="0" w:color="auto"/>
              <w:left w:val="nil"/>
              <w:bottom w:val="single" w:sz="8" w:space="0" w:color="auto"/>
              <w:right w:val="nil"/>
            </w:tcBorders>
            <w:shd w:val="clear" w:color="auto" w:fill="auto"/>
            <w:noWrap/>
            <w:vAlign w:val="bottom"/>
            <w:hideMark/>
          </w:tcPr>
          <w:p w:rsidR="006921ED" w:rsidRPr="006921ED" w:rsidRDefault="006921ED">
            <w:pPr>
              <w:jc w:val="right"/>
              <w:rPr>
                <w:rFonts w:ascii="Verdana" w:hAnsi="Verdana" w:cs="Arial"/>
                <w:b/>
                <w:sz w:val="20"/>
                <w:szCs w:val="20"/>
              </w:rPr>
            </w:pPr>
            <w:r w:rsidRPr="006921ED">
              <w:rPr>
                <w:rFonts w:ascii="Verdana" w:hAnsi="Verdana" w:cs="Arial"/>
                <w:b/>
                <w:sz w:val="20"/>
                <w:szCs w:val="20"/>
              </w:rPr>
              <w:t>7,0</w:t>
            </w:r>
          </w:p>
        </w:tc>
        <w:tc>
          <w:tcPr>
            <w:tcW w:w="1140" w:type="dxa"/>
            <w:tcBorders>
              <w:top w:val="single" w:sz="8" w:space="0" w:color="auto"/>
              <w:left w:val="nil"/>
              <w:bottom w:val="single" w:sz="8" w:space="0" w:color="auto"/>
              <w:right w:val="nil"/>
            </w:tcBorders>
            <w:shd w:val="clear" w:color="auto" w:fill="auto"/>
            <w:noWrap/>
            <w:vAlign w:val="bottom"/>
            <w:hideMark/>
          </w:tcPr>
          <w:p w:rsidR="006921ED" w:rsidRPr="006921ED" w:rsidRDefault="006921ED">
            <w:pPr>
              <w:jc w:val="right"/>
              <w:rPr>
                <w:rFonts w:ascii="Verdana" w:hAnsi="Verdana" w:cs="Arial"/>
                <w:b/>
                <w:sz w:val="20"/>
                <w:szCs w:val="20"/>
              </w:rPr>
            </w:pPr>
            <w:r w:rsidRPr="006921ED">
              <w:rPr>
                <w:rFonts w:ascii="Verdana" w:hAnsi="Verdana" w:cs="Arial"/>
                <w:b/>
                <w:sz w:val="20"/>
                <w:szCs w:val="20"/>
              </w:rPr>
              <w:t>7,4</w:t>
            </w:r>
          </w:p>
        </w:tc>
      </w:tr>
    </w:tbl>
    <w:p w:rsidR="00096F49" w:rsidRPr="00617833" w:rsidRDefault="00FC266F">
      <w:pPr>
        <w:pStyle w:val="Textoindependiente"/>
        <w:spacing w:before="120" w:after="120"/>
        <w:ind w:firstLine="357"/>
        <w:rPr>
          <w:rFonts w:ascii="Verdana" w:hAnsi="Verdana"/>
          <w:sz w:val="20"/>
        </w:rPr>
      </w:pPr>
      <w:r w:rsidRPr="00617833">
        <w:rPr>
          <w:rFonts w:ascii="Verdana" w:hAnsi="Verdana"/>
          <w:sz w:val="20"/>
        </w:rPr>
        <w:t>L</w:t>
      </w:r>
      <w:r w:rsidR="00F32950" w:rsidRPr="00617833">
        <w:rPr>
          <w:rFonts w:ascii="Verdana" w:hAnsi="Verdana"/>
          <w:sz w:val="20"/>
        </w:rPr>
        <w:t xml:space="preserve">a mayor duración para los procesos en única instancia se ha dado en </w:t>
      </w:r>
      <w:r w:rsidR="00A93A79" w:rsidRPr="00617833">
        <w:rPr>
          <w:rFonts w:ascii="Verdana" w:hAnsi="Verdana"/>
          <w:sz w:val="20"/>
        </w:rPr>
        <w:t>Murcia</w:t>
      </w:r>
      <w:r w:rsidR="00AC15C5" w:rsidRPr="00617833">
        <w:rPr>
          <w:rFonts w:ascii="Verdana" w:hAnsi="Verdana"/>
          <w:sz w:val="20"/>
        </w:rPr>
        <w:t xml:space="preserve">, </w:t>
      </w:r>
      <w:r w:rsidR="001A7228" w:rsidRPr="00617833">
        <w:rPr>
          <w:rFonts w:ascii="Verdana" w:hAnsi="Verdana"/>
          <w:sz w:val="20"/>
        </w:rPr>
        <w:t>1</w:t>
      </w:r>
      <w:r w:rsidR="006921ED" w:rsidRPr="00617833">
        <w:rPr>
          <w:rFonts w:ascii="Verdana" w:hAnsi="Verdana"/>
          <w:sz w:val="20"/>
        </w:rPr>
        <w:t>7</w:t>
      </w:r>
      <w:r w:rsidR="00096F49" w:rsidRPr="00617833">
        <w:rPr>
          <w:rFonts w:ascii="Verdana" w:hAnsi="Verdana"/>
          <w:sz w:val="20"/>
        </w:rPr>
        <w:t>,</w:t>
      </w:r>
      <w:r w:rsidR="006921ED" w:rsidRPr="00617833">
        <w:rPr>
          <w:rFonts w:ascii="Verdana" w:hAnsi="Verdana"/>
          <w:sz w:val="20"/>
        </w:rPr>
        <w:t>7</w:t>
      </w:r>
      <w:r w:rsidR="00A533FB" w:rsidRPr="00617833">
        <w:rPr>
          <w:rFonts w:ascii="Verdana" w:hAnsi="Verdana"/>
          <w:sz w:val="20"/>
        </w:rPr>
        <w:t xml:space="preserve"> meses</w:t>
      </w:r>
      <w:r w:rsidR="00ED4A51" w:rsidRPr="00617833">
        <w:rPr>
          <w:rFonts w:ascii="Verdana" w:hAnsi="Verdana"/>
          <w:sz w:val="20"/>
        </w:rPr>
        <w:t>,</w:t>
      </w:r>
      <w:r w:rsidR="00F32950" w:rsidRPr="00617833">
        <w:rPr>
          <w:rFonts w:ascii="Verdana" w:hAnsi="Verdana"/>
          <w:sz w:val="20"/>
        </w:rPr>
        <w:t xml:space="preserve"> </w:t>
      </w:r>
      <w:r w:rsidR="00096F49" w:rsidRPr="00617833">
        <w:rPr>
          <w:rFonts w:ascii="Verdana" w:hAnsi="Verdana"/>
          <w:sz w:val="20"/>
        </w:rPr>
        <w:t xml:space="preserve">mientras que para los recursos ha sido </w:t>
      </w:r>
      <w:r w:rsidR="001A7228" w:rsidRPr="00617833">
        <w:rPr>
          <w:rFonts w:ascii="Verdana" w:hAnsi="Verdana"/>
          <w:sz w:val="20"/>
        </w:rPr>
        <w:t>Cataluña, 1</w:t>
      </w:r>
      <w:r w:rsidR="006921ED" w:rsidRPr="00617833">
        <w:rPr>
          <w:rFonts w:ascii="Verdana" w:hAnsi="Verdana"/>
          <w:sz w:val="20"/>
        </w:rPr>
        <w:t>1</w:t>
      </w:r>
      <w:r w:rsidR="001A7228" w:rsidRPr="00617833">
        <w:rPr>
          <w:rFonts w:ascii="Verdana" w:hAnsi="Verdana"/>
          <w:sz w:val="20"/>
        </w:rPr>
        <w:t>,</w:t>
      </w:r>
      <w:r w:rsidR="006921ED" w:rsidRPr="00617833">
        <w:rPr>
          <w:rFonts w:ascii="Verdana" w:hAnsi="Verdana"/>
          <w:sz w:val="20"/>
        </w:rPr>
        <w:t>7</w:t>
      </w:r>
      <w:r w:rsidR="001A7228" w:rsidRPr="00617833">
        <w:rPr>
          <w:rFonts w:ascii="Verdana" w:hAnsi="Verdana"/>
          <w:sz w:val="20"/>
        </w:rPr>
        <w:t xml:space="preserve"> meses</w:t>
      </w:r>
      <w:r w:rsidR="00072219" w:rsidRPr="00617833">
        <w:rPr>
          <w:rFonts w:ascii="Verdana" w:hAnsi="Verdana"/>
          <w:sz w:val="20"/>
        </w:rPr>
        <w:t>,</w:t>
      </w:r>
      <w:r w:rsidR="00096F49" w:rsidRPr="00617833">
        <w:rPr>
          <w:rFonts w:ascii="Verdana" w:hAnsi="Verdana"/>
          <w:sz w:val="20"/>
        </w:rPr>
        <w:t xml:space="preserve"> los TSJ con duraciones </w:t>
      </w:r>
      <w:r w:rsidR="0018371C" w:rsidRPr="00617833">
        <w:rPr>
          <w:rFonts w:ascii="Verdana" w:hAnsi="Verdana"/>
          <w:sz w:val="20"/>
        </w:rPr>
        <w:t>más</w:t>
      </w:r>
      <w:r w:rsidR="00096F49" w:rsidRPr="00617833">
        <w:rPr>
          <w:rFonts w:ascii="Verdana" w:hAnsi="Verdana"/>
          <w:sz w:val="20"/>
        </w:rPr>
        <w:t xml:space="preserve"> altas.</w:t>
      </w:r>
    </w:p>
    <w:p w:rsidR="001A7228" w:rsidRPr="00617833" w:rsidRDefault="001A7228">
      <w:pPr>
        <w:pStyle w:val="Textoindependiente"/>
        <w:spacing w:before="120" w:after="120"/>
        <w:ind w:firstLine="357"/>
        <w:rPr>
          <w:rFonts w:ascii="Verdana" w:hAnsi="Verdana"/>
          <w:sz w:val="20"/>
        </w:rPr>
      </w:pPr>
      <w:r w:rsidRPr="00617833">
        <w:rPr>
          <w:rFonts w:ascii="Verdana" w:hAnsi="Verdana"/>
          <w:sz w:val="20"/>
        </w:rPr>
        <w:t>Para</w:t>
      </w:r>
      <w:r w:rsidR="00F30BEC" w:rsidRPr="00617833">
        <w:rPr>
          <w:rFonts w:ascii="Verdana" w:hAnsi="Verdana"/>
          <w:sz w:val="20"/>
        </w:rPr>
        <w:t xml:space="preserve"> las duraciones medias de</w:t>
      </w:r>
      <w:r w:rsidRPr="00617833">
        <w:rPr>
          <w:rFonts w:ascii="Verdana" w:hAnsi="Verdana"/>
          <w:sz w:val="20"/>
        </w:rPr>
        <w:t xml:space="preserve"> los recursos se puede ofrecer el siguiente detalle:</w:t>
      </w:r>
    </w:p>
    <w:tbl>
      <w:tblPr>
        <w:tblW w:w="8020" w:type="dxa"/>
        <w:jc w:val="center"/>
        <w:tblInd w:w="55" w:type="dxa"/>
        <w:tblCellMar>
          <w:left w:w="70" w:type="dxa"/>
          <w:right w:w="70" w:type="dxa"/>
        </w:tblCellMar>
        <w:tblLook w:val="04A0" w:firstRow="1" w:lastRow="0" w:firstColumn="1" w:lastColumn="0" w:noHBand="0" w:noVBand="1"/>
      </w:tblPr>
      <w:tblGrid>
        <w:gridCol w:w="2800"/>
        <w:gridCol w:w="940"/>
        <w:gridCol w:w="1060"/>
        <w:gridCol w:w="1080"/>
        <w:gridCol w:w="1040"/>
        <w:gridCol w:w="1100"/>
      </w:tblGrid>
      <w:tr w:rsidR="00C036A8" w:rsidRPr="00617833" w:rsidTr="00A22656">
        <w:trPr>
          <w:trHeight w:val="300"/>
          <w:jc w:val="center"/>
        </w:trPr>
        <w:tc>
          <w:tcPr>
            <w:tcW w:w="2800" w:type="dxa"/>
            <w:tcBorders>
              <w:top w:val="nil"/>
              <w:left w:val="nil"/>
              <w:bottom w:val="nil"/>
              <w:right w:val="nil"/>
            </w:tcBorders>
            <w:shd w:val="clear" w:color="auto" w:fill="auto"/>
            <w:noWrap/>
            <w:vAlign w:val="center"/>
            <w:hideMark/>
          </w:tcPr>
          <w:p w:rsidR="00C036A8" w:rsidRPr="00617833" w:rsidRDefault="00C036A8">
            <w:pPr>
              <w:rPr>
                <w:rFonts w:ascii="Verdana" w:hAnsi="Verdana" w:cs="Calibri"/>
                <w:color w:val="FF0000"/>
                <w:sz w:val="20"/>
                <w:szCs w:val="20"/>
              </w:rPr>
            </w:pPr>
          </w:p>
        </w:tc>
        <w:tc>
          <w:tcPr>
            <w:tcW w:w="940" w:type="dxa"/>
            <w:tcBorders>
              <w:top w:val="single" w:sz="8" w:space="0" w:color="auto"/>
              <w:left w:val="nil"/>
              <w:bottom w:val="single" w:sz="8" w:space="0" w:color="auto"/>
              <w:right w:val="nil"/>
            </w:tcBorders>
            <w:shd w:val="clear" w:color="auto" w:fill="auto"/>
            <w:vAlign w:val="center"/>
            <w:hideMark/>
          </w:tcPr>
          <w:p w:rsidR="00C036A8" w:rsidRPr="00617833" w:rsidRDefault="00C036A8" w:rsidP="00C036A8">
            <w:pPr>
              <w:jc w:val="center"/>
              <w:rPr>
                <w:rFonts w:ascii="Verdana" w:hAnsi="Verdana" w:cs="Calibri"/>
                <w:b/>
                <w:bCs/>
                <w:color w:val="000080"/>
                <w:sz w:val="20"/>
                <w:szCs w:val="20"/>
              </w:rPr>
            </w:pPr>
            <w:r w:rsidRPr="00617833">
              <w:rPr>
                <w:rFonts w:ascii="Verdana" w:hAnsi="Verdana" w:cs="Calibri"/>
                <w:b/>
                <w:bCs/>
                <w:color w:val="000080"/>
                <w:sz w:val="20"/>
                <w:szCs w:val="20"/>
              </w:rPr>
              <w:t>2017</w:t>
            </w:r>
          </w:p>
        </w:tc>
        <w:tc>
          <w:tcPr>
            <w:tcW w:w="1060" w:type="dxa"/>
            <w:tcBorders>
              <w:top w:val="single" w:sz="8" w:space="0" w:color="auto"/>
              <w:left w:val="nil"/>
              <w:bottom w:val="single" w:sz="8" w:space="0" w:color="auto"/>
              <w:right w:val="nil"/>
            </w:tcBorders>
            <w:shd w:val="clear" w:color="auto" w:fill="auto"/>
            <w:vAlign w:val="center"/>
            <w:hideMark/>
          </w:tcPr>
          <w:p w:rsidR="00C036A8" w:rsidRPr="00617833" w:rsidRDefault="00C036A8"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2016</w:t>
            </w:r>
          </w:p>
        </w:tc>
        <w:tc>
          <w:tcPr>
            <w:tcW w:w="1080" w:type="dxa"/>
            <w:tcBorders>
              <w:top w:val="single" w:sz="8" w:space="0" w:color="auto"/>
              <w:left w:val="nil"/>
              <w:bottom w:val="single" w:sz="8" w:space="0" w:color="auto"/>
              <w:right w:val="nil"/>
            </w:tcBorders>
            <w:shd w:val="clear" w:color="auto" w:fill="auto"/>
            <w:vAlign w:val="center"/>
            <w:hideMark/>
          </w:tcPr>
          <w:p w:rsidR="00C036A8" w:rsidRPr="00617833" w:rsidRDefault="00C036A8"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2015</w:t>
            </w:r>
          </w:p>
        </w:tc>
        <w:tc>
          <w:tcPr>
            <w:tcW w:w="1040" w:type="dxa"/>
            <w:tcBorders>
              <w:top w:val="single" w:sz="8" w:space="0" w:color="auto"/>
              <w:left w:val="nil"/>
              <w:bottom w:val="single" w:sz="8" w:space="0" w:color="auto"/>
              <w:right w:val="nil"/>
            </w:tcBorders>
            <w:shd w:val="clear" w:color="auto" w:fill="auto"/>
            <w:vAlign w:val="center"/>
            <w:hideMark/>
          </w:tcPr>
          <w:p w:rsidR="00C036A8" w:rsidRPr="00617833" w:rsidRDefault="00C036A8"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2014</w:t>
            </w:r>
          </w:p>
        </w:tc>
        <w:tc>
          <w:tcPr>
            <w:tcW w:w="1100" w:type="dxa"/>
            <w:tcBorders>
              <w:top w:val="single" w:sz="8" w:space="0" w:color="auto"/>
              <w:left w:val="nil"/>
              <w:bottom w:val="single" w:sz="8" w:space="0" w:color="auto"/>
              <w:right w:val="nil"/>
            </w:tcBorders>
            <w:shd w:val="clear" w:color="auto" w:fill="auto"/>
            <w:vAlign w:val="center"/>
            <w:hideMark/>
          </w:tcPr>
          <w:p w:rsidR="00C036A8" w:rsidRPr="00617833" w:rsidRDefault="00C036A8" w:rsidP="00343324">
            <w:pPr>
              <w:jc w:val="center"/>
              <w:rPr>
                <w:rFonts w:ascii="Verdana" w:hAnsi="Verdana" w:cs="Calibri"/>
                <w:b/>
                <w:bCs/>
                <w:color w:val="000080"/>
                <w:sz w:val="20"/>
                <w:szCs w:val="20"/>
              </w:rPr>
            </w:pPr>
            <w:r w:rsidRPr="00617833">
              <w:rPr>
                <w:rFonts w:ascii="Verdana" w:hAnsi="Verdana" w:cs="Calibri"/>
                <w:b/>
                <w:bCs/>
                <w:color w:val="000080"/>
                <w:sz w:val="20"/>
                <w:szCs w:val="20"/>
              </w:rPr>
              <w:t>2013</w:t>
            </w:r>
          </w:p>
        </w:tc>
      </w:tr>
      <w:tr w:rsidR="00C036A8" w:rsidRPr="00617833" w:rsidTr="00A22656">
        <w:trPr>
          <w:trHeight w:val="285"/>
          <w:jc w:val="center"/>
        </w:trPr>
        <w:tc>
          <w:tcPr>
            <w:tcW w:w="2800" w:type="dxa"/>
            <w:tcBorders>
              <w:top w:val="single" w:sz="8" w:space="0" w:color="auto"/>
              <w:left w:val="nil"/>
              <w:bottom w:val="nil"/>
              <w:right w:val="nil"/>
            </w:tcBorders>
            <w:shd w:val="clear" w:color="auto" w:fill="auto"/>
            <w:vAlign w:val="center"/>
            <w:hideMark/>
          </w:tcPr>
          <w:p w:rsidR="00C036A8" w:rsidRPr="00617833" w:rsidRDefault="00C036A8">
            <w:pPr>
              <w:rPr>
                <w:rFonts w:ascii="Verdana" w:hAnsi="Verdana" w:cs="Calibri"/>
                <w:sz w:val="20"/>
                <w:szCs w:val="20"/>
              </w:rPr>
            </w:pPr>
            <w:r w:rsidRPr="00617833">
              <w:rPr>
                <w:rFonts w:ascii="Verdana" w:hAnsi="Verdana" w:cs="Calibri"/>
                <w:sz w:val="20"/>
                <w:szCs w:val="20"/>
              </w:rPr>
              <w:t>J. ordinarios</w:t>
            </w:r>
          </w:p>
        </w:tc>
        <w:tc>
          <w:tcPr>
            <w:tcW w:w="9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7,9</w:t>
            </w:r>
          </w:p>
        </w:tc>
        <w:tc>
          <w:tcPr>
            <w:tcW w:w="106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8,0</w:t>
            </w:r>
          </w:p>
        </w:tc>
        <w:tc>
          <w:tcPr>
            <w:tcW w:w="108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8,4</w:t>
            </w:r>
          </w:p>
        </w:tc>
        <w:tc>
          <w:tcPr>
            <w:tcW w:w="10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9,4</w:t>
            </w:r>
          </w:p>
        </w:tc>
        <w:tc>
          <w:tcPr>
            <w:tcW w:w="110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9,2</w:t>
            </w:r>
          </w:p>
        </w:tc>
      </w:tr>
      <w:tr w:rsidR="00C036A8" w:rsidRPr="00617833" w:rsidTr="00A22656">
        <w:trPr>
          <w:trHeight w:val="285"/>
          <w:jc w:val="center"/>
        </w:trPr>
        <w:tc>
          <w:tcPr>
            <w:tcW w:w="2800" w:type="dxa"/>
            <w:tcBorders>
              <w:top w:val="nil"/>
              <w:left w:val="nil"/>
              <w:bottom w:val="nil"/>
              <w:right w:val="nil"/>
            </w:tcBorders>
            <w:shd w:val="clear" w:color="auto" w:fill="auto"/>
            <w:vAlign w:val="center"/>
            <w:hideMark/>
          </w:tcPr>
          <w:p w:rsidR="00C036A8" w:rsidRPr="00617833" w:rsidRDefault="00C036A8">
            <w:pPr>
              <w:jc w:val="both"/>
              <w:rPr>
                <w:rFonts w:ascii="Verdana" w:hAnsi="Verdana" w:cs="Calibri"/>
                <w:sz w:val="20"/>
                <w:szCs w:val="20"/>
              </w:rPr>
            </w:pPr>
            <w:r w:rsidRPr="00617833">
              <w:rPr>
                <w:rFonts w:ascii="Verdana" w:hAnsi="Verdana" w:cs="Calibri"/>
                <w:sz w:val="20"/>
                <w:szCs w:val="20"/>
              </w:rPr>
              <w:t>J. verbales</w:t>
            </w:r>
          </w:p>
        </w:tc>
        <w:tc>
          <w:tcPr>
            <w:tcW w:w="9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6,2</w:t>
            </w:r>
          </w:p>
        </w:tc>
        <w:tc>
          <w:tcPr>
            <w:tcW w:w="106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8,6</w:t>
            </w:r>
          </w:p>
        </w:tc>
        <w:tc>
          <w:tcPr>
            <w:tcW w:w="108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7,2</w:t>
            </w:r>
          </w:p>
        </w:tc>
        <w:tc>
          <w:tcPr>
            <w:tcW w:w="10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8,0</w:t>
            </w:r>
          </w:p>
        </w:tc>
        <w:tc>
          <w:tcPr>
            <w:tcW w:w="110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8,0</w:t>
            </w:r>
          </w:p>
        </w:tc>
      </w:tr>
      <w:tr w:rsidR="00C036A8" w:rsidRPr="00617833" w:rsidTr="00A22656">
        <w:trPr>
          <w:trHeight w:val="285"/>
          <w:jc w:val="center"/>
        </w:trPr>
        <w:tc>
          <w:tcPr>
            <w:tcW w:w="2800" w:type="dxa"/>
            <w:tcBorders>
              <w:top w:val="nil"/>
              <w:left w:val="nil"/>
              <w:bottom w:val="nil"/>
              <w:right w:val="nil"/>
            </w:tcBorders>
            <w:shd w:val="clear" w:color="auto" w:fill="auto"/>
            <w:vAlign w:val="center"/>
            <w:hideMark/>
          </w:tcPr>
          <w:p w:rsidR="00C036A8" w:rsidRPr="00617833" w:rsidRDefault="00C036A8">
            <w:pPr>
              <w:jc w:val="both"/>
              <w:rPr>
                <w:rFonts w:ascii="Verdana" w:hAnsi="Verdana" w:cs="Calibri"/>
                <w:sz w:val="20"/>
                <w:szCs w:val="20"/>
              </w:rPr>
            </w:pPr>
            <w:r w:rsidRPr="00617833">
              <w:rPr>
                <w:rFonts w:ascii="Verdana" w:hAnsi="Verdana" w:cs="Calibri"/>
                <w:sz w:val="20"/>
                <w:szCs w:val="20"/>
              </w:rPr>
              <w:t>Concursos</w:t>
            </w:r>
          </w:p>
        </w:tc>
        <w:tc>
          <w:tcPr>
            <w:tcW w:w="9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7,1</w:t>
            </w:r>
          </w:p>
        </w:tc>
        <w:tc>
          <w:tcPr>
            <w:tcW w:w="106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6,3</w:t>
            </w:r>
          </w:p>
        </w:tc>
        <w:tc>
          <w:tcPr>
            <w:tcW w:w="108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6,2</w:t>
            </w:r>
          </w:p>
        </w:tc>
        <w:tc>
          <w:tcPr>
            <w:tcW w:w="10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6,2</w:t>
            </w:r>
          </w:p>
        </w:tc>
        <w:tc>
          <w:tcPr>
            <w:tcW w:w="110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5,7</w:t>
            </w:r>
          </w:p>
        </w:tc>
      </w:tr>
      <w:tr w:rsidR="00C036A8" w:rsidRPr="00617833" w:rsidTr="00A22656">
        <w:trPr>
          <w:trHeight w:val="285"/>
          <w:jc w:val="center"/>
        </w:trPr>
        <w:tc>
          <w:tcPr>
            <w:tcW w:w="2800" w:type="dxa"/>
            <w:tcBorders>
              <w:top w:val="nil"/>
              <w:left w:val="nil"/>
              <w:bottom w:val="nil"/>
              <w:right w:val="nil"/>
            </w:tcBorders>
            <w:shd w:val="clear" w:color="auto" w:fill="auto"/>
            <w:vAlign w:val="center"/>
            <w:hideMark/>
          </w:tcPr>
          <w:p w:rsidR="00C036A8" w:rsidRPr="00617833" w:rsidRDefault="00C036A8">
            <w:pPr>
              <w:jc w:val="both"/>
              <w:rPr>
                <w:rFonts w:ascii="Verdana" w:hAnsi="Verdana" w:cs="Calibri"/>
                <w:sz w:val="20"/>
                <w:szCs w:val="20"/>
              </w:rPr>
            </w:pPr>
            <w:r w:rsidRPr="00617833">
              <w:rPr>
                <w:rFonts w:ascii="Verdana" w:hAnsi="Verdana" w:cs="Calibri"/>
                <w:sz w:val="20"/>
                <w:szCs w:val="20"/>
              </w:rPr>
              <w:t>Declarativos mercantil</w:t>
            </w:r>
          </w:p>
        </w:tc>
        <w:tc>
          <w:tcPr>
            <w:tcW w:w="9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9,5</w:t>
            </w:r>
          </w:p>
        </w:tc>
        <w:tc>
          <w:tcPr>
            <w:tcW w:w="106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9,3</w:t>
            </w:r>
          </w:p>
        </w:tc>
        <w:tc>
          <w:tcPr>
            <w:tcW w:w="108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7,7</w:t>
            </w:r>
          </w:p>
        </w:tc>
        <w:tc>
          <w:tcPr>
            <w:tcW w:w="104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8,7</w:t>
            </w:r>
          </w:p>
        </w:tc>
        <w:tc>
          <w:tcPr>
            <w:tcW w:w="1100" w:type="dxa"/>
            <w:tcBorders>
              <w:top w:val="nil"/>
              <w:left w:val="nil"/>
              <w:bottom w:val="nil"/>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9,1</w:t>
            </w:r>
          </w:p>
        </w:tc>
      </w:tr>
      <w:tr w:rsidR="00C036A8" w:rsidRPr="00617833" w:rsidTr="00A22656">
        <w:trPr>
          <w:trHeight w:val="300"/>
          <w:jc w:val="center"/>
        </w:trPr>
        <w:tc>
          <w:tcPr>
            <w:tcW w:w="2800" w:type="dxa"/>
            <w:tcBorders>
              <w:top w:val="nil"/>
              <w:left w:val="nil"/>
              <w:bottom w:val="single" w:sz="8" w:space="0" w:color="auto"/>
              <w:right w:val="nil"/>
            </w:tcBorders>
            <w:shd w:val="clear" w:color="auto" w:fill="auto"/>
            <w:vAlign w:val="center"/>
            <w:hideMark/>
          </w:tcPr>
          <w:p w:rsidR="00C036A8" w:rsidRPr="00617833" w:rsidRDefault="00C036A8">
            <w:pPr>
              <w:jc w:val="both"/>
              <w:rPr>
                <w:rFonts w:ascii="Verdana" w:hAnsi="Verdana" w:cs="Calibri"/>
                <w:sz w:val="20"/>
                <w:szCs w:val="20"/>
              </w:rPr>
            </w:pPr>
            <w:r w:rsidRPr="00617833">
              <w:rPr>
                <w:rFonts w:ascii="Verdana" w:hAnsi="Verdana" w:cs="Calibri"/>
                <w:sz w:val="20"/>
                <w:szCs w:val="20"/>
              </w:rPr>
              <w:t>Marca comunitaria</w:t>
            </w:r>
          </w:p>
        </w:tc>
        <w:tc>
          <w:tcPr>
            <w:tcW w:w="940" w:type="dxa"/>
            <w:tcBorders>
              <w:top w:val="nil"/>
              <w:left w:val="nil"/>
              <w:bottom w:val="single" w:sz="8" w:space="0" w:color="auto"/>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4,3</w:t>
            </w:r>
          </w:p>
        </w:tc>
        <w:tc>
          <w:tcPr>
            <w:tcW w:w="1060" w:type="dxa"/>
            <w:tcBorders>
              <w:top w:val="nil"/>
              <w:left w:val="nil"/>
              <w:bottom w:val="single" w:sz="8" w:space="0" w:color="auto"/>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4,4</w:t>
            </w:r>
          </w:p>
        </w:tc>
        <w:tc>
          <w:tcPr>
            <w:tcW w:w="1080" w:type="dxa"/>
            <w:tcBorders>
              <w:top w:val="nil"/>
              <w:left w:val="nil"/>
              <w:bottom w:val="single" w:sz="8" w:space="0" w:color="auto"/>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3,5</w:t>
            </w:r>
          </w:p>
        </w:tc>
        <w:tc>
          <w:tcPr>
            <w:tcW w:w="1040" w:type="dxa"/>
            <w:tcBorders>
              <w:top w:val="nil"/>
              <w:left w:val="nil"/>
              <w:bottom w:val="single" w:sz="8" w:space="0" w:color="auto"/>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2,2</w:t>
            </w:r>
          </w:p>
        </w:tc>
        <w:tc>
          <w:tcPr>
            <w:tcW w:w="1100" w:type="dxa"/>
            <w:tcBorders>
              <w:top w:val="nil"/>
              <w:left w:val="nil"/>
              <w:bottom w:val="single" w:sz="8" w:space="0" w:color="auto"/>
              <w:right w:val="nil"/>
            </w:tcBorders>
            <w:shd w:val="clear" w:color="auto" w:fill="auto"/>
            <w:noWrap/>
            <w:vAlign w:val="center"/>
            <w:hideMark/>
          </w:tcPr>
          <w:p w:rsidR="00C036A8" w:rsidRPr="00617833" w:rsidRDefault="00C036A8">
            <w:pPr>
              <w:jc w:val="right"/>
              <w:rPr>
                <w:rFonts w:ascii="Verdana" w:hAnsi="Verdana" w:cs="Calibri"/>
                <w:color w:val="000000"/>
                <w:sz w:val="20"/>
                <w:szCs w:val="20"/>
              </w:rPr>
            </w:pPr>
            <w:r w:rsidRPr="00617833">
              <w:rPr>
                <w:rFonts w:ascii="Verdana" w:hAnsi="Verdana" w:cs="Calibri"/>
                <w:color w:val="000000"/>
                <w:sz w:val="20"/>
                <w:szCs w:val="20"/>
              </w:rPr>
              <w:t>1,8</w:t>
            </w:r>
          </w:p>
        </w:tc>
      </w:tr>
    </w:tbl>
    <w:p w:rsidR="001577D1" w:rsidRPr="00617833" w:rsidRDefault="00E76514" w:rsidP="00E76514">
      <w:pPr>
        <w:pStyle w:val="Textoindependiente"/>
        <w:spacing w:before="120" w:after="120"/>
        <w:ind w:firstLine="357"/>
        <w:rPr>
          <w:rFonts w:ascii="Verdana" w:hAnsi="Verdana"/>
          <w:sz w:val="20"/>
        </w:rPr>
      </w:pPr>
      <w:r w:rsidRPr="00617833">
        <w:rPr>
          <w:rFonts w:ascii="Verdana" w:hAnsi="Verdana"/>
          <w:sz w:val="20"/>
        </w:rPr>
        <w:t>La</w:t>
      </w:r>
      <w:r w:rsidR="00BE6605" w:rsidRPr="00617833">
        <w:rPr>
          <w:rFonts w:ascii="Verdana" w:hAnsi="Verdana"/>
          <w:sz w:val="20"/>
        </w:rPr>
        <w:t xml:space="preserve"> duración media estimada de</w:t>
      </w:r>
      <w:r w:rsidR="008B1CA9" w:rsidRPr="00617833">
        <w:rPr>
          <w:rFonts w:ascii="Verdana" w:hAnsi="Verdana"/>
          <w:sz w:val="20"/>
        </w:rPr>
        <w:t xml:space="preserve">l conjunto de </w:t>
      </w:r>
      <w:r w:rsidR="00BE6605" w:rsidRPr="00617833">
        <w:rPr>
          <w:rFonts w:ascii="Verdana" w:hAnsi="Verdana"/>
          <w:sz w:val="20"/>
        </w:rPr>
        <w:t>la</w:t>
      </w:r>
      <w:r w:rsidRPr="00617833">
        <w:rPr>
          <w:rFonts w:ascii="Verdana" w:hAnsi="Verdana"/>
          <w:sz w:val="20"/>
        </w:rPr>
        <w:t xml:space="preserve">s </w:t>
      </w:r>
      <w:r w:rsidR="00085CC6" w:rsidRPr="00617833">
        <w:rPr>
          <w:rFonts w:ascii="Verdana" w:hAnsi="Verdana"/>
          <w:sz w:val="20"/>
        </w:rPr>
        <w:t>ejecuciones</w:t>
      </w:r>
      <w:r w:rsidRPr="00617833">
        <w:rPr>
          <w:rFonts w:ascii="Verdana" w:hAnsi="Verdana"/>
          <w:sz w:val="20"/>
        </w:rPr>
        <w:t xml:space="preserve"> </w:t>
      </w:r>
      <w:r w:rsidR="00C74F58" w:rsidRPr="00617833">
        <w:rPr>
          <w:rFonts w:ascii="Verdana" w:hAnsi="Verdana"/>
          <w:sz w:val="20"/>
        </w:rPr>
        <w:t>civiles</w:t>
      </w:r>
      <w:r w:rsidR="001577D1" w:rsidRPr="00617833">
        <w:rPr>
          <w:rFonts w:ascii="Verdana" w:hAnsi="Verdana"/>
          <w:sz w:val="20"/>
        </w:rPr>
        <w:t xml:space="preserve"> ha sido de </w:t>
      </w:r>
      <w:r w:rsidR="00326320" w:rsidRPr="00617833">
        <w:rPr>
          <w:rFonts w:ascii="Verdana" w:hAnsi="Verdana"/>
          <w:sz w:val="20"/>
        </w:rPr>
        <w:t>3</w:t>
      </w:r>
      <w:r w:rsidR="001577D1" w:rsidRPr="00617833">
        <w:rPr>
          <w:rFonts w:ascii="Verdana" w:hAnsi="Verdana"/>
          <w:sz w:val="20"/>
        </w:rPr>
        <w:t>5</w:t>
      </w:r>
      <w:r w:rsidR="00326320" w:rsidRPr="00617833">
        <w:rPr>
          <w:rFonts w:ascii="Verdana" w:hAnsi="Verdana"/>
          <w:sz w:val="20"/>
        </w:rPr>
        <w:t xml:space="preserve">,5 meses, </w:t>
      </w:r>
      <w:r w:rsidR="00EC248E" w:rsidRPr="00617833">
        <w:rPr>
          <w:rFonts w:ascii="Verdana" w:hAnsi="Verdana"/>
          <w:sz w:val="20"/>
        </w:rPr>
        <w:t xml:space="preserve"> </w:t>
      </w:r>
      <w:r w:rsidR="001577D1" w:rsidRPr="00617833">
        <w:rPr>
          <w:rFonts w:ascii="Verdana" w:hAnsi="Verdana"/>
          <w:sz w:val="20"/>
        </w:rPr>
        <w:t xml:space="preserve">superior </w:t>
      </w:r>
      <w:r w:rsidR="00326320" w:rsidRPr="00617833">
        <w:rPr>
          <w:rFonts w:ascii="Verdana" w:hAnsi="Verdana"/>
          <w:sz w:val="20"/>
        </w:rPr>
        <w:t>a los 34</w:t>
      </w:r>
      <w:r w:rsidR="001577D1" w:rsidRPr="00617833">
        <w:rPr>
          <w:rFonts w:ascii="Verdana" w:hAnsi="Verdana"/>
          <w:sz w:val="20"/>
        </w:rPr>
        <w:t>,5</w:t>
      </w:r>
      <w:r w:rsidR="00326320" w:rsidRPr="00617833">
        <w:rPr>
          <w:rFonts w:ascii="Verdana" w:hAnsi="Verdana"/>
          <w:sz w:val="20"/>
        </w:rPr>
        <w:t xml:space="preserve"> del año anterior</w:t>
      </w:r>
      <w:r w:rsidR="001577D1" w:rsidRPr="00617833">
        <w:rPr>
          <w:rFonts w:ascii="Verdana" w:hAnsi="Verdana"/>
          <w:sz w:val="20"/>
        </w:rPr>
        <w:t>, habiéndose incrementado las duraciones estimadas de todos los</w:t>
      </w:r>
      <w:r w:rsidR="000D3293" w:rsidRPr="00617833">
        <w:rPr>
          <w:rFonts w:ascii="Verdana" w:hAnsi="Verdana"/>
          <w:sz w:val="20"/>
        </w:rPr>
        <w:t xml:space="preserve"> todos los tipos de</w:t>
      </w:r>
      <w:r w:rsidR="00A22656" w:rsidRPr="00617833">
        <w:rPr>
          <w:rFonts w:ascii="Verdana" w:hAnsi="Verdana"/>
          <w:sz w:val="20"/>
        </w:rPr>
        <w:t xml:space="preserve"> </w:t>
      </w:r>
      <w:r w:rsidR="000D3293" w:rsidRPr="00617833">
        <w:rPr>
          <w:rFonts w:ascii="Verdana" w:hAnsi="Verdana"/>
          <w:sz w:val="20"/>
        </w:rPr>
        <w:t>ejecuciones</w:t>
      </w:r>
      <w:r w:rsidR="00A22656" w:rsidRPr="00617833">
        <w:rPr>
          <w:rFonts w:ascii="Verdana" w:hAnsi="Verdana"/>
          <w:sz w:val="20"/>
        </w:rPr>
        <w:t>. L</w:t>
      </w:r>
      <w:r w:rsidR="000D3293" w:rsidRPr="00617833">
        <w:rPr>
          <w:rFonts w:ascii="Verdana" w:hAnsi="Verdana"/>
          <w:sz w:val="20"/>
        </w:rPr>
        <w:t>as de familia han pasado de 29,5</w:t>
      </w:r>
      <w:r w:rsidR="001577D1" w:rsidRPr="00617833">
        <w:rPr>
          <w:rFonts w:ascii="Verdana" w:hAnsi="Verdana"/>
          <w:sz w:val="20"/>
        </w:rPr>
        <w:t xml:space="preserve"> a 30,5</w:t>
      </w:r>
      <w:r w:rsidR="000D3293" w:rsidRPr="00617833">
        <w:rPr>
          <w:rFonts w:ascii="Verdana" w:hAnsi="Verdana"/>
          <w:sz w:val="20"/>
        </w:rPr>
        <w:t xml:space="preserve"> meses; </w:t>
      </w:r>
      <w:r w:rsidR="003B52A0" w:rsidRPr="00617833">
        <w:rPr>
          <w:rFonts w:ascii="Verdana" w:hAnsi="Verdana"/>
          <w:sz w:val="20"/>
        </w:rPr>
        <w:t xml:space="preserve"> las hipotecarias</w:t>
      </w:r>
      <w:r w:rsidR="000D3293" w:rsidRPr="00617833">
        <w:rPr>
          <w:rFonts w:ascii="Verdana" w:hAnsi="Verdana"/>
          <w:sz w:val="20"/>
        </w:rPr>
        <w:t xml:space="preserve"> </w:t>
      </w:r>
      <w:r w:rsidR="003B52A0" w:rsidRPr="00617833">
        <w:rPr>
          <w:rFonts w:ascii="Verdana" w:hAnsi="Verdana"/>
          <w:sz w:val="20"/>
        </w:rPr>
        <w:t xml:space="preserve">han pasado de </w:t>
      </w:r>
      <w:r w:rsidR="001577D1" w:rsidRPr="00617833">
        <w:rPr>
          <w:rFonts w:ascii="Verdana" w:hAnsi="Verdana"/>
          <w:sz w:val="20"/>
        </w:rPr>
        <w:t>3</w:t>
      </w:r>
      <w:r w:rsidR="00326320" w:rsidRPr="00617833">
        <w:rPr>
          <w:rFonts w:ascii="Verdana" w:hAnsi="Verdana"/>
          <w:sz w:val="20"/>
        </w:rPr>
        <w:t>1</w:t>
      </w:r>
      <w:r w:rsidR="001577D1" w:rsidRPr="00617833">
        <w:rPr>
          <w:rFonts w:ascii="Verdana" w:hAnsi="Verdana"/>
          <w:sz w:val="20"/>
        </w:rPr>
        <w:t xml:space="preserve"> a 33,2</w:t>
      </w:r>
      <w:r w:rsidR="003B52A0" w:rsidRPr="00617833">
        <w:rPr>
          <w:rFonts w:ascii="Verdana" w:hAnsi="Verdana"/>
          <w:sz w:val="20"/>
        </w:rPr>
        <w:t xml:space="preserve"> </w:t>
      </w:r>
      <w:r w:rsidR="001577D1" w:rsidRPr="00617833">
        <w:rPr>
          <w:rFonts w:ascii="Verdana" w:hAnsi="Verdana"/>
          <w:sz w:val="20"/>
        </w:rPr>
        <w:t>meses; las de laudos arbitrales</w:t>
      </w:r>
      <w:r w:rsidR="003B52A0" w:rsidRPr="00617833">
        <w:rPr>
          <w:rFonts w:ascii="Verdana" w:hAnsi="Verdana"/>
          <w:sz w:val="20"/>
        </w:rPr>
        <w:t xml:space="preserve"> han aumentado de </w:t>
      </w:r>
      <w:r w:rsidR="00326320" w:rsidRPr="00617833">
        <w:rPr>
          <w:rFonts w:ascii="Verdana" w:hAnsi="Verdana"/>
          <w:sz w:val="20"/>
        </w:rPr>
        <w:t>41</w:t>
      </w:r>
      <w:r w:rsidR="003B52A0" w:rsidRPr="00617833">
        <w:rPr>
          <w:rFonts w:ascii="Verdana" w:hAnsi="Verdana"/>
          <w:sz w:val="20"/>
        </w:rPr>
        <w:t>,</w:t>
      </w:r>
      <w:r w:rsidR="00326320" w:rsidRPr="00617833">
        <w:rPr>
          <w:rFonts w:ascii="Verdana" w:hAnsi="Verdana"/>
          <w:sz w:val="20"/>
        </w:rPr>
        <w:t>5</w:t>
      </w:r>
      <w:r w:rsidR="001577D1" w:rsidRPr="00617833">
        <w:rPr>
          <w:rFonts w:ascii="Verdana" w:hAnsi="Verdana"/>
          <w:sz w:val="20"/>
        </w:rPr>
        <w:t xml:space="preserve"> a 45,2</w:t>
      </w:r>
      <w:r w:rsidR="003B52A0" w:rsidRPr="00617833">
        <w:rPr>
          <w:rFonts w:ascii="Verdana" w:hAnsi="Verdana"/>
          <w:sz w:val="20"/>
        </w:rPr>
        <w:t xml:space="preserve">; las de otros títulos no judiciales han pasado de </w:t>
      </w:r>
      <w:r w:rsidR="00326320" w:rsidRPr="00617833">
        <w:rPr>
          <w:rFonts w:ascii="Verdana" w:hAnsi="Verdana"/>
          <w:sz w:val="20"/>
        </w:rPr>
        <w:t>50,3</w:t>
      </w:r>
      <w:r w:rsidR="001577D1" w:rsidRPr="00617833">
        <w:rPr>
          <w:rFonts w:ascii="Verdana" w:hAnsi="Verdana"/>
          <w:sz w:val="20"/>
        </w:rPr>
        <w:t xml:space="preserve"> a 52,1</w:t>
      </w:r>
      <w:r w:rsidR="000D3293" w:rsidRPr="00617833">
        <w:rPr>
          <w:rFonts w:ascii="Verdana" w:hAnsi="Verdana"/>
          <w:sz w:val="20"/>
        </w:rPr>
        <w:t xml:space="preserve">; </w:t>
      </w:r>
      <w:r w:rsidR="003B52A0" w:rsidRPr="00617833">
        <w:rPr>
          <w:rFonts w:ascii="Verdana" w:hAnsi="Verdana"/>
          <w:sz w:val="20"/>
        </w:rPr>
        <w:t xml:space="preserve"> </w:t>
      </w:r>
      <w:r w:rsidR="007A5651" w:rsidRPr="00617833">
        <w:rPr>
          <w:rFonts w:ascii="Verdana" w:hAnsi="Verdana"/>
          <w:sz w:val="20"/>
        </w:rPr>
        <w:t xml:space="preserve">las de </w:t>
      </w:r>
      <w:r w:rsidR="001577D1" w:rsidRPr="00617833">
        <w:rPr>
          <w:rFonts w:ascii="Verdana" w:hAnsi="Verdana"/>
          <w:sz w:val="20"/>
        </w:rPr>
        <w:t>otros títulos judiciales de 33 a 33,7 meses y las de títulos de ejecución europeos dimanantes de reglamentos comunitarios han aumentado de 11,9 a 16,6 meses.</w:t>
      </w:r>
    </w:p>
    <w:p w:rsidR="003B52A0" w:rsidRDefault="003B7AD0" w:rsidP="002F5012">
      <w:pPr>
        <w:pStyle w:val="Textoindependiente"/>
        <w:spacing w:before="120" w:after="120"/>
        <w:ind w:firstLine="357"/>
        <w:rPr>
          <w:rFonts w:ascii="Verdana" w:hAnsi="Verdana"/>
          <w:sz w:val="20"/>
        </w:rPr>
      </w:pPr>
      <w:r w:rsidRPr="00617833">
        <w:rPr>
          <w:rFonts w:ascii="Verdana" w:hAnsi="Verdana"/>
          <w:sz w:val="20"/>
        </w:rPr>
        <w:t xml:space="preserve">La mayor duración </w:t>
      </w:r>
      <w:r w:rsidR="008B66A4" w:rsidRPr="00617833">
        <w:rPr>
          <w:rFonts w:ascii="Verdana" w:hAnsi="Verdana"/>
          <w:sz w:val="20"/>
        </w:rPr>
        <w:t xml:space="preserve">media de las ejecuciones hipotecarias </w:t>
      </w:r>
      <w:r w:rsidRPr="00617833">
        <w:rPr>
          <w:rFonts w:ascii="Verdana" w:hAnsi="Verdana"/>
          <w:sz w:val="20"/>
        </w:rPr>
        <w:t xml:space="preserve">se ha dado en </w:t>
      </w:r>
      <w:r w:rsidR="00731CC9" w:rsidRPr="00617833">
        <w:rPr>
          <w:rFonts w:ascii="Verdana" w:hAnsi="Verdana"/>
          <w:sz w:val="20"/>
          <w:szCs w:val="20"/>
          <w:lang w:val="es-ES_tradnl"/>
        </w:rPr>
        <w:t>Castilla-L</w:t>
      </w:r>
      <w:r w:rsidR="00096F49" w:rsidRPr="00617833">
        <w:rPr>
          <w:rFonts w:ascii="Verdana" w:hAnsi="Verdana"/>
          <w:sz w:val="20"/>
          <w:szCs w:val="20"/>
          <w:lang w:val="es-ES_tradnl"/>
        </w:rPr>
        <w:t>a Mancha,</w:t>
      </w:r>
      <w:r w:rsidR="00096F49" w:rsidRPr="00617833">
        <w:rPr>
          <w:rFonts w:ascii="Verdana" w:hAnsi="Verdana"/>
          <w:sz w:val="20"/>
        </w:rPr>
        <w:t xml:space="preserve"> 3</w:t>
      </w:r>
      <w:r w:rsidR="00646302" w:rsidRPr="00617833">
        <w:rPr>
          <w:rFonts w:ascii="Verdana" w:hAnsi="Verdana"/>
          <w:sz w:val="20"/>
        </w:rPr>
        <w:t>9</w:t>
      </w:r>
      <w:r w:rsidR="00096F49" w:rsidRPr="00617833">
        <w:rPr>
          <w:rFonts w:ascii="Verdana" w:hAnsi="Verdana"/>
          <w:sz w:val="20"/>
        </w:rPr>
        <w:t>,</w:t>
      </w:r>
      <w:r w:rsidR="00646302" w:rsidRPr="00617833">
        <w:rPr>
          <w:rFonts w:ascii="Verdana" w:hAnsi="Verdana"/>
          <w:sz w:val="20"/>
        </w:rPr>
        <w:t>9</w:t>
      </w:r>
      <w:r w:rsidR="003B52A0" w:rsidRPr="00617833">
        <w:rPr>
          <w:rFonts w:ascii="Verdana" w:hAnsi="Verdana"/>
          <w:sz w:val="20"/>
        </w:rPr>
        <w:t xml:space="preserve">; </w:t>
      </w:r>
      <w:r w:rsidR="005A1919" w:rsidRPr="00617833">
        <w:rPr>
          <w:rFonts w:ascii="Verdana" w:hAnsi="Verdana"/>
          <w:sz w:val="20"/>
        </w:rPr>
        <w:t>Madrid, 3</w:t>
      </w:r>
      <w:r w:rsidR="00646302" w:rsidRPr="00617833">
        <w:rPr>
          <w:rFonts w:ascii="Verdana" w:hAnsi="Verdana"/>
          <w:sz w:val="20"/>
        </w:rPr>
        <w:t>9</w:t>
      </w:r>
      <w:r w:rsidR="005A1919" w:rsidRPr="00617833">
        <w:rPr>
          <w:rFonts w:ascii="Verdana" w:hAnsi="Verdana"/>
          <w:sz w:val="20"/>
        </w:rPr>
        <w:t>,</w:t>
      </w:r>
      <w:r w:rsidR="00646302" w:rsidRPr="00617833">
        <w:rPr>
          <w:rFonts w:ascii="Verdana" w:hAnsi="Verdana"/>
          <w:sz w:val="20"/>
        </w:rPr>
        <w:t>1</w:t>
      </w:r>
      <w:r w:rsidR="005A1919" w:rsidRPr="00617833">
        <w:rPr>
          <w:rFonts w:ascii="Verdana" w:hAnsi="Verdana"/>
          <w:sz w:val="20"/>
        </w:rPr>
        <w:t>; Galicia, 3</w:t>
      </w:r>
      <w:r w:rsidR="00646302" w:rsidRPr="00617833">
        <w:rPr>
          <w:rFonts w:ascii="Verdana" w:hAnsi="Verdana"/>
          <w:sz w:val="20"/>
        </w:rPr>
        <w:t>5</w:t>
      </w:r>
      <w:r w:rsidR="005A1919" w:rsidRPr="00617833">
        <w:rPr>
          <w:rFonts w:ascii="Verdana" w:hAnsi="Verdana"/>
          <w:sz w:val="20"/>
        </w:rPr>
        <w:t>,</w:t>
      </w:r>
      <w:r w:rsidR="00646302" w:rsidRPr="00617833">
        <w:rPr>
          <w:rFonts w:ascii="Verdana" w:hAnsi="Verdana"/>
          <w:sz w:val="20"/>
        </w:rPr>
        <w:t>5</w:t>
      </w:r>
      <w:r w:rsidR="005A1919" w:rsidRPr="00617833">
        <w:rPr>
          <w:rFonts w:ascii="Verdana" w:hAnsi="Verdana"/>
          <w:sz w:val="20"/>
        </w:rPr>
        <w:t xml:space="preserve">; </w:t>
      </w:r>
      <w:r w:rsidR="003B52A0" w:rsidRPr="00617833">
        <w:rPr>
          <w:rFonts w:ascii="Verdana" w:hAnsi="Verdana"/>
          <w:sz w:val="20"/>
        </w:rPr>
        <w:t>Extremadura, 3</w:t>
      </w:r>
      <w:r w:rsidR="00646302" w:rsidRPr="00617833">
        <w:rPr>
          <w:rFonts w:ascii="Verdana" w:hAnsi="Verdana"/>
          <w:sz w:val="20"/>
        </w:rPr>
        <w:t>5</w:t>
      </w:r>
      <w:r w:rsidR="003B52A0" w:rsidRPr="00617833">
        <w:rPr>
          <w:rFonts w:ascii="Verdana" w:hAnsi="Verdana"/>
          <w:sz w:val="20"/>
        </w:rPr>
        <w:t>,</w:t>
      </w:r>
      <w:r w:rsidR="00646302" w:rsidRPr="00617833">
        <w:rPr>
          <w:rFonts w:ascii="Verdana" w:hAnsi="Verdana"/>
          <w:sz w:val="20"/>
        </w:rPr>
        <w:t>2</w:t>
      </w:r>
      <w:r w:rsidR="00617833">
        <w:rPr>
          <w:rFonts w:ascii="Verdana" w:hAnsi="Verdana"/>
          <w:sz w:val="20"/>
        </w:rPr>
        <w:t>;</w:t>
      </w:r>
      <w:r w:rsidR="00646302" w:rsidRPr="00617833">
        <w:rPr>
          <w:rFonts w:ascii="Verdana" w:hAnsi="Verdana"/>
          <w:sz w:val="20"/>
        </w:rPr>
        <w:t xml:space="preserve"> Canarias, 34,8, y Murcia, 33,9.</w:t>
      </w:r>
      <w:r w:rsidR="002F5012" w:rsidRPr="00617833">
        <w:rPr>
          <w:rFonts w:ascii="Verdana" w:hAnsi="Verdana"/>
          <w:sz w:val="20"/>
        </w:rPr>
        <w:t xml:space="preserve">  La menor duración media se ha dado en el País Vasco</w:t>
      </w:r>
      <w:r w:rsidR="003B52A0" w:rsidRPr="00617833">
        <w:rPr>
          <w:rFonts w:ascii="Verdana" w:hAnsi="Verdana"/>
          <w:sz w:val="20"/>
        </w:rPr>
        <w:t>, 2</w:t>
      </w:r>
      <w:r w:rsidR="00646302" w:rsidRPr="00617833">
        <w:rPr>
          <w:rFonts w:ascii="Verdana" w:hAnsi="Verdana"/>
          <w:sz w:val="20"/>
        </w:rPr>
        <w:t>1,</w:t>
      </w:r>
      <w:r w:rsidR="00326320" w:rsidRPr="00617833">
        <w:rPr>
          <w:rFonts w:ascii="Verdana" w:hAnsi="Verdana"/>
          <w:sz w:val="20"/>
        </w:rPr>
        <w:t>2</w:t>
      </w:r>
      <w:r w:rsidR="00646302" w:rsidRPr="00617833">
        <w:rPr>
          <w:rFonts w:ascii="Verdana" w:hAnsi="Verdana"/>
          <w:sz w:val="20"/>
        </w:rPr>
        <w:t xml:space="preserve"> y</w:t>
      </w:r>
      <w:r w:rsidR="003B52A0" w:rsidRPr="00617833">
        <w:rPr>
          <w:rFonts w:ascii="Verdana" w:hAnsi="Verdana"/>
          <w:sz w:val="20"/>
        </w:rPr>
        <w:t xml:space="preserve"> </w:t>
      </w:r>
      <w:r w:rsidR="00646302" w:rsidRPr="00617833">
        <w:rPr>
          <w:rFonts w:ascii="Verdana" w:hAnsi="Verdana"/>
          <w:sz w:val="20"/>
        </w:rPr>
        <w:t xml:space="preserve">Cantabria, 22,8 </w:t>
      </w:r>
      <w:r w:rsidR="003B52A0" w:rsidRPr="00617833">
        <w:rPr>
          <w:rFonts w:ascii="Verdana" w:hAnsi="Verdana"/>
          <w:sz w:val="20"/>
        </w:rPr>
        <w:t>meses.</w:t>
      </w:r>
    </w:p>
    <w:p w:rsidR="00EC248E" w:rsidRPr="00CE214A" w:rsidRDefault="00646302" w:rsidP="003B7AD0">
      <w:pPr>
        <w:pStyle w:val="Textoindependiente"/>
        <w:spacing w:before="120" w:after="120"/>
        <w:ind w:firstLine="357"/>
        <w:jc w:val="center"/>
        <w:rPr>
          <w:rFonts w:ascii="Verdana" w:hAnsi="Verdana"/>
          <w:sz w:val="20"/>
        </w:rPr>
      </w:pPr>
      <w:r>
        <w:rPr>
          <w:noProof/>
        </w:rPr>
        <w:drawing>
          <wp:inline distT="0" distB="0" distL="0" distR="0" wp14:anchorId="19BBDF11" wp14:editId="57695888">
            <wp:extent cx="4762500" cy="28956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C248E" w:rsidRPr="00CE214A" w:rsidRDefault="00EC248E" w:rsidP="00E76514">
      <w:pPr>
        <w:pStyle w:val="Textoindependiente"/>
        <w:spacing w:before="120" w:after="120"/>
        <w:ind w:firstLine="357"/>
        <w:rPr>
          <w:rFonts w:ascii="Verdana" w:hAnsi="Verdana"/>
          <w:sz w:val="20"/>
        </w:rPr>
      </w:pPr>
    </w:p>
    <w:p w:rsidR="001B4EE3" w:rsidRPr="00CE214A" w:rsidRDefault="001B4EE3">
      <w:pPr>
        <w:pStyle w:val="Ttulo2"/>
        <w:numPr>
          <w:ilvl w:val="1"/>
          <w:numId w:val="4"/>
        </w:numPr>
        <w:rPr>
          <w:rFonts w:ascii="Verdana" w:hAnsi="Verdana"/>
          <w:color w:val="333399"/>
        </w:rPr>
      </w:pPr>
      <w:r w:rsidRPr="00CE214A">
        <w:rPr>
          <w:rFonts w:ascii="Verdana" w:hAnsi="Verdana"/>
          <w:color w:val="333399"/>
        </w:rPr>
        <w:t xml:space="preserve"> </w:t>
      </w:r>
      <w:r w:rsidR="00730B87" w:rsidRPr="00CE214A">
        <w:rPr>
          <w:rFonts w:ascii="Verdana" w:hAnsi="Verdana"/>
          <w:color w:val="333399"/>
        </w:rPr>
        <w:t xml:space="preserve">2.4  </w:t>
      </w:r>
      <w:r w:rsidRPr="00CE214A">
        <w:rPr>
          <w:rFonts w:ascii="Verdana" w:hAnsi="Verdana"/>
          <w:color w:val="333399"/>
        </w:rPr>
        <w:t>Apelaciones y casaciones</w:t>
      </w:r>
    </w:p>
    <w:p w:rsidR="00515850" w:rsidRDefault="001B4EE3">
      <w:pPr>
        <w:pStyle w:val="Textoindependiente"/>
        <w:spacing w:before="120" w:after="120"/>
        <w:ind w:firstLine="357"/>
        <w:rPr>
          <w:rFonts w:ascii="Verdana" w:hAnsi="Verdana"/>
          <w:sz w:val="20"/>
        </w:rPr>
      </w:pPr>
      <w:r w:rsidRPr="00CE214A">
        <w:rPr>
          <w:rFonts w:ascii="Verdana" w:hAnsi="Verdana"/>
          <w:sz w:val="20"/>
        </w:rPr>
        <w:t xml:space="preserve">La calidad de las resoluciones emitidas por los órganos de la jurisdicción civil, medidas por las sentencias de apelación devueltas por órganos de orden superior,  se resume para la primera instancia </w:t>
      </w:r>
      <w:r w:rsidR="0038384D" w:rsidRPr="00CE214A">
        <w:rPr>
          <w:rFonts w:ascii="Verdana" w:hAnsi="Verdana"/>
          <w:sz w:val="20"/>
        </w:rPr>
        <w:t xml:space="preserve">civil </w:t>
      </w:r>
      <w:r w:rsidRPr="00CE214A">
        <w:rPr>
          <w:rFonts w:ascii="Verdana" w:hAnsi="Verdana"/>
          <w:sz w:val="20"/>
        </w:rPr>
        <w:t xml:space="preserve">en el siguiente </w:t>
      </w:r>
      <w:r w:rsidR="00DD6404" w:rsidRPr="00617833">
        <w:rPr>
          <w:rFonts w:ascii="Verdana" w:hAnsi="Verdana"/>
          <w:sz w:val="20"/>
        </w:rPr>
        <w:t>gráfico</w:t>
      </w:r>
      <w:r w:rsidR="00A71FE5" w:rsidRPr="00617833">
        <w:rPr>
          <w:rFonts w:ascii="Verdana" w:hAnsi="Verdana"/>
          <w:sz w:val="20"/>
        </w:rPr>
        <w:t>. El porcentaje de recursos devueltos confirmando t</w:t>
      </w:r>
      <w:r w:rsidR="004C7FB7" w:rsidRPr="00617833">
        <w:rPr>
          <w:rFonts w:ascii="Verdana" w:hAnsi="Verdana"/>
          <w:sz w:val="20"/>
        </w:rPr>
        <w:t>o</w:t>
      </w:r>
      <w:r w:rsidR="00A71FE5" w:rsidRPr="00617833">
        <w:rPr>
          <w:rFonts w:ascii="Verdana" w:hAnsi="Verdana"/>
          <w:sz w:val="20"/>
        </w:rPr>
        <w:t>talmente</w:t>
      </w:r>
      <w:r w:rsidR="00370EDF" w:rsidRPr="00617833">
        <w:rPr>
          <w:rFonts w:ascii="Verdana" w:hAnsi="Verdana"/>
          <w:sz w:val="20"/>
        </w:rPr>
        <w:t xml:space="preserve"> en 201</w:t>
      </w:r>
      <w:r w:rsidR="00DF03D0" w:rsidRPr="00617833">
        <w:rPr>
          <w:rFonts w:ascii="Verdana" w:hAnsi="Verdana"/>
          <w:sz w:val="20"/>
        </w:rPr>
        <w:t>7</w:t>
      </w:r>
      <w:r w:rsidR="00A71FE5" w:rsidRPr="00617833">
        <w:rPr>
          <w:rFonts w:ascii="Verdana" w:hAnsi="Verdana"/>
          <w:sz w:val="20"/>
        </w:rPr>
        <w:t>,</w:t>
      </w:r>
      <w:r w:rsidR="00DF03D0" w:rsidRPr="00617833">
        <w:rPr>
          <w:rFonts w:ascii="Verdana" w:hAnsi="Verdana"/>
          <w:sz w:val="20"/>
        </w:rPr>
        <w:t xml:space="preserve"> 61,4%, ha disminuido sensiblemente respecto al</w:t>
      </w:r>
      <w:r w:rsidR="00A71FE5" w:rsidRPr="00617833">
        <w:rPr>
          <w:rFonts w:ascii="Verdana" w:hAnsi="Verdana"/>
          <w:sz w:val="20"/>
        </w:rPr>
        <w:t xml:space="preserve"> 6</w:t>
      </w:r>
      <w:r w:rsidR="00B93D39" w:rsidRPr="00617833">
        <w:rPr>
          <w:rFonts w:ascii="Verdana" w:hAnsi="Verdana"/>
          <w:sz w:val="20"/>
        </w:rPr>
        <w:t>7</w:t>
      </w:r>
      <w:r w:rsidR="00A71FE5" w:rsidRPr="00617833">
        <w:rPr>
          <w:rFonts w:ascii="Verdana" w:hAnsi="Verdana"/>
          <w:sz w:val="20"/>
        </w:rPr>
        <w:t>,</w:t>
      </w:r>
      <w:r w:rsidR="00515850" w:rsidRPr="00617833">
        <w:rPr>
          <w:rFonts w:ascii="Verdana" w:hAnsi="Verdana"/>
          <w:sz w:val="20"/>
        </w:rPr>
        <w:t>5</w:t>
      </w:r>
      <w:r w:rsidR="00A71FE5" w:rsidRPr="00617833">
        <w:rPr>
          <w:rFonts w:ascii="Verdana" w:hAnsi="Verdana"/>
          <w:sz w:val="20"/>
        </w:rPr>
        <w:t>%</w:t>
      </w:r>
      <w:r w:rsidR="00DF03D0" w:rsidRPr="00617833">
        <w:rPr>
          <w:rFonts w:ascii="Verdana" w:hAnsi="Verdana"/>
          <w:sz w:val="20"/>
        </w:rPr>
        <w:t xml:space="preserve"> observado en 2016.</w:t>
      </w:r>
      <w:r w:rsidR="00515850" w:rsidRPr="00617833">
        <w:rPr>
          <w:rFonts w:ascii="Verdana" w:hAnsi="Verdana"/>
          <w:sz w:val="20"/>
        </w:rPr>
        <w:t xml:space="preserve"> En</w:t>
      </w:r>
      <w:r w:rsidR="00CC7DDC" w:rsidRPr="00617833">
        <w:rPr>
          <w:rFonts w:ascii="Verdana" w:hAnsi="Verdana"/>
          <w:sz w:val="20"/>
        </w:rPr>
        <w:t xml:space="preserve"> 201</w:t>
      </w:r>
      <w:r w:rsidR="00DF03D0" w:rsidRPr="00617833">
        <w:rPr>
          <w:rFonts w:ascii="Verdana" w:hAnsi="Verdana"/>
          <w:sz w:val="20"/>
        </w:rPr>
        <w:t>7</w:t>
      </w:r>
      <w:r w:rsidR="00515850" w:rsidRPr="00617833">
        <w:rPr>
          <w:rFonts w:ascii="Verdana" w:hAnsi="Verdana"/>
          <w:sz w:val="20"/>
        </w:rPr>
        <w:t xml:space="preserve"> se elevaron </w:t>
      </w:r>
      <w:r w:rsidR="00DF03D0" w:rsidRPr="00617833">
        <w:rPr>
          <w:rFonts w:ascii="Verdana" w:hAnsi="Verdana"/>
          <w:sz w:val="20"/>
        </w:rPr>
        <w:t>62</w:t>
      </w:r>
      <w:r w:rsidR="00515850" w:rsidRPr="00617833">
        <w:rPr>
          <w:rFonts w:ascii="Verdana" w:hAnsi="Verdana"/>
          <w:sz w:val="20"/>
        </w:rPr>
        <w:t>.</w:t>
      </w:r>
      <w:r w:rsidR="00DF03D0" w:rsidRPr="00617833">
        <w:rPr>
          <w:rFonts w:ascii="Verdana" w:hAnsi="Verdana"/>
          <w:sz w:val="20"/>
        </w:rPr>
        <w:t>231</w:t>
      </w:r>
      <w:r w:rsidR="00CC7DDC" w:rsidRPr="00617833">
        <w:rPr>
          <w:rFonts w:ascii="Verdana" w:hAnsi="Verdana"/>
          <w:sz w:val="20"/>
        </w:rPr>
        <w:t xml:space="preserve"> recursos de apelación, un 1</w:t>
      </w:r>
      <w:r w:rsidR="00DF03D0" w:rsidRPr="00617833">
        <w:rPr>
          <w:rFonts w:ascii="Verdana" w:hAnsi="Verdana"/>
          <w:sz w:val="20"/>
        </w:rPr>
        <w:t>1</w:t>
      </w:r>
      <w:r w:rsidR="00515850" w:rsidRPr="00617833">
        <w:rPr>
          <w:rFonts w:ascii="Verdana" w:hAnsi="Verdana"/>
          <w:sz w:val="20"/>
        </w:rPr>
        <w:t>,</w:t>
      </w:r>
      <w:r w:rsidR="00DF03D0" w:rsidRPr="00617833">
        <w:rPr>
          <w:rFonts w:ascii="Verdana" w:hAnsi="Verdana"/>
          <w:sz w:val="20"/>
        </w:rPr>
        <w:t>3</w:t>
      </w:r>
      <w:r w:rsidR="00515850" w:rsidRPr="00617833">
        <w:rPr>
          <w:rFonts w:ascii="Verdana" w:hAnsi="Verdana"/>
          <w:sz w:val="20"/>
        </w:rPr>
        <w:t xml:space="preserve">% más que </w:t>
      </w:r>
      <w:r w:rsidR="00DF03D0" w:rsidRPr="00617833">
        <w:rPr>
          <w:rFonts w:ascii="Verdana" w:hAnsi="Verdana"/>
          <w:sz w:val="20"/>
        </w:rPr>
        <w:t>en 2016</w:t>
      </w:r>
      <w:r w:rsidR="00515850" w:rsidRPr="00617833">
        <w:rPr>
          <w:rFonts w:ascii="Verdana" w:hAnsi="Verdana"/>
          <w:sz w:val="20"/>
        </w:rPr>
        <w:t xml:space="preserve">, mientras que las sentencias dictadas aumentaron un </w:t>
      </w:r>
      <w:r w:rsidR="00DF03D0" w:rsidRPr="00617833">
        <w:rPr>
          <w:rFonts w:ascii="Verdana" w:hAnsi="Verdana"/>
          <w:sz w:val="20"/>
        </w:rPr>
        <w:t>2,3%.</w:t>
      </w:r>
    </w:p>
    <w:p w:rsidR="001B4EE3" w:rsidRPr="00CE214A" w:rsidRDefault="00861401">
      <w:pPr>
        <w:pStyle w:val="Textoindependiente"/>
        <w:spacing w:before="120" w:after="120"/>
        <w:ind w:firstLine="357"/>
        <w:jc w:val="center"/>
        <w:rPr>
          <w:rFonts w:ascii="Verdana" w:hAnsi="Verdana"/>
          <w:sz w:val="20"/>
        </w:rPr>
      </w:pPr>
      <w:r>
        <w:rPr>
          <w:noProof/>
        </w:rPr>
        <w:lastRenderedPageBreak/>
        <w:drawing>
          <wp:inline distT="0" distB="0" distL="0" distR="0" wp14:anchorId="7F762C93" wp14:editId="7398F511">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61401" w:rsidRPr="00617833" w:rsidRDefault="00861401">
      <w:pPr>
        <w:pStyle w:val="Textoindependiente"/>
        <w:spacing w:before="120" w:after="120"/>
        <w:ind w:firstLine="357"/>
        <w:rPr>
          <w:rFonts w:ascii="Verdana" w:hAnsi="Verdana"/>
          <w:sz w:val="20"/>
        </w:rPr>
      </w:pPr>
      <w:r w:rsidRPr="00617833">
        <w:rPr>
          <w:rFonts w:ascii="Verdana" w:hAnsi="Verdana"/>
          <w:sz w:val="20"/>
        </w:rPr>
        <w:t xml:space="preserve">El mayor porcentaje de confirmaciones totales se ha dado en </w:t>
      </w:r>
      <w:r w:rsidR="00202EF6" w:rsidRPr="00617833">
        <w:rPr>
          <w:rFonts w:ascii="Verdana" w:hAnsi="Verdana"/>
          <w:sz w:val="20"/>
        </w:rPr>
        <w:t>La Rioja</w:t>
      </w:r>
      <w:r w:rsidR="00A660DA" w:rsidRPr="00617833">
        <w:rPr>
          <w:rFonts w:ascii="Verdana" w:hAnsi="Verdana"/>
          <w:sz w:val="20"/>
        </w:rPr>
        <w:t>,</w:t>
      </w:r>
      <w:r w:rsidR="000B0E52" w:rsidRPr="00617833">
        <w:rPr>
          <w:rFonts w:ascii="Verdana" w:hAnsi="Verdana"/>
          <w:sz w:val="20"/>
        </w:rPr>
        <w:t xml:space="preserve"> con </w:t>
      </w:r>
      <w:r w:rsidRPr="00617833">
        <w:rPr>
          <w:rFonts w:ascii="Verdana" w:hAnsi="Verdana"/>
          <w:sz w:val="20"/>
        </w:rPr>
        <w:t>79</w:t>
      </w:r>
      <w:r w:rsidR="00A71FE5" w:rsidRPr="00617833">
        <w:rPr>
          <w:rFonts w:ascii="Verdana" w:hAnsi="Verdana"/>
          <w:sz w:val="20"/>
        </w:rPr>
        <w:t>,</w:t>
      </w:r>
      <w:r w:rsidRPr="00617833">
        <w:rPr>
          <w:rFonts w:ascii="Verdana" w:hAnsi="Verdana"/>
          <w:sz w:val="20"/>
        </w:rPr>
        <w:t>2</w:t>
      </w:r>
      <w:r w:rsidR="000B0E52" w:rsidRPr="00617833">
        <w:rPr>
          <w:rFonts w:ascii="Verdana" w:hAnsi="Verdana"/>
          <w:sz w:val="20"/>
        </w:rPr>
        <w:t xml:space="preserve">%, </w:t>
      </w:r>
      <w:r w:rsidR="00F024F5" w:rsidRPr="00617833">
        <w:rPr>
          <w:rFonts w:ascii="Verdana" w:hAnsi="Verdana"/>
          <w:sz w:val="20"/>
        </w:rPr>
        <w:t xml:space="preserve"> </w:t>
      </w:r>
      <w:r w:rsidR="000B0E52" w:rsidRPr="00617833">
        <w:rPr>
          <w:rFonts w:ascii="Verdana" w:hAnsi="Verdana"/>
          <w:sz w:val="20"/>
        </w:rPr>
        <w:t xml:space="preserve">le </w:t>
      </w:r>
      <w:r w:rsidR="00015927" w:rsidRPr="00617833">
        <w:rPr>
          <w:rFonts w:ascii="Verdana" w:hAnsi="Verdana"/>
          <w:sz w:val="20"/>
        </w:rPr>
        <w:t xml:space="preserve">siguen </w:t>
      </w:r>
      <w:r w:rsidRPr="00617833">
        <w:rPr>
          <w:rFonts w:ascii="Verdana" w:hAnsi="Verdana"/>
          <w:sz w:val="20"/>
        </w:rPr>
        <w:t xml:space="preserve">Murcia, 67,2%; </w:t>
      </w:r>
      <w:r w:rsidR="00CC7DDC" w:rsidRPr="00617833">
        <w:rPr>
          <w:rFonts w:ascii="Verdana" w:hAnsi="Verdana"/>
          <w:sz w:val="20"/>
        </w:rPr>
        <w:t>Ca</w:t>
      </w:r>
      <w:r w:rsidRPr="00617833">
        <w:rPr>
          <w:rFonts w:ascii="Verdana" w:hAnsi="Verdana"/>
          <w:sz w:val="20"/>
        </w:rPr>
        <w:t>narias, 65,5%; Andalucía, 64,4%; Madrid, 62,9%; y C. Valenciana, 62,8%.</w:t>
      </w:r>
    </w:p>
    <w:p w:rsidR="00D331CF" w:rsidRPr="00617833" w:rsidRDefault="00333DF2" w:rsidP="00370EDF">
      <w:pPr>
        <w:pStyle w:val="Textoindependiente"/>
        <w:spacing w:before="120" w:after="120"/>
        <w:ind w:firstLine="357"/>
        <w:rPr>
          <w:rFonts w:ascii="Verdana" w:hAnsi="Verdana"/>
          <w:sz w:val="20"/>
        </w:rPr>
      </w:pPr>
      <w:r w:rsidRPr="00617833">
        <w:rPr>
          <w:rFonts w:ascii="Verdana" w:hAnsi="Verdana"/>
          <w:sz w:val="20"/>
        </w:rPr>
        <w:t>En l</w:t>
      </w:r>
      <w:r w:rsidR="00D331CF" w:rsidRPr="00617833">
        <w:rPr>
          <w:rFonts w:ascii="Verdana" w:hAnsi="Verdana"/>
          <w:sz w:val="20"/>
        </w:rPr>
        <w:t xml:space="preserve">os juzgados </w:t>
      </w:r>
      <w:r w:rsidR="005F69F1" w:rsidRPr="00617833">
        <w:rPr>
          <w:rFonts w:ascii="Verdana" w:hAnsi="Verdana"/>
          <w:sz w:val="20"/>
        </w:rPr>
        <w:t>de lo</w:t>
      </w:r>
      <w:r w:rsidR="00D331CF" w:rsidRPr="00617833">
        <w:rPr>
          <w:rFonts w:ascii="Verdana" w:hAnsi="Verdana"/>
          <w:sz w:val="20"/>
        </w:rPr>
        <w:t xml:space="preserve"> mercantil </w:t>
      </w:r>
      <w:r w:rsidRPr="00617833">
        <w:rPr>
          <w:rFonts w:ascii="Verdana" w:hAnsi="Verdana"/>
          <w:sz w:val="20"/>
        </w:rPr>
        <w:t xml:space="preserve">se </w:t>
      </w:r>
      <w:r w:rsidR="00B20716" w:rsidRPr="00617833">
        <w:rPr>
          <w:rFonts w:ascii="Verdana" w:hAnsi="Verdana"/>
          <w:sz w:val="20"/>
        </w:rPr>
        <w:t>elevaron</w:t>
      </w:r>
      <w:r w:rsidRPr="00617833">
        <w:rPr>
          <w:rFonts w:ascii="Verdana" w:hAnsi="Verdana"/>
          <w:sz w:val="20"/>
        </w:rPr>
        <w:t xml:space="preserve"> </w:t>
      </w:r>
      <w:r w:rsidR="00902185" w:rsidRPr="00617833">
        <w:rPr>
          <w:rFonts w:ascii="Verdana" w:hAnsi="Verdana"/>
          <w:sz w:val="20"/>
        </w:rPr>
        <w:t>en 201</w:t>
      </w:r>
      <w:r w:rsidR="00A80B50" w:rsidRPr="00617833">
        <w:rPr>
          <w:rFonts w:ascii="Verdana" w:hAnsi="Verdana"/>
          <w:sz w:val="20"/>
        </w:rPr>
        <w:t>7</w:t>
      </w:r>
      <w:r w:rsidR="00902185" w:rsidRPr="00617833">
        <w:rPr>
          <w:rFonts w:ascii="Verdana" w:hAnsi="Verdana"/>
          <w:sz w:val="20"/>
        </w:rPr>
        <w:t xml:space="preserve"> un total de</w:t>
      </w:r>
      <w:r w:rsidR="00D331CF" w:rsidRPr="00617833">
        <w:rPr>
          <w:rFonts w:ascii="Verdana" w:hAnsi="Verdana"/>
          <w:sz w:val="20"/>
        </w:rPr>
        <w:t xml:space="preserve"> </w:t>
      </w:r>
      <w:r w:rsidR="00A80B50" w:rsidRPr="00617833">
        <w:rPr>
          <w:rFonts w:ascii="Verdana" w:hAnsi="Verdana"/>
          <w:sz w:val="20"/>
        </w:rPr>
        <w:t>4</w:t>
      </w:r>
      <w:r w:rsidR="00C74DB8" w:rsidRPr="00617833">
        <w:rPr>
          <w:rFonts w:ascii="Verdana" w:hAnsi="Verdana"/>
          <w:sz w:val="20"/>
        </w:rPr>
        <w:t>.</w:t>
      </w:r>
      <w:r w:rsidR="00A80B50" w:rsidRPr="00617833">
        <w:rPr>
          <w:rFonts w:ascii="Verdana" w:hAnsi="Verdana"/>
          <w:sz w:val="20"/>
        </w:rPr>
        <w:t>014</w:t>
      </w:r>
      <w:r w:rsidR="00D331CF" w:rsidRPr="00617833">
        <w:rPr>
          <w:rFonts w:ascii="Verdana" w:hAnsi="Verdana"/>
          <w:sz w:val="20"/>
        </w:rPr>
        <w:t xml:space="preserve"> recursos de apelación</w:t>
      </w:r>
      <w:r w:rsidR="009D29A1" w:rsidRPr="00617833">
        <w:rPr>
          <w:rFonts w:ascii="Verdana" w:hAnsi="Verdana"/>
          <w:sz w:val="20"/>
        </w:rPr>
        <w:t xml:space="preserve"> contra sentencias</w:t>
      </w:r>
      <w:r w:rsidR="00902185" w:rsidRPr="00617833">
        <w:rPr>
          <w:rFonts w:ascii="Verdana" w:hAnsi="Verdana"/>
          <w:sz w:val="20"/>
        </w:rPr>
        <w:t xml:space="preserve">, un </w:t>
      </w:r>
      <w:r w:rsidR="00A80B50" w:rsidRPr="00617833">
        <w:rPr>
          <w:rFonts w:ascii="Verdana" w:hAnsi="Verdana"/>
          <w:sz w:val="20"/>
        </w:rPr>
        <w:t>1</w:t>
      </w:r>
      <w:r w:rsidR="00CE6A08" w:rsidRPr="00617833">
        <w:rPr>
          <w:rFonts w:ascii="Verdana" w:hAnsi="Verdana"/>
          <w:sz w:val="20"/>
        </w:rPr>
        <w:t>,</w:t>
      </w:r>
      <w:r w:rsidR="00A80B50" w:rsidRPr="00617833">
        <w:rPr>
          <w:rFonts w:ascii="Verdana" w:hAnsi="Verdana"/>
          <w:sz w:val="20"/>
        </w:rPr>
        <w:t>2</w:t>
      </w:r>
      <w:r w:rsidR="00902185" w:rsidRPr="00617833">
        <w:rPr>
          <w:rFonts w:ascii="Verdana" w:hAnsi="Verdana"/>
          <w:sz w:val="20"/>
        </w:rPr>
        <w:t xml:space="preserve">% </w:t>
      </w:r>
      <w:r w:rsidR="00A80B50" w:rsidRPr="00617833">
        <w:rPr>
          <w:rFonts w:ascii="Verdana" w:hAnsi="Verdana"/>
          <w:sz w:val="20"/>
        </w:rPr>
        <w:t>menos</w:t>
      </w:r>
      <w:r w:rsidR="00902185" w:rsidRPr="00617833">
        <w:rPr>
          <w:rFonts w:ascii="Verdana" w:hAnsi="Verdana"/>
          <w:sz w:val="20"/>
        </w:rPr>
        <w:t xml:space="preserve"> que en 201</w:t>
      </w:r>
      <w:r w:rsidR="00A80B50" w:rsidRPr="00617833">
        <w:rPr>
          <w:rFonts w:ascii="Verdana" w:hAnsi="Verdana"/>
          <w:sz w:val="20"/>
        </w:rPr>
        <w:t>6</w:t>
      </w:r>
      <w:r w:rsidR="00CE6A08" w:rsidRPr="00617833">
        <w:rPr>
          <w:rFonts w:ascii="Verdana" w:hAnsi="Verdana"/>
          <w:sz w:val="20"/>
        </w:rPr>
        <w:t xml:space="preserve"> mientras que el</w:t>
      </w:r>
      <w:r w:rsidR="00370EDF" w:rsidRPr="00617833">
        <w:rPr>
          <w:rFonts w:ascii="Verdana" w:hAnsi="Verdana"/>
          <w:sz w:val="20"/>
        </w:rPr>
        <w:t xml:space="preserve"> número de sentencias</w:t>
      </w:r>
      <w:r w:rsidR="00CE6A08" w:rsidRPr="00617833">
        <w:rPr>
          <w:rFonts w:ascii="Verdana" w:hAnsi="Verdana"/>
          <w:sz w:val="20"/>
        </w:rPr>
        <w:t xml:space="preserve"> ha </w:t>
      </w:r>
      <w:r w:rsidR="00A80B50" w:rsidRPr="00617833">
        <w:rPr>
          <w:rFonts w:ascii="Verdana" w:hAnsi="Verdana"/>
          <w:sz w:val="20"/>
        </w:rPr>
        <w:t>disminuido</w:t>
      </w:r>
      <w:r w:rsidR="00CE6A08" w:rsidRPr="00617833">
        <w:rPr>
          <w:rFonts w:ascii="Verdana" w:hAnsi="Verdana"/>
          <w:sz w:val="20"/>
        </w:rPr>
        <w:t xml:space="preserve"> un</w:t>
      </w:r>
      <w:r w:rsidR="00370EDF" w:rsidRPr="00617833">
        <w:rPr>
          <w:rFonts w:ascii="Verdana" w:hAnsi="Verdana"/>
          <w:sz w:val="20"/>
        </w:rPr>
        <w:t xml:space="preserve"> </w:t>
      </w:r>
      <w:r w:rsidR="00A80B50" w:rsidRPr="00617833">
        <w:rPr>
          <w:rFonts w:ascii="Verdana" w:hAnsi="Verdana"/>
          <w:sz w:val="20"/>
        </w:rPr>
        <w:t>19%</w:t>
      </w:r>
      <w:r w:rsidR="00370EDF" w:rsidRPr="00617833">
        <w:rPr>
          <w:rFonts w:ascii="Verdana" w:hAnsi="Verdana"/>
          <w:sz w:val="20"/>
        </w:rPr>
        <w:t>.</w:t>
      </w:r>
      <w:r w:rsidR="00FE0556" w:rsidRPr="00617833">
        <w:rPr>
          <w:rFonts w:ascii="Verdana" w:hAnsi="Verdana"/>
          <w:sz w:val="20"/>
        </w:rPr>
        <w:t xml:space="preserve"> E</w:t>
      </w:r>
      <w:r w:rsidR="00D331CF" w:rsidRPr="00617833">
        <w:rPr>
          <w:rFonts w:ascii="Verdana" w:hAnsi="Verdana"/>
          <w:sz w:val="20"/>
        </w:rPr>
        <w:t xml:space="preserve">l resultado de los recursos devueltos en </w:t>
      </w:r>
      <w:r w:rsidR="00A8065F" w:rsidRPr="00617833">
        <w:rPr>
          <w:rFonts w:ascii="Verdana" w:hAnsi="Verdana"/>
          <w:sz w:val="20"/>
        </w:rPr>
        <w:t>20</w:t>
      </w:r>
      <w:r w:rsidR="00902185" w:rsidRPr="00617833">
        <w:rPr>
          <w:rFonts w:ascii="Verdana" w:hAnsi="Verdana"/>
          <w:sz w:val="20"/>
        </w:rPr>
        <w:t>1</w:t>
      </w:r>
      <w:r w:rsidR="00A80B50" w:rsidRPr="00617833">
        <w:rPr>
          <w:rFonts w:ascii="Verdana" w:hAnsi="Verdana"/>
          <w:sz w:val="20"/>
        </w:rPr>
        <w:t>7</w:t>
      </w:r>
      <w:r w:rsidR="00D331CF" w:rsidRPr="00617833">
        <w:rPr>
          <w:rFonts w:ascii="Verdana" w:hAnsi="Verdana"/>
          <w:sz w:val="20"/>
        </w:rPr>
        <w:t xml:space="preserve"> ha </w:t>
      </w:r>
      <w:r w:rsidR="00A80B50" w:rsidRPr="00617833">
        <w:rPr>
          <w:rFonts w:ascii="Verdana" w:hAnsi="Verdana"/>
          <w:sz w:val="20"/>
        </w:rPr>
        <w:t>s</w:t>
      </w:r>
      <w:r w:rsidR="00D331CF" w:rsidRPr="00617833">
        <w:rPr>
          <w:rFonts w:ascii="Verdana" w:hAnsi="Verdana"/>
          <w:sz w:val="20"/>
        </w:rPr>
        <w:t>ido:</w:t>
      </w:r>
    </w:p>
    <w:p w:rsidR="001066E7" w:rsidRPr="00617833" w:rsidRDefault="001066E7" w:rsidP="00370EDF">
      <w:pPr>
        <w:pStyle w:val="Textoindependiente"/>
        <w:spacing w:before="120" w:after="120"/>
        <w:ind w:firstLine="357"/>
        <w:rPr>
          <w:rFonts w:ascii="Verdana" w:hAnsi="Verdana"/>
          <w:sz w:val="20"/>
        </w:rPr>
      </w:pPr>
    </w:p>
    <w:tbl>
      <w:tblPr>
        <w:tblW w:w="5769" w:type="dxa"/>
        <w:jc w:val="center"/>
        <w:tblInd w:w="50" w:type="dxa"/>
        <w:tblCellMar>
          <w:left w:w="70" w:type="dxa"/>
          <w:right w:w="70" w:type="dxa"/>
        </w:tblCellMar>
        <w:tblLook w:val="0000" w:firstRow="0" w:lastRow="0" w:firstColumn="0" w:lastColumn="0" w:noHBand="0" w:noVBand="0"/>
      </w:tblPr>
      <w:tblGrid>
        <w:gridCol w:w="1582"/>
        <w:gridCol w:w="1373"/>
        <w:gridCol w:w="1612"/>
        <w:gridCol w:w="1202"/>
      </w:tblGrid>
      <w:tr w:rsidR="0038384D" w:rsidRPr="00617833" w:rsidTr="00370EDF">
        <w:trPr>
          <w:trHeight w:val="525"/>
          <w:jc w:val="center"/>
        </w:trPr>
        <w:tc>
          <w:tcPr>
            <w:tcW w:w="1582" w:type="dxa"/>
            <w:tcBorders>
              <w:top w:val="single" w:sz="8" w:space="0" w:color="auto"/>
              <w:left w:val="nil"/>
              <w:bottom w:val="single" w:sz="8" w:space="0" w:color="auto"/>
              <w:right w:val="nil"/>
            </w:tcBorders>
            <w:shd w:val="clear" w:color="auto" w:fill="auto"/>
            <w:vAlign w:val="center"/>
          </w:tcPr>
          <w:p w:rsidR="0038384D" w:rsidRPr="00617833" w:rsidRDefault="0038384D">
            <w:pPr>
              <w:jc w:val="center"/>
              <w:rPr>
                <w:rFonts w:ascii="Verdana" w:hAnsi="Verdana"/>
                <w:b/>
                <w:bCs/>
                <w:color w:val="000080"/>
                <w:sz w:val="20"/>
                <w:szCs w:val="20"/>
              </w:rPr>
            </w:pPr>
            <w:r w:rsidRPr="00617833">
              <w:rPr>
                <w:rFonts w:ascii="Verdana" w:hAnsi="Verdana"/>
                <w:b/>
                <w:bCs/>
                <w:color w:val="000080"/>
                <w:sz w:val="20"/>
                <w:szCs w:val="20"/>
              </w:rPr>
              <w:t>Confirmando totalmente</w:t>
            </w:r>
          </w:p>
        </w:tc>
        <w:tc>
          <w:tcPr>
            <w:tcW w:w="1373" w:type="dxa"/>
            <w:tcBorders>
              <w:top w:val="single" w:sz="8" w:space="0" w:color="auto"/>
              <w:left w:val="nil"/>
              <w:bottom w:val="single" w:sz="8" w:space="0" w:color="auto"/>
              <w:right w:val="nil"/>
            </w:tcBorders>
            <w:shd w:val="clear" w:color="auto" w:fill="auto"/>
            <w:vAlign w:val="center"/>
          </w:tcPr>
          <w:p w:rsidR="0038384D" w:rsidRPr="00617833" w:rsidRDefault="0038384D">
            <w:pPr>
              <w:jc w:val="center"/>
              <w:rPr>
                <w:rFonts w:ascii="Verdana" w:hAnsi="Verdana"/>
                <w:b/>
                <w:bCs/>
                <w:color w:val="000080"/>
                <w:sz w:val="20"/>
                <w:szCs w:val="20"/>
              </w:rPr>
            </w:pPr>
            <w:r w:rsidRPr="00617833">
              <w:rPr>
                <w:rFonts w:ascii="Verdana" w:hAnsi="Verdana"/>
                <w:b/>
                <w:bCs/>
                <w:color w:val="000080"/>
                <w:sz w:val="20"/>
                <w:szCs w:val="20"/>
              </w:rPr>
              <w:t>Revocando totalmente</w:t>
            </w:r>
          </w:p>
        </w:tc>
        <w:tc>
          <w:tcPr>
            <w:tcW w:w="1612" w:type="dxa"/>
            <w:tcBorders>
              <w:top w:val="single" w:sz="8" w:space="0" w:color="auto"/>
              <w:left w:val="nil"/>
              <w:bottom w:val="single" w:sz="8" w:space="0" w:color="auto"/>
              <w:right w:val="nil"/>
            </w:tcBorders>
            <w:shd w:val="clear" w:color="auto" w:fill="auto"/>
            <w:vAlign w:val="center"/>
          </w:tcPr>
          <w:p w:rsidR="0038384D" w:rsidRPr="00617833" w:rsidRDefault="0038384D">
            <w:pPr>
              <w:jc w:val="center"/>
              <w:rPr>
                <w:rFonts w:ascii="Verdana" w:hAnsi="Verdana"/>
                <w:b/>
                <w:bCs/>
                <w:color w:val="000080"/>
                <w:sz w:val="20"/>
                <w:szCs w:val="20"/>
              </w:rPr>
            </w:pPr>
            <w:r w:rsidRPr="00617833">
              <w:rPr>
                <w:rFonts w:ascii="Verdana" w:hAnsi="Verdana"/>
                <w:b/>
                <w:bCs/>
                <w:color w:val="000080"/>
                <w:sz w:val="20"/>
                <w:szCs w:val="20"/>
              </w:rPr>
              <w:t>Revocando parcialmente</w:t>
            </w:r>
          </w:p>
        </w:tc>
        <w:tc>
          <w:tcPr>
            <w:tcW w:w="1202" w:type="dxa"/>
            <w:tcBorders>
              <w:top w:val="single" w:sz="8" w:space="0" w:color="auto"/>
              <w:left w:val="nil"/>
              <w:bottom w:val="single" w:sz="8" w:space="0" w:color="auto"/>
              <w:right w:val="nil"/>
            </w:tcBorders>
            <w:shd w:val="clear" w:color="auto" w:fill="auto"/>
            <w:vAlign w:val="center"/>
          </w:tcPr>
          <w:p w:rsidR="0038384D" w:rsidRPr="00617833" w:rsidRDefault="0038384D">
            <w:pPr>
              <w:jc w:val="center"/>
              <w:rPr>
                <w:rFonts w:ascii="Verdana" w:hAnsi="Verdana"/>
                <w:b/>
                <w:bCs/>
                <w:color w:val="000080"/>
                <w:sz w:val="20"/>
                <w:szCs w:val="20"/>
              </w:rPr>
            </w:pPr>
            <w:r w:rsidRPr="00617833">
              <w:rPr>
                <w:rFonts w:ascii="Verdana" w:hAnsi="Verdana"/>
                <w:b/>
                <w:bCs/>
                <w:color w:val="000080"/>
                <w:sz w:val="20"/>
                <w:szCs w:val="20"/>
              </w:rPr>
              <w:t>Anulando</w:t>
            </w:r>
          </w:p>
        </w:tc>
      </w:tr>
      <w:tr w:rsidR="00A80B50" w:rsidRPr="00617833" w:rsidTr="00370EDF">
        <w:trPr>
          <w:trHeight w:val="270"/>
          <w:jc w:val="center"/>
        </w:trPr>
        <w:tc>
          <w:tcPr>
            <w:tcW w:w="1582" w:type="dxa"/>
            <w:tcBorders>
              <w:top w:val="nil"/>
              <w:left w:val="nil"/>
              <w:bottom w:val="single" w:sz="8" w:space="0" w:color="auto"/>
              <w:right w:val="nil"/>
            </w:tcBorders>
            <w:shd w:val="clear" w:color="auto" w:fill="auto"/>
            <w:noWrap/>
            <w:vAlign w:val="bottom"/>
          </w:tcPr>
          <w:p w:rsidR="00A80B50" w:rsidRPr="00617833" w:rsidRDefault="00A80B50" w:rsidP="00A80B50">
            <w:pPr>
              <w:jc w:val="center"/>
              <w:rPr>
                <w:rFonts w:ascii="Verdana" w:hAnsi="Verdana" w:cs="Arial"/>
                <w:sz w:val="20"/>
                <w:szCs w:val="20"/>
              </w:rPr>
            </w:pPr>
            <w:r w:rsidRPr="00617833">
              <w:rPr>
                <w:rFonts w:ascii="Verdana" w:hAnsi="Verdana" w:cs="Arial"/>
                <w:sz w:val="20"/>
                <w:szCs w:val="20"/>
              </w:rPr>
              <w:t>55,4</w:t>
            </w:r>
          </w:p>
        </w:tc>
        <w:tc>
          <w:tcPr>
            <w:tcW w:w="1373" w:type="dxa"/>
            <w:tcBorders>
              <w:top w:val="nil"/>
              <w:left w:val="nil"/>
              <w:bottom w:val="single" w:sz="8" w:space="0" w:color="auto"/>
              <w:right w:val="nil"/>
            </w:tcBorders>
            <w:shd w:val="clear" w:color="auto" w:fill="auto"/>
            <w:noWrap/>
            <w:vAlign w:val="bottom"/>
          </w:tcPr>
          <w:p w:rsidR="00A80B50" w:rsidRPr="00617833" w:rsidRDefault="00A80B50" w:rsidP="00A80B50">
            <w:pPr>
              <w:jc w:val="center"/>
              <w:rPr>
                <w:rFonts w:ascii="Verdana" w:hAnsi="Verdana" w:cs="Arial"/>
                <w:sz w:val="20"/>
                <w:szCs w:val="20"/>
              </w:rPr>
            </w:pPr>
            <w:r w:rsidRPr="00617833">
              <w:rPr>
                <w:rFonts w:ascii="Verdana" w:hAnsi="Verdana" w:cs="Arial"/>
                <w:sz w:val="20"/>
                <w:szCs w:val="20"/>
              </w:rPr>
              <w:t>23,4</w:t>
            </w:r>
          </w:p>
        </w:tc>
        <w:tc>
          <w:tcPr>
            <w:tcW w:w="1612" w:type="dxa"/>
            <w:tcBorders>
              <w:top w:val="nil"/>
              <w:left w:val="nil"/>
              <w:bottom w:val="single" w:sz="8" w:space="0" w:color="auto"/>
              <w:right w:val="nil"/>
            </w:tcBorders>
            <w:shd w:val="clear" w:color="auto" w:fill="auto"/>
            <w:noWrap/>
            <w:vAlign w:val="bottom"/>
          </w:tcPr>
          <w:p w:rsidR="00A80B50" w:rsidRPr="00617833" w:rsidRDefault="00A80B50" w:rsidP="00A80B50">
            <w:pPr>
              <w:jc w:val="center"/>
              <w:rPr>
                <w:rFonts w:ascii="Verdana" w:hAnsi="Verdana" w:cs="Arial"/>
                <w:sz w:val="20"/>
                <w:szCs w:val="20"/>
              </w:rPr>
            </w:pPr>
            <w:r w:rsidRPr="00617833">
              <w:rPr>
                <w:rFonts w:ascii="Verdana" w:hAnsi="Verdana" w:cs="Arial"/>
                <w:sz w:val="20"/>
                <w:szCs w:val="20"/>
              </w:rPr>
              <w:t>20,7</w:t>
            </w:r>
          </w:p>
        </w:tc>
        <w:tc>
          <w:tcPr>
            <w:tcW w:w="1202" w:type="dxa"/>
            <w:tcBorders>
              <w:top w:val="nil"/>
              <w:left w:val="nil"/>
              <w:bottom w:val="single" w:sz="8" w:space="0" w:color="auto"/>
              <w:right w:val="nil"/>
            </w:tcBorders>
            <w:shd w:val="clear" w:color="auto" w:fill="auto"/>
            <w:noWrap/>
            <w:vAlign w:val="bottom"/>
          </w:tcPr>
          <w:p w:rsidR="00A80B50" w:rsidRPr="00617833" w:rsidRDefault="00A80B50" w:rsidP="00A80B50">
            <w:pPr>
              <w:jc w:val="center"/>
              <w:rPr>
                <w:rFonts w:ascii="Verdana" w:hAnsi="Verdana" w:cs="Arial"/>
                <w:sz w:val="20"/>
                <w:szCs w:val="20"/>
              </w:rPr>
            </w:pPr>
            <w:r w:rsidRPr="00617833">
              <w:rPr>
                <w:rFonts w:ascii="Verdana" w:hAnsi="Verdana" w:cs="Arial"/>
                <w:sz w:val="20"/>
                <w:szCs w:val="20"/>
              </w:rPr>
              <w:t>0,4</w:t>
            </w:r>
          </w:p>
        </w:tc>
      </w:tr>
    </w:tbl>
    <w:p w:rsidR="001066E7" w:rsidRPr="00617833" w:rsidRDefault="001066E7">
      <w:pPr>
        <w:pStyle w:val="Textoindependiente"/>
        <w:spacing w:before="120" w:after="120"/>
        <w:ind w:firstLine="357"/>
        <w:rPr>
          <w:rFonts w:ascii="Verdana" w:hAnsi="Verdana"/>
          <w:sz w:val="20"/>
        </w:rPr>
      </w:pPr>
    </w:p>
    <w:p w:rsidR="007C3B9C" w:rsidRPr="00617833" w:rsidRDefault="00D331CF">
      <w:pPr>
        <w:pStyle w:val="Textoindependiente"/>
        <w:spacing w:before="120" w:after="120"/>
        <w:ind w:firstLine="357"/>
        <w:rPr>
          <w:rFonts w:ascii="Verdana" w:hAnsi="Verdana"/>
          <w:sz w:val="20"/>
        </w:rPr>
      </w:pPr>
      <w:r w:rsidRPr="00617833">
        <w:rPr>
          <w:rFonts w:ascii="Verdana" w:hAnsi="Verdana"/>
          <w:sz w:val="20"/>
        </w:rPr>
        <w:t xml:space="preserve"> </w:t>
      </w:r>
      <w:r w:rsidR="007C3B9C" w:rsidRPr="00617833">
        <w:rPr>
          <w:rFonts w:ascii="Verdana" w:hAnsi="Verdana"/>
          <w:sz w:val="20"/>
        </w:rPr>
        <w:t xml:space="preserve">Los mayores </w:t>
      </w:r>
      <w:r w:rsidR="00E35A7E" w:rsidRPr="00617833">
        <w:rPr>
          <w:rFonts w:ascii="Verdana" w:hAnsi="Verdana"/>
          <w:sz w:val="20"/>
        </w:rPr>
        <w:t>porcentajes de confirmaciones t</w:t>
      </w:r>
      <w:r w:rsidR="007C3B9C" w:rsidRPr="00617833">
        <w:rPr>
          <w:rFonts w:ascii="Verdana" w:hAnsi="Verdana"/>
          <w:sz w:val="20"/>
        </w:rPr>
        <w:t xml:space="preserve">otales corresponden a </w:t>
      </w:r>
      <w:r w:rsidR="007B6455" w:rsidRPr="00617833">
        <w:rPr>
          <w:rFonts w:ascii="Verdana" w:hAnsi="Verdana"/>
          <w:sz w:val="20"/>
        </w:rPr>
        <w:t xml:space="preserve">Illes Balears, </w:t>
      </w:r>
      <w:r w:rsidR="00A80B50" w:rsidRPr="00617833">
        <w:rPr>
          <w:rFonts w:ascii="Verdana" w:hAnsi="Verdana"/>
          <w:sz w:val="20"/>
        </w:rPr>
        <w:t>67</w:t>
      </w:r>
      <w:r w:rsidR="007B6455" w:rsidRPr="00617833">
        <w:rPr>
          <w:rFonts w:ascii="Verdana" w:hAnsi="Verdana"/>
          <w:sz w:val="20"/>
        </w:rPr>
        <w:t>,</w:t>
      </w:r>
      <w:r w:rsidR="00A80B50" w:rsidRPr="00617833">
        <w:rPr>
          <w:rFonts w:ascii="Verdana" w:hAnsi="Verdana"/>
          <w:sz w:val="20"/>
        </w:rPr>
        <w:t>3</w:t>
      </w:r>
      <w:r w:rsidR="007B6455" w:rsidRPr="00617833">
        <w:rPr>
          <w:rFonts w:ascii="Verdana" w:hAnsi="Verdana"/>
          <w:sz w:val="20"/>
        </w:rPr>
        <w:t xml:space="preserve">%; </w:t>
      </w:r>
      <w:r w:rsidR="00A80B50" w:rsidRPr="00617833">
        <w:rPr>
          <w:rFonts w:ascii="Verdana" w:hAnsi="Verdana"/>
          <w:sz w:val="20"/>
        </w:rPr>
        <w:t xml:space="preserve">Asturias, 64,8%; </w:t>
      </w:r>
      <w:r w:rsidR="00CE6A08" w:rsidRPr="00617833">
        <w:rPr>
          <w:rFonts w:ascii="Verdana" w:hAnsi="Verdana"/>
          <w:sz w:val="20"/>
        </w:rPr>
        <w:t xml:space="preserve">y </w:t>
      </w:r>
      <w:r w:rsidR="00A80B50" w:rsidRPr="00617833">
        <w:rPr>
          <w:rFonts w:ascii="Verdana" w:hAnsi="Verdana"/>
          <w:sz w:val="20"/>
        </w:rPr>
        <w:t xml:space="preserve">País Vasco, 62,6%. </w:t>
      </w:r>
      <w:r w:rsidR="002F644C" w:rsidRPr="00617833">
        <w:rPr>
          <w:rFonts w:ascii="Verdana" w:hAnsi="Verdana"/>
          <w:sz w:val="20"/>
        </w:rPr>
        <w:t>El porcentaje más bajo de confirmaciones se ha dado en Galicia, 51,6%.</w:t>
      </w:r>
    </w:p>
    <w:p w:rsidR="001B4EE3" w:rsidRDefault="00CB5ECD">
      <w:pPr>
        <w:pStyle w:val="Textoindependiente"/>
        <w:spacing w:before="120" w:after="120"/>
        <w:ind w:firstLine="357"/>
        <w:rPr>
          <w:rFonts w:ascii="Verdana" w:hAnsi="Verdana"/>
          <w:sz w:val="20"/>
        </w:rPr>
      </w:pPr>
      <w:r w:rsidRPr="00617833">
        <w:rPr>
          <w:rFonts w:ascii="Verdana" w:hAnsi="Verdana"/>
          <w:sz w:val="20"/>
        </w:rPr>
        <w:t xml:space="preserve">En las secciones civiles de </w:t>
      </w:r>
      <w:r w:rsidR="001B4EE3" w:rsidRPr="00617833">
        <w:rPr>
          <w:rFonts w:ascii="Verdana" w:hAnsi="Verdana"/>
          <w:sz w:val="20"/>
        </w:rPr>
        <w:t xml:space="preserve">las </w:t>
      </w:r>
      <w:r w:rsidR="005F69F1" w:rsidRPr="00617833">
        <w:rPr>
          <w:rFonts w:ascii="Verdana" w:hAnsi="Verdana"/>
          <w:sz w:val="20"/>
        </w:rPr>
        <w:t>a</w:t>
      </w:r>
      <w:r w:rsidR="001B4EE3" w:rsidRPr="00617833">
        <w:rPr>
          <w:rFonts w:ascii="Verdana" w:hAnsi="Verdana"/>
          <w:sz w:val="20"/>
        </w:rPr>
        <w:t xml:space="preserve">udiencias </w:t>
      </w:r>
      <w:r w:rsidR="005F69F1" w:rsidRPr="00617833">
        <w:rPr>
          <w:rFonts w:ascii="Verdana" w:hAnsi="Verdana"/>
          <w:sz w:val="20"/>
        </w:rPr>
        <w:t>p</w:t>
      </w:r>
      <w:r w:rsidR="001B4EE3" w:rsidRPr="00617833">
        <w:rPr>
          <w:rFonts w:ascii="Verdana" w:hAnsi="Verdana"/>
          <w:sz w:val="20"/>
        </w:rPr>
        <w:t>rovinciales</w:t>
      </w:r>
      <w:r w:rsidR="0072445C" w:rsidRPr="00617833">
        <w:rPr>
          <w:rFonts w:ascii="Verdana" w:hAnsi="Verdana"/>
          <w:sz w:val="20"/>
        </w:rPr>
        <w:t>,</w:t>
      </w:r>
      <w:r w:rsidR="00654762" w:rsidRPr="00617833">
        <w:rPr>
          <w:rFonts w:ascii="Verdana" w:hAnsi="Verdana"/>
          <w:sz w:val="20"/>
        </w:rPr>
        <w:t xml:space="preserve"> se han elevado </w:t>
      </w:r>
      <w:r w:rsidR="0079184C" w:rsidRPr="00617833">
        <w:rPr>
          <w:rFonts w:ascii="Verdana" w:hAnsi="Verdana"/>
          <w:sz w:val="20"/>
        </w:rPr>
        <w:t>5</w:t>
      </w:r>
      <w:r w:rsidR="00654762" w:rsidRPr="00617833">
        <w:rPr>
          <w:rFonts w:ascii="Verdana" w:hAnsi="Verdana"/>
          <w:sz w:val="20"/>
        </w:rPr>
        <w:t>.</w:t>
      </w:r>
      <w:r w:rsidR="0079184C" w:rsidRPr="00617833">
        <w:rPr>
          <w:rFonts w:ascii="Verdana" w:hAnsi="Verdana"/>
          <w:sz w:val="20"/>
        </w:rPr>
        <w:t>160</w:t>
      </w:r>
      <w:r w:rsidR="00654762" w:rsidRPr="00617833">
        <w:rPr>
          <w:rFonts w:ascii="Verdana" w:hAnsi="Verdana"/>
          <w:sz w:val="20"/>
        </w:rPr>
        <w:t xml:space="preserve"> recursos de casación, un  </w:t>
      </w:r>
      <w:r w:rsidR="0079184C" w:rsidRPr="00617833">
        <w:rPr>
          <w:rFonts w:ascii="Verdana" w:hAnsi="Verdana"/>
          <w:sz w:val="20"/>
        </w:rPr>
        <w:t>21</w:t>
      </w:r>
      <w:r w:rsidR="00654762" w:rsidRPr="00617833">
        <w:rPr>
          <w:rFonts w:ascii="Verdana" w:hAnsi="Verdana"/>
          <w:sz w:val="20"/>
        </w:rPr>
        <w:t xml:space="preserve">% </w:t>
      </w:r>
      <w:r w:rsidRPr="00617833">
        <w:rPr>
          <w:rFonts w:ascii="Verdana" w:hAnsi="Verdana"/>
          <w:sz w:val="20"/>
        </w:rPr>
        <w:t xml:space="preserve">más </w:t>
      </w:r>
      <w:r w:rsidR="00654762" w:rsidRPr="00617833">
        <w:rPr>
          <w:rFonts w:ascii="Verdana" w:hAnsi="Verdana"/>
          <w:sz w:val="20"/>
        </w:rPr>
        <w:t xml:space="preserve">que </w:t>
      </w:r>
      <w:r w:rsidR="0079184C" w:rsidRPr="00617833">
        <w:rPr>
          <w:rFonts w:ascii="Verdana" w:hAnsi="Verdana"/>
          <w:sz w:val="20"/>
        </w:rPr>
        <w:t>el año anterior</w:t>
      </w:r>
      <w:r w:rsidR="00654762" w:rsidRPr="00617833">
        <w:rPr>
          <w:rFonts w:ascii="Verdana" w:hAnsi="Verdana"/>
          <w:sz w:val="20"/>
        </w:rPr>
        <w:t>.</w:t>
      </w:r>
      <w:r w:rsidRPr="00617833">
        <w:rPr>
          <w:rFonts w:ascii="Verdana" w:hAnsi="Verdana"/>
          <w:sz w:val="20"/>
        </w:rPr>
        <w:t xml:space="preserve"> En el mismo periodo las sentencias dictadas </w:t>
      </w:r>
      <w:r w:rsidR="00B20716" w:rsidRPr="00617833">
        <w:rPr>
          <w:rFonts w:ascii="Verdana" w:hAnsi="Verdana"/>
          <w:sz w:val="20"/>
        </w:rPr>
        <w:t>aumentaron</w:t>
      </w:r>
      <w:r w:rsidRPr="00617833">
        <w:rPr>
          <w:rFonts w:ascii="Verdana" w:hAnsi="Verdana"/>
          <w:sz w:val="20"/>
        </w:rPr>
        <w:t xml:space="preserve"> un </w:t>
      </w:r>
      <w:r w:rsidR="0079184C" w:rsidRPr="00617833">
        <w:rPr>
          <w:rFonts w:ascii="Verdana" w:hAnsi="Verdana"/>
          <w:sz w:val="20"/>
        </w:rPr>
        <w:t>6</w:t>
      </w:r>
      <w:r w:rsidRPr="00617833">
        <w:rPr>
          <w:rFonts w:ascii="Verdana" w:hAnsi="Verdana"/>
          <w:sz w:val="20"/>
        </w:rPr>
        <w:t>,</w:t>
      </w:r>
      <w:r w:rsidR="00B20716" w:rsidRPr="00617833">
        <w:rPr>
          <w:rFonts w:ascii="Verdana" w:hAnsi="Verdana"/>
          <w:sz w:val="20"/>
        </w:rPr>
        <w:t>2</w:t>
      </w:r>
      <w:r w:rsidRPr="00617833">
        <w:rPr>
          <w:rFonts w:ascii="Verdana" w:hAnsi="Verdana"/>
          <w:sz w:val="20"/>
        </w:rPr>
        <w:t xml:space="preserve">%. </w:t>
      </w:r>
      <w:r w:rsidR="00654762" w:rsidRPr="00617833">
        <w:rPr>
          <w:rFonts w:ascii="Verdana" w:hAnsi="Verdana"/>
          <w:sz w:val="20"/>
        </w:rPr>
        <w:t xml:space="preserve"> L</w:t>
      </w:r>
      <w:r w:rsidR="001B4EE3" w:rsidRPr="00617833">
        <w:rPr>
          <w:rFonts w:ascii="Verdana" w:hAnsi="Verdana"/>
          <w:sz w:val="20"/>
        </w:rPr>
        <w:t>a</w:t>
      </w:r>
      <w:r w:rsidR="00621526" w:rsidRPr="00617833">
        <w:rPr>
          <w:rFonts w:ascii="Verdana" w:hAnsi="Verdana"/>
          <w:sz w:val="20"/>
        </w:rPr>
        <w:t>s</w:t>
      </w:r>
      <w:r w:rsidR="001B4EE3" w:rsidRPr="00617833">
        <w:rPr>
          <w:rFonts w:ascii="Verdana" w:hAnsi="Verdana"/>
          <w:sz w:val="20"/>
        </w:rPr>
        <w:t xml:space="preserve"> casaciones devueltas han presentado la siguiente distribución:</w:t>
      </w:r>
    </w:p>
    <w:p w:rsidR="00CB5ECD" w:rsidRPr="00CE214A" w:rsidRDefault="00CB5ECD">
      <w:pPr>
        <w:pStyle w:val="Textoindependiente"/>
        <w:spacing w:before="120" w:after="120"/>
        <w:ind w:firstLine="357"/>
        <w:rPr>
          <w:rFonts w:ascii="Verdana" w:hAnsi="Verdana"/>
          <w:sz w:val="20"/>
        </w:rPr>
      </w:pPr>
    </w:p>
    <w:tbl>
      <w:tblPr>
        <w:tblW w:w="5769" w:type="dxa"/>
        <w:jc w:val="center"/>
        <w:tblInd w:w="50" w:type="dxa"/>
        <w:tblCellMar>
          <w:left w:w="70" w:type="dxa"/>
          <w:right w:w="70" w:type="dxa"/>
        </w:tblCellMar>
        <w:tblLook w:val="0000" w:firstRow="0" w:lastRow="0" w:firstColumn="0" w:lastColumn="0" w:noHBand="0" w:noVBand="0"/>
      </w:tblPr>
      <w:tblGrid>
        <w:gridCol w:w="1582"/>
        <w:gridCol w:w="1373"/>
        <w:gridCol w:w="1612"/>
        <w:gridCol w:w="1202"/>
      </w:tblGrid>
      <w:tr w:rsidR="0038384D" w:rsidRPr="00CE214A" w:rsidTr="00667584">
        <w:trPr>
          <w:trHeight w:val="525"/>
          <w:jc w:val="center"/>
        </w:trPr>
        <w:tc>
          <w:tcPr>
            <w:tcW w:w="1582" w:type="dxa"/>
            <w:tcBorders>
              <w:top w:val="single" w:sz="8" w:space="0" w:color="auto"/>
              <w:left w:val="nil"/>
              <w:bottom w:val="single" w:sz="8" w:space="0" w:color="auto"/>
              <w:right w:val="nil"/>
            </w:tcBorders>
            <w:shd w:val="clear" w:color="auto" w:fill="auto"/>
            <w:vAlign w:val="center"/>
          </w:tcPr>
          <w:p w:rsidR="0038384D" w:rsidRPr="00CE214A" w:rsidRDefault="0038384D">
            <w:pPr>
              <w:jc w:val="center"/>
              <w:rPr>
                <w:rFonts w:ascii="Verdana" w:hAnsi="Verdana" w:cs="Arial"/>
                <w:b/>
                <w:bCs/>
                <w:color w:val="000080"/>
                <w:sz w:val="20"/>
                <w:szCs w:val="20"/>
              </w:rPr>
            </w:pPr>
            <w:r w:rsidRPr="00CE214A">
              <w:rPr>
                <w:rFonts w:ascii="Verdana" w:hAnsi="Verdana"/>
                <w:b/>
                <w:bCs/>
                <w:color w:val="000080"/>
                <w:sz w:val="20"/>
                <w:szCs w:val="20"/>
              </w:rPr>
              <w:t>Confirmando totalmente</w:t>
            </w:r>
          </w:p>
        </w:tc>
        <w:tc>
          <w:tcPr>
            <w:tcW w:w="1373" w:type="dxa"/>
            <w:tcBorders>
              <w:top w:val="single" w:sz="8" w:space="0" w:color="auto"/>
              <w:left w:val="nil"/>
              <w:bottom w:val="single" w:sz="8" w:space="0" w:color="auto"/>
              <w:right w:val="nil"/>
            </w:tcBorders>
            <w:shd w:val="clear" w:color="auto" w:fill="auto"/>
            <w:vAlign w:val="center"/>
          </w:tcPr>
          <w:p w:rsidR="0038384D" w:rsidRPr="00CE214A" w:rsidRDefault="0038384D">
            <w:pPr>
              <w:jc w:val="center"/>
              <w:rPr>
                <w:rFonts w:ascii="Verdana" w:hAnsi="Verdana" w:cs="Arial"/>
                <w:b/>
                <w:bCs/>
                <w:color w:val="000080"/>
                <w:sz w:val="20"/>
                <w:szCs w:val="20"/>
              </w:rPr>
            </w:pPr>
            <w:r w:rsidRPr="00CE214A">
              <w:rPr>
                <w:rFonts w:ascii="Verdana" w:hAnsi="Verdana"/>
                <w:b/>
                <w:bCs/>
                <w:color w:val="000080"/>
                <w:sz w:val="20"/>
                <w:szCs w:val="20"/>
              </w:rPr>
              <w:t>Revocando totalmente</w:t>
            </w:r>
          </w:p>
        </w:tc>
        <w:tc>
          <w:tcPr>
            <w:tcW w:w="1612" w:type="dxa"/>
            <w:tcBorders>
              <w:top w:val="single" w:sz="8" w:space="0" w:color="auto"/>
              <w:left w:val="nil"/>
              <w:bottom w:val="single" w:sz="8" w:space="0" w:color="auto"/>
              <w:right w:val="nil"/>
            </w:tcBorders>
            <w:shd w:val="clear" w:color="auto" w:fill="auto"/>
            <w:vAlign w:val="center"/>
          </w:tcPr>
          <w:p w:rsidR="0038384D" w:rsidRPr="00CE214A" w:rsidRDefault="0038384D">
            <w:pPr>
              <w:jc w:val="center"/>
              <w:rPr>
                <w:rFonts w:ascii="Verdana" w:hAnsi="Verdana" w:cs="Arial"/>
                <w:b/>
                <w:bCs/>
                <w:color w:val="000080"/>
                <w:sz w:val="20"/>
                <w:szCs w:val="20"/>
              </w:rPr>
            </w:pPr>
            <w:r w:rsidRPr="00CE214A">
              <w:rPr>
                <w:rFonts w:ascii="Verdana" w:hAnsi="Verdana"/>
                <w:b/>
                <w:bCs/>
                <w:color w:val="000080"/>
                <w:sz w:val="20"/>
                <w:szCs w:val="20"/>
              </w:rPr>
              <w:t>Revocando parcialmente</w:t>
            </w:r>
          </w:p>
        </w:tc>
        <w:tc>
          <w:tcPr>
            <w:tcW w:w="1202" w:type="dxa"/>
            <w:tcBorders>
              <w:top w:val="single" w:sz="8" w:space="0" w:color="auto"/>
              <w:left w:val="nil"/>
              <w:bottom w:val="single" w:sz="8" w:space="0" w:color="auto"/>
              <w:right w:val="nil"/>
            </w:tcBorders>
            <w:shd w:val="clear" w:color="auto" w:fill="auto"/>
            <w:vAlign w:val="center"/>
          </w:tcPr>
          <w:p w:rsidR="0038384D" w:rsidRPr="00CE214A" w:rsidRDefault="0038384D">
            <w:pPr>
              <w:jc w:val="center"/>
              <w:rPr>
                <w:rFonts w:ascii="Verdana" w:hAnsi="Verdana" w:cs="Arial"/>
                <w:b/>
                <w:bCs/>
                <w:color w:val="000080"/>
                <w:sz w:val="20"/>
                <w:szCs w:val="20"/>
              </w:rPr>
            </w:pPr>
            <w:r w:rsidRPr="00CE214A">
              <w:rPr>
                <w:rFonts w:ascii="Verdana" w:hAnsi="Verdana"/>
                <w:b/>
                <w:bCs/>
                <w:color w:val="000080"/>
                <w:sz w:val="20"/>
                <w:szCs w:val="20"/>
              </w:rPr>
              <w:t>Anulando</w:t>
            </w:r>
          </w:p>
        </w:tc>
      </w:tr>
      <w:tr w:rsidR="0079184C" w:rsidRPr="00CE214A" w:rsidTr="00667584">
        <w:trPr>
          <w:trHeight w:val="270"/>
          <w:jc w:val="center"/>
        </w:trPr>
        <w:tc>
          <w:tcPr>
            <w:tcW w:w="1582" w:type="dxa"/>
            <w:tcBorders>
              <w:top w:val="nil"/>
              <w:left w:val="nil"/>
              <w:bottom w:val="single" w:sz="8" w:space="0" w:color="auto"/>
              <w:right w:val="nil"/>
            </w:tcBorders>
            <w:shd w:val="clear" w:color="auto" w:fill="auto"/>
            <w:noWrap/>
            <w:vAlign w:val="bottom"/>
          </w:tcPr>
          <w:p w:rsidR="0079184C" w:rsidRDefault="0079184C" w:rsidP="0079184C">
            <w:pPr>
              <w:jc w:val="center"/>
              <w:rPr>
                <w:rFonts w:ascii="Verdana" w:hAnsi="Verdana" w:cs="Arial"/>
                <w:sz w:val="20"/>
                <w:szCs w:val="20"/>
              </w:rPr>
            </w:pPr>
            <w:r>
              <w:rPr>
                <w:rFonts w:ascii="Verdana" w:hAnsi="Verdana" w:cs="Arial"/>
                <w:sz w:val="20"/>
                <w:szCs w:val="20"/>
              </w:rPr>
              <w:t>84,4</w:t>
            </w:r>
          </w:p>
        </w:tc>
        <w:tc>
          <w:tcPr>
            <w:tcW w:w="1373" w:type="dxa"/>
            <w:tcBorders>
              <w:top w:val="nil"/>
              <w:left w:val="nil"/>
              <w:bottom w:val="single" w:sz="8" w:space="0" w:color="auto"/>
              <w:right w:val="nil"/>
            </w:tcBorders>
            <w:shd w:val="clear" w:color="auto" w:fill="auto"/>
            <w:noWrap/>
            <w:vAlign w:val="bottom"/>
          </w:tcPr>
          <w:p w:rsidR="0079184C" w:rsidRDefault="0079184C" w:rsidP="0079184C">
            <w:pPr>
              <w:jc w:val="center"/>
              <w:rPr>
                <w:rFonts w:ascii="Verdana" w:hAnsi="Verdana" w:cs="Arial"/>
                <w:sz w:val="20"/>
                <w:szCs w:val="20"/>
              </w:rPr>
            </w:pPr>
            <w:r>
              <w:rPr>
                <w:rFonts w:ascii="Verdana" w:hAnsi="Verdana" w:cs="Arial"/>
                <w:sz w:val="20"/>
                <w:szCs w:val="20"/>
              </w:rPr>
              <w:t>12,4</w:t>
            </w:r>
          </w:p>
        </w:tc>
        <w:tc>
          <w:tcPr>
            <w:tcW w:w="1612" w:type="dxa"/>
            <w:tcBorders>
              <w:top w:val="nil"/>
              <w:left w:val="nil"/>
              <w:bottom w:val="single" w:sz="8" w:space="0" w:color="auto"/>
              <w:right w:val="nil"/>
            </w:tcBorders>
            <w:shd w:val="clear" w:color="auto" w:fill="auto"/>
            <w:noWrap/>
            <w:vAlign w:val="bottom"/>
          </w:tcPr>
          <w:p w:rsidR="0079184C" w:rsidRDefault="0079184C" w:rsidP="0079184C">
            <w:pPr>
              <w:jc w:val="center"/>
              <w:rPr>
                <w:rFonts w:ascii="Verdana" w:hAnsi="Verdana" w:cs="Arial"/>
                <w:sz w:val="20"/>
                <w:szCs w:val="20"/>
              </w:rPr>
            </w:pPr>
            <w:r>
              <w:rPr>
                <w:rFonts w:ascii="Verdana" w:hAnsi="Verdana" w:cs="Arial"/>
                <w:sz w:val="20"/>
                <w:szCs w:val="20"/>
              </w:rPr>
              <w:t>3,1</w:t>
            </w:r>
          </w:p>
        </w:tc>
        <w:tc>
          <w:tcPr>
            <w:tcW w:w="1202" w:type="dxa"/>
            <w:tcBorders>
              <w:top w:val="nil"/>
              <w:left w:val="nil"/>
              <w:bottom w:val="single" w:sz="8" w:space="0" w:color="auto"/>
              <w:right w:val="nil"/>
            </w:tcBorders>
            <w:shd w:val="clear" w:color="auto" w:fill="auto"/>
            <w:noWrap/>
            <w:vAlign w:val="bottom"/>
          </w:tcPr>
          <w:p w:rsidR="0079184C" w:rsidRDefault="0079184C" w:rsidP="0079184C">
            <w:pPr>
              <w:jc w:val="center"/>
              <w:rPr>
                <w:rFonts w:ascii="Verdana" w:hAnsi="Verdana" w:cs="Arial"/>
                <w:sz w:val="20"/>
                <w:szCs w:val="20"/>
              </w:rPr>
            </w:pPr>
            <w:r>
              <w:rPr>
                <w:rFonts w:ascii="Verdana" w:hAnsi="Verdana" w:cs="Arial"/>
                <w:sz w:val="20"/>
                <w:szCs w:val="20"/>
              </w:rPr>
              <w:t>0,2</w:t>
            </w:r>
          </w:p>
        </w:tc>
      </w:tr>
    </w:tbl>
    <w:p w:rsidR="001066E7" w:rsidRDefault="001066E7">
      <w:pPr>
        <w:pStyle w:val="Textoindependiente"/>
        <w:spacing w:before="120" w:after="120"/>
        <w:ind w:firstLine="357"/>
        <w:rPr>
          <w:rFonts w:ascii="Verdana" w:hAnsi="Verdana"/>
          <w:sz w:val="20"/>
        </w:rPr>
      </w:pPr>
    </w:p>
    <w:p w:rsidR="00B20716" w:rsidRPr="00617833" w:rsidRDefault="00621526">
      <w:pPr>
        <w:pStyle w:val="Textoindependiente"/>
        <w:spacing w:before="120" w:after="120"/>
        <w:ind w:firstLine="357"/>
        <w:rPr>
          <w:rFonts w:ascii="Verdana" w:hAnsi="Verdana"/>
          <w:sz w:val="20"/>
        </w:rPr>
      </w:pPr>
      <w:r w:rsidRPr="00617833">
        <w:rPr>
          <w:rFonts w:ascii="Verdana" w:hAnsi="Verdana"/>
          <w:sz w:val="20"/>
        </w:rPr>
        <w:t>El porcentaje más alto de c</w:t>
      </w:r>
      <w:r w:rsidR="001B4EE3" w:rsidRPr="00617833">
        <w:rPr>
          <w:rFonts w:ascii="Verdana" w:hAnsi="Verdana"/>
          <w:sz w:val="20"/>
        </w:rPr>
        <w:t xml:space="preserve">onfirmaciones se ha dado en </w:t>
      </w:r>
      <w:r w:rsidR="00731CC9" w:rsidRPr="00617833">
        <w:rPr>
          <w:rFonts w:ascii="Verdana" w:hAnsi="Verdana"/>
          <w:sz w:val="20"/>
          <w:szCs w:val="20"/>
          <w:lang w:val="es-ES_tradnl"/>
        </w:rPr>
        <w:t>L</w:t>
      </w:r>
      <w:r w:rsidR="00CB5ECD" w:rsidRPr="00617833">
        <w:rPr>
          <w:rFonts w:ascii="Verdana" w:hAnsi="Verdana"/>
          <w:sz w:val="20"/>
          <w:szCs w:val="20"/>
          <w:lang w:val="es-ES_tradnl"/>
        </w:rPr>
        <w:t>a Rioja,</w:t>
      </w:r>
      <w:r w:rsidR="00CB5ECD" w:rsidRPr="00617833">
        <w:rPr>
          <w:rFonts w:ascii="Verdana" w:hAnsi="Verdana"/>
          <w:sz w:val="20"/>
        </w:rPr>
        <w:t xml:space="preserve"> </w:t>
      </w:r>
      <w:r w:rsidR="00F3119E" w:rsidRPr="00617833">
        <w:rPr>
          <w:rFonts w:ascii="Verdana" w:hAnsi="Verdana"/>
          <w:sz w:val="20"/>
        </w:rPr>
        <w:t>100</w:t>
      </w:r>
      <w:r w:rsidR="00CB5ECD" w:rsidRPr="00617833">
        <w:rPr>
          <w:rFonts w:ascii="Verdana" w:hAnsi="Verdana"/>
          <w:sz w:val="20"/>
        </w:rPr>
        <w:t>%</w:t>
      </w:r>
      <w:r w:rsidR="00015927" w:rsidRPr="00617833">
        <w:rPr>
          <w:rFonts w:ascii="Verdana" w:hAnsi="Verdana"/>
          <w:sz w:val="20"/>
        </w:rPr>
        <w:t>;</w:t>
      </w:r>
      <w:r w:rsidR="00CB5ECD" w:rsidRPr="00617833">
        <w:rPr>
          <w:rFonts w:ascii="Verdana" w:hAnsi="Verdana"/>
          <w:sz w:val="20"/>
        </w:rPr>
        <w:t xml:space="preserve"> </w:t>
      </w:r>
      <w:r w:rsidR="00B20716" w:rsidRPr="00617833">
        <w:rPr>
          <w:rFonts w:ascii="Verdana" w:hAnsi="Verdana"/>
          <w:sz w:val="20"/>
        </w:rPr>
        <w:t>Illes Balears</w:t>
      </w:r>
      <w:r w:rsidR="00F3119E" w:rsidRPr="00617833">
        <w:rPr>
          <w:rFonts w:ascii="Verdana" w:hAnsi="Verdana"/>
          <w:sz w:val="20"/>
        </w:rPr>
        <w:t>, 96,8%; Castilla la Mancha, 93,8%; y Galicia, 90,4%.</w:t>
      </w:r>
      <w:r w:rsidR="00897285" w:rsidRPr="00617833">
        <w:rPr>
          <w:rFonts w:ascii="Verdana" w:hAnsi="Verdana"/>
          <w:sz w:val="20"/>
        </w:rPr>
        <w:t xml:space="preserve"> El más bajo, en </w:t>
      </w:r>
      <w:r w:rsidR="00F3119E" w:rsidRPr="00617833">
        <w:rPr>
          <w:rFonts w:ascii="Verdana" w:hAnsi="Verdana"/>
          <w:sz w:val="20"/>
        </w:rPr>
        <w:t>Canarias</w:t>
      </w:r>
      <w:r w:rsidR="00B20716" w:rsidRPr="00617833">
        <w:rPr>
          <w:rFonts w:ascii="Verdana" w:hAnsi="Verdana"/>
          <w:sz w:val="20"/>
        </w:rPr>
        <w:t>, 7</w:t>
      </w:r>
      <w:r w:rsidR="00F3119E" w:rsidRPr="00617833">
        <w:rPr>
          <w:rFonts w:ascii="Verdana" w:hAnsi="Verdana"/>
          <w:sz w:val="20"/>
        </w:rPr>
        <w:t>3</w:t>
      </w:r>
      <w:r w:rsidR="00B20716" w:rsidRPr="00617833">
        <w:rPr>
          <w:rFonts w:ascii="Verdana" w:hAnsi="Verdana"/>
          <w:sz w:val="20"/>
        </w:rPr>
        <w:t>,1%.</w:t>
      </w:r>
    </w:p>
    <w:p w:rsidR="002F644C" w:rsidRPr="00617833" w:rsidRDefault="002F644C">
      <w:pPr>
        <w:pStyle w:val="Textoindependiente"/>
        <w:spacing w:before="120" w:after="120"/>
        <w:ind w:firstLine="357"/>
        <w:rPr>
          <w:rFonts w:ascii="Verdana" w:hAnsi="Verdana"/>
          <w:sz w:val="20"/>
        </w:rPr>
      </w:pPr>
    </w:p>
    <w:p w:rsidR="002F644C" w:rsidRPr="00617833" w:rsidRDefault="002F644C" w:rsidP="002F644C">
      <w:pPr>
        <w:pStyle w:val="Textoindependiente"/>
        <w:spacing w:before="120" w:after="120"/>
        <w:ind w:firstLine="357"/>
        <w:rPr>
          <w:rFonts w:ascii="Verdana" w:hAnsi="Verdana"/>
          <w:sz w:val="20"/>
        </w:rPr>
      </w:pPr>
      <w:r w:rsidRPr="00617833">
        <w:rPr>
          <w:rFonts w:ascii="Verdana" w:hAnsi="Verdana"/>
          <w:sz w:val="20"/>
        </w:rPr>
        <w:t xml:space="preserve">El importante incremento en el número de recursos de apelación elevados por los juzgados de primera instancia y de primera instancia e instrucción, así como en los de casación elevados por las audiencias provinciales, puede tener su explicación en los efectos de la publicación en el BOE de la sentencia del Tribunal constitucional, Pleno de 21 julio de 2016 (15 de agosto de 2016), por la que desaparecieron las tasas </w:t>
      </w:r>
      <w:r w:rsidRPr="00617833">
        <w:rPr>
          <w:rFonts w:ascii="Verdana" w:hAnsi="Verdana"/>
          <w:sz w:val="20"/>
        </w:rPr>
        <w:lastRenderedPageBreak/>
        <w:t>siguientes, por haber sido declaradas nulas: recurso de apelación, recurso de casación, recurso extraordinario por infracción procesal.</w:t>
      </w:r>
    </w:p>
    <w:p w:rsidR="002F644C" w:rsidRPr="00617833" w:rsidRDefault="002F644C" w:rsidP="002F644C"/>
    <w:p w:rsidR="001C6C1E" w:rsidRPr="00617833" w:rsidRDefault="001C6C1E">
      <w:pPr>
        <w:pStyle w:val="Textoindependiente"/>
        <w:spacing w:before="120" w:after="120"/>
        <w:ind w:firstLine="357"/>
        <w:rPr>
          <w:rFonts w:ascii="Verdana" w:hAnsi="Verdana"/>
          <w:sz w:val="20"/>
        </w:rPr>
      </w:pPr>
      <w:r w:rsidRPr="00617833">
        <w:rPr>
          <w:rFonts w:ascii="Verdana" w:hAnsi="Verdana"/>
          <w:sz w:val="20"/>
        </w:rPr>
        <w:t>Otro indicador interesante, que s</w:t>
      </w:r>
      <w:r w:rsidR="005B54FD" w:rsidRPr="00617833">
        <w:rPr>
          <w:rFonts w:ascii="Verdana" w:hAnsi="Verdana"/>
          <w:sz w:val="20"/>
        </w:rPr>
        <w:t>ó</w:t>
      </w:r>
      <w:r w:rsidRPr="00617833">
        <w:rPr>
          <w:rFonts w:ascii="Verdana" w:hAnsi="Verdana"/>
          <w:sz w:val="20"/>
        </w:rPr>
        <w:t xml:space="preserve">lo se puede obtener de forma aproximada por la </w:t>
      </w:r>
      <w:r w:rsidR="008509A0" w:rsidRPr="00617833">
        <w:rPr>
          <w:rFonts w:ascii="Verdana" w:hAnsi="Verdana"/>
          <w:sz w:val="20"/>
        </w:rPr>
        <w:t>Estadística</w:t>
      </w:r>
      <w:r w:rsidRPr="00617833">
        <w:rPr>
          <w:rFonts w:ascii="Verdana" w:hAnsi="Verdana"/>
          <w:sz w:val="20"/>
        </w:rPr>
        <w:t xml:space="preserve"> judicial, es el porcentaje de sentencias que se recurren.  Estimándolo con el ratio entre el </w:t>
      </w:r>
      <w:r w:rsidR="00C71023" w:rsidRPr="00617833">
        <w:rPr>
          <w:rFonts w:ascii="Verdana" w:hAnsi="Verdana"/>
          <w:sz w:val="20"/>
        </w:rPr>
        <w:t>número</w:t>
      </w:r>
      <w:r w:rsidRPr="00617833">
        <w:rPr>
          <w:rFonts w:ascii="Verdana" w:hAnsi="Verdana"/>
          <w:sz w:val="20"/>
        </w:rPr>
        <w:t xml:space="preserve"> de recursos elevados en el año y el </w:t>
      </w:r>
      <w:r w:rsidR="008F440F" w:rsidRPr="00617833">
        <w:rPr>
          <w:rFonts w:ascii="Verdana" w:hAnsi="Verdana"/>
          <w:sz w:val="20"/>
        </w:rPr>
        <w:t>número</w:t>
      </w:r>
      <w:r w:rsidR="00B758AC" w:rsidRPr="00617833">
        <w:rPr>
          <w:rFonts w:ascii="Verdana" w:hAnsi="Verdana"/>
          <w:sz w:val="20"/>
        </w:rPr>
        <w:t xml:space="preserve"> de sentencias dic</w:t>
      </w:r>
      <w:r w:rsidRPr="00617833">
        <w:rPr>
          <w:rFonts w:ascii="Verdana" w:hAnsi="Verdana"/>
          <w:sz w:val="20"/>
        </w:rPr>
        <w:t xml:space="preserve">tadas en el mismo periodo, tenemos los siguientes valores: </w:t>
      </w:r>
    </w:p>
    <w:tbl>
      <w:tblPr>
        <w:tblW w:w="6545" w:type="dxa"/>
        <w:jc w:val="center"/>
        <w:tblInd w:w="55" w:type="dxa"/>
        <w:tblCellMar>
          <w:left w:w="70" w:type="dxa"/>
          <w:right w:w="70" w:type="dxa"/>
        </w:tblCellMar>
        <w:tblLook w:val="04A0" w:firstRow="1" w:lastRow="0" w:firstColumn="1" w:lastColumn="0" w:noHBand="0" w:noVBand="1"/>
      </w:tblPr>
      <w:tblGrid>
        <w:gridCol w:w="5080"/>
        <w:gridCol w:w="1465"/>
      </w:tblGrid>
      <w:tr w:rsidR="00E14019" w:rsidRPr="00617833" w:rsidTr="00E14019">
        <w:trPr>
          <w:trHeight w:val="1071"/>
          <w:jc w:val="center"/>
        </w:trPr>
        <w:tc>
          <w:tcPr>
            <w:tcW w:w="5080" w:type="dxa"/>
            <w:tcBorders>
              <w:top w:val="nil"/>
              <w:left w:val="nil"/>
              <w:bottom w:val="nil"/>
              <w:right w:val="nil"/>
            </w:tcBorders>
            <w:shd w:val="clear" w:color="auto" w:fill="auto"/>
            <w:vAlign w:val="center"/>
            <w:hideMark/>
          </w:tcPr>
          <w:p w:rsidR="00E14019" w:rsidRPr="00617833" w:rsidRDefault="00E14019">
            <w:pPr>
              <w:rPr>
                <w:rFonts w:ascii="Verdana" w:hAnsi="Verdana" w:cs="Arial"/>
                <w:color w:val="000000"/>
                <w:sz w:val="20"/>
                <w:szCs w:val="20"/>
              </w:rPr>
            </w:pPr>
            <w:bookmarkStart w:id="3" w:name="RANGE!A6"/>
            <w:bookmarkStart w:id="4" w:name="OLE_LINK5"/>
            <w:bookmarkStart w:id="5" w:name="OLE_LINK6"/>
            <w:bookmarkEnd w:id="3"/>
          </w:p>
        </w:tc>
        <w:tc>
          <w:tcPr>
            <w:tcW w:w="1465" w:type="dxa"/>
            <w:tcBorders>
              <w:top w:val="single" w:sz="8" w:space="0" w:color="auto"/>
              <w:left w:val="nil"/>
              <w:bottom w:val="single" w:sz="8" w:space="0" w:color="auto"/>
              <w:right w:val="nil"/>
            </w:tcBorders>
            <w:shd w:val="clear" w:color="auto" w:fill="auto"/>
            <w:vAlign w:val="center"/>
            <w:hideMark/>
          </w:tcPr>
          <w:p w:rsidR="00E14019" w:rsidRPr="00617833" w:rsidRDefault="00E14019">
            <w:pPr>
              <w:jc w:val="center"/>
              <w:rPr>
                <w:rFonts w:ascii="Verdana" w:hAnsi="Verdana" w:cs="Arial"/>
                <w:b/>
                <w:bCs/>
                <w:color w:val="000080"/>
                <w:sz w:val="20"/>
                <w:szCs w:val="20"/>
              </w:rPr>
            </w:pPr>
            <w:r w:rsidRPr="00617833">
              <w:rPr>
                <w:rFonts w:ascii="Verdana" w:hAnsi="Verdana" w:cs="Arial"/>
                <w:b/>
                <w:bCs/>
                <w:color w:val="000080"/>
                <w:sz w:val="20"/>
                <w:szCs w:val="20"/>
              </w:rPr>
              <w:t>Recursos elevados / sentencias dictadas</w:t>
            </w:r>
          </w:p>
        </w:tc>
      </w:tr>
      <w:tr w:rsidR="00E14019" w:rsidRPr="00617833" w:rsidTr="00E14019">
        <w:trPr>
          <w:trHeight w:val="310"/>
          <w:jc w:val="center"/>
        </w:trPr>
        <w:tc>
          <w:tcPr>
            <w:tcW w:w="5080" w:type="dxa"/>
            <w:tcBorders>
              <w:top w:val="single" w:sz="8" w:space="0" w:color="auto"/>
              <w:left w:val="nil"/>
              <w:bottom w:val="nil"/>
              <w:right w:val="nil"/>
            </w:tcBorders>
            <w:shd w:val="clear" w:color="auto" w:fill="auto"/>
            <w:noWrap/>
            <w:vAlign w:val="center"/>
            <w:hideMark/>
          </w:tcPr>
          <w:p w:rsidR="00E14019" w:rsidRPr="00617833" w:rsidRDefault="00E14019">
            <w:pPr>
              <w:rPr>
                <w:rFonts w:ascii="Verdana" w:hAnsi="Verdana" w:cs="Arial"/>
                <w:color w:val="000000"/>
                <w:sz w:val="20"/>
                <w:szCs w:val="20"/>
              </w:rPr>
            </w:pPr>
            <w:r w:rsidRPr="00617833">
              <w:rPr>
                <w:rFonts w:ascii="Verdana" w:hAnsi="Verdana" w:cs="Arial"/>
                <w:color w:val="000000"/>
                <w:sz w:val="20"/>
                <w:szCs w:val="20"/>
              </w:rPr>
              <w:t>Jdos.  1ª Instancia y 1ª Instancia e Instrucción</w:t>
            </w:r>
          </w:p>
        </w:tc>
        <w:tc>
          <w:tcPr>
            <w:tcW w:w="1465" w:type="dxa"/>
            <w:tcBorders>
              <w:top w:val="nil"/>
              <w:left w:val="nil"/>
              <w:bottom w:val="nil"/>
              <w:right w:val="nil"/>
            </w:tcBorders>
            <w:shd w:val="clear" w:color="auto" w:fill="auto"/>
            <w:noWrap/>
            <w:vAlign w:val="center"/>
            <w:hideMark/>
          </w:tcPr>
          <w:p w:rsidR="00E14019" w:rsidRPr="00617833" w:rsidRDefault="00E14019" w:rsidP="00DB3B33">
            <w:pPr>
              <w:jc w:val="right"/>
              <w:rPr>
                <w:rFonts w:ascii="Verdana" w:hAnsi="Verdana" w:cs="Arial"/>
                <w:sz w:val="20"/>
                <w:szCs w:val="20"/>
              </w:rPr>
            </w:pPr>
            <w:r w:rsidRPr="00617833">
              <w:rPr>
                <w:rFonts w:ascii="Verdana" w:hAnsi="Verdana" w:cs="Arial"/>
                <w:sz w:val="20"/>
                <w:szCs w:val="20"/>
              </w:rPr>
              <w:t>1</w:t>
            </w:r>
            <w:r w:rsidR="00DB3B33" w:rsidRPr="00617833">
              <w:rPr>
                <w:rFonts w:ascii="Verdana" w:hAnsi="Verdana" w:cs="Arial"/>
                <w:sz w:val="20"/>
                <w:szCs w:val="20"/>
              </w:rPr>
              <w:t>4</w:t>
            </w:r>
            <w:r w:rsidRPr="00617833">
              <w:rPr>
                <w:rFonts w:ascii="Verdana" w:hAnsi="Verdana" w:cs="Arial"/>
                <w:sz w:val="20"/>
                <w:szCs w:val="20"/>
              </w:rPr>
              <w:t>,</w:t>
            </w:r>
            <w:r w:rsidR="00DB3B33" w:rsidRPr="00617833">
              <w:rPr>
                <w:rFonts w:ascii="Verdana" w:hAnsi="Verdana" w:cs="Arial"/>
                <w:sz w:val="20"/>
                <w:szCs w:val="20"/>
              </w:rPr>
              <w:t>4</w:t>
            </w:r>
            <w:r w:rsidR="00C150D4" w:rsidRPr="00617833">
              <w:rPr>
                <w:rFonts w:ascii="Verdana" w:hAnsi="Verdana" w:cs="Arial"/>
                <w:sz w:val="20"/>
                <w:szCs w:val="20"/>
              </w:rPr>
              <w:t>3</w:t>
            </w:r>
          </w:p>
        </w:tc>
      </w:tr>
      <w:tr w:rsidR="00E14019" w:rsidRPr="00617833" w:rsidTr="00E14019">
        <w:trPr>
          <w:trHeight w:val="310"/>
          <w:jc w:val="center"/>
        </w:trPr>
        <w:tc>
          <w:tcPr>
            <w:tcW w:w="5080" w:type="dxa"/>
            <w:tcBorders>
              <w:top w:val="nil"/>
              <w:left w:val="nil"/>
              <w:bottom w:val="nil"/>
              <w:right w:val="nil"/>
            </w:tcBorders>
            <w:shd w:val="clear" w:color="auto" w:fill="auto"/>
            <w:noWrap/>
            <w:vAlign w:val="center"/>
            <w:hideMark/>
          </w:tcPr>
          <w:p w:rsidR="00E14019" w:rsidRPr="00617833" w:rsidRDefault="00E14019">
            <w:pPr>
              <w:rPr>
                <w:rFonts w:ascii="Verdana" w:hAnsi="Verdana" w:cs="Arial"/>
                <w:color w:val="000000"/>
                <w:sz w:val="20"/>
                <w:szCs w:val="20"/>
              </w:rPr>
            </w:pPr>
            <w:r w:rsidRPr="00617833">
              <w:rPr>
                <w:rFonts w:ascii="Verdana" w:hAnsi="Verdana" w:cs="Arial"/>
                <w:color w:val="000000"/>
                <w:sz w:val="20"/>
                <w:szCs w:val="20"/>
              </w:rPr>
              <w:t>Jdos. de lo Mercantil</w:t>
            </w:r>
          </w:p>
        </w:tc>
        <w:tc>
          <w:tcPr>
            <w:tcW w:w="1465" w:type="dxa"/>
            <w:tcBorders>
              <w:top w:val="nil"/>
              <w:left w:val="nil"/>
              <w:bottom w:val="nil"/>
              <w:right w:val="nil"/>
            </w:tcBorders>
            <w:shd w:val="clear" w:color="auto" w:fill="auto"/>
            <w:noWrap/>
            <w:vAlign w:val="center"/>
            <w:hideMark/>
          </w:tcPr>
          <w:p w:rsidR="00E14019" w:rsidRPr="00617833" w:rsidRDefault="00E14019" w:rsidP="00DB3B33">
            <w:pPr>
              <w:jc w:val="right"/>
              <w:rPr>
                <w:rFonts w:ascii="Verdana" w:hAnsi="Verdana" w:cs="Arial"/>
                <w:sz w:val="20"/>
                <w:szCs w:val="20"/>
              </w:rPr>
            </w:pPr>
            <w:r w:rsidRPr="00617833">
              <w:rPr>
                <w:rFonts w:ascii="Verdana" w:hAnsi="Verdana" w:cs="Arial"/>
                <w:sz w:val="20"/>
                <w:szCs w:val="20"/>
              </w:rPr>
              <w:t>1</w:t>
            </w:r>
            <w:r w:rsidR="00DB3B33" w:rsidRPr="00617833">
              <w:rPr>
                <w:rFonts w:ascii="Verdana" w:hAnsi="Verdana" w:cs="Arial"/>
                <w:sz w:val="20"/>
                <w:szCs w:val="20"/>
              </w:rPr>
              <w:t>7</w:t>
            </w:r>
            <w:r w:rsidRPr="00617833">
              <w:rPr>
                <w:rFonts w:ascii="Verdana" w:hAnsi="Verdana" w:cs="Arial"/>
                <w:sz w:val="20"/>
                <w:szCs w:val="20"/>
              </w:rPr>
              <w:t>,</w:t>
            </w:r>
            <w:r w:rsidR="00DB3B33" w:rsidRPr="00617833">
              <w:rPr>
                <w:rFonts w:ascii="Verdana" w:hAnsi="Verdana" w:cs="Arial"/>
                <w:sz w:val="20"/>
                <w:szCs w:val="20"/>
              </w:rPr>
              <w:t>8</w:t>
            </w:r>
          </w:p>
        </w:tc>
      </w:tr>
      <w:tr w:rsidR="00E14019" w:rsidRPr="00617833" w:rsidTr="00E14019">
        <w:trPr>
          <w:trHeight w:val="326"/>
          <w:jc w:val="center"/>
        </w:trPr>
        <w:tc>
          <w:tcPr>
            <w:tcW w:w="5080" w:type="dxa"/>
            <w:tcBorders>
              <w:top w:val="nil"/>
              <w:left w:val="nil"/>
              <w:bottom w:val="single" w:sz="8" w:space="0" w:color="auto"/>
              <w:right w:val="nil"/>
            </w:tcBorders>
            <w:shd w:val="clear" w:color="auto" w:fill="auto"/>
            <w:noWrap/>
            <w:vAlign w:val="center"/>
            <w:hideMark/>
          </w:tcPr>
          <w:p w:rsidR="00E14019" w:rsidRPr="00617833" w:rsidRDefault="00E14019">
            <w:pPr>
              <w:rPr>
                <w:rFonts w:ascii="Verdana" w:hAnsi="Verdana" w:cs="Arial"/>
                <w:color w:val="000000"/>
                <w:sz w:val="20"/>
                <w:szCs w:val="20"/>
              </w:rPr>
            </w:pPr>
            <w:r w:rsidRPr="00617833">
              <w:rPr>
                <w:rFonts w:ascii="Verdana" w:hAnsi="Verdana" w:cs="Arial"/>
                <w:color w:val="000000"/>
                <w:sz w:val="20"/>
                <w:szCs w:val="20"/>
              </w:rPr>
              <w:t>Audiencias Provinciales</w:t>
            </w:r>
          </w:p>
        </w:tc>
        <w:tc>
          <w:tcPr>
            <w:tcW w:w="1465" w:type="dxa"/>
            <w:tcBorders>
              <w:top w:val="nil"/>
              <w:left w:val="nil"/>
              <w:bottom w:val="single" w:sz="8" w:space="0" w:color="auto"/>
              <w:right w:val="nil"/>
            </w:tcBorders>
            <w:shd w:val="clear" w:color="auto" w:fill="auto"/>
            <w:noWrap/>
            <w:vAlign w:val="center"/>
            <w:hideMark/>
          </w:tcPr>
          <w:p w:rsidR="00E14019" w:rsidRPr="00617833" w:rsidRDefault="00DB3B33" w:rsidP="00DB3B33">
            <w:pPr>
              <w:jc w:val="right"/>
              <w:rPr>
                <w:rFonts w:ascii="Verdana" w:hAnsi="Verdana" w:cs="Arial"/>
                <w:sz w:val="20"/>
                <w:szCs w:val="20"/>
              </w:rPr>
            </w:pPr>
            <w:r w:rsidRPr="00617833">
              <w:rPr>
                <w:rFonts w:ascii="Verdana" w:hAnsi="Verdana" w:cs="Arial"/>
                <w:sz w:val="20"/>
                <w:szCs w:val="20"/>
              </w:rPr>
              <w:t>8</w:t>
            </w:r>
            <w:r w:rsidR="00E14019" w:rsidRPr="00617833">
              <w:rPr>
                <w:rFonts w:ascii="Verdana" w:hAnsi="Verdana" w:cs="Arial"/>
                <w:sz w:val="20"/>
                <w:szCs w:val="20"/>
              </w:rPr>
              <w:t>,</w:t>
            </w:r>
            <w:bookmarkEnd w:id="4"/>
            <w:bookmarkEnd w:id="5"/>
            <w:r w:rsidR="00C150D4" w:rsidRPr="00617833">
              <w:rPr>
                <w:rFonts w:ascii="Verdana" w:hAnsi="Verdana" w:cs="Arial"/>
                <w:sz w:val="20"/>
                <w:szCs w:val="20"/>
              </w:rPr>
              <w:t>2</w:t>
            </w:r>
          </w:p>
        </w:tc>
      </w:tr>
    </w:tbl>
    <w:p w:rsidR="00AE23F0" w:rsidRPr="00EF4E0C" w:rsidRDefault="00B04BD1" w:rsidP="00AE23F0">
      <w:pPr>
        <w:pStyle w:val="Textoindependiente"/>
        <w:spacing w:before="120" w:after="120"/>
        <w:ind w:firstLine="357"/>
        <w:rPr>
          <w:rFonts w:ascii="Verdana" w:hAnsi="Verdana"/>
          <w:color w:val="00B050"/>
          <w:sz w:val="20"/>
        </w:rPr>
      </w:pPr>
      <w:r w:rsidRPr="00617833">
        <w:rPr>
          <w:rFonts w:ascii="Verdana" w:hAnsi="Verdana"/>
          <w:sz w:val="20"/>
        </w:rPr>
        <w:t>Respecto al año 201</w:t>
      </w:r>
      <w:r w:rsidR="00DB3B33" w:rsidRPr="00617833">
        <w:rPr>
          <w:rFonts w:ascii="Verdana" w:hAnsi="Verdana"/>
          <w:sz w:val="20"/>
        </w:rPr>
        <w:t>6</w:t>
      </w:r>
      <w:r w:rsidRPr="00617833">
        <w:rPr>
          <w:rFonts w:ascii="Verdana" w:hAnsi="Verdana"/>
          <w:sz w:val="20"/>
        </w:rPr>
        <w:t>,</w:t>
      </w:r>
      <w:r w:rsidR="006C4F5E" w:rsidRPr="00617833">
        <w:rPr>
          <w:rFonts w:ascii="Verdana" w:hAnsi="Verdana"/>
          <w:sz w:val="20"/>
        </w:rPr>
        <w:t xml:space="preserve"> estos ratios </w:t>
      </w:r>
      <w:r w:rsidR="00C340A9" w:rsidRPr="00617833">
        <w:rPr>
          <w:rFonts w:ascii="Verdana" w:hAnsi="Verdana"/>
          <w:sz w:val="20"/>
        </w:rPr>
        <w:t>han tenido un</w:t>
      </w:r>
      <w:r w:rsidR="00897285" w:rsidRPr="00617833">
        <w:rPr>
          <w:rFonts w:ascii="Verdana" w:hAnsi="Verdana"/>
          <w:sz w:val="20"/>
        </w:rPr>
        <w:t xml:space="preserve"> incremento del </w:t>
      </w:r>
      <w:r w:rsidR="00DB3B33" w:rsidRPr="00617833">
        <w:rPr>
          <w:rFonts w:ascii="Verdana" w:hAnsi="Verdana"/>
          <w:sz w:val="20"/>
        </w:rPr>
        <w:t>8</w:t>
      </w:r>
      <w:r w:rsidR="00897285" w:rsidRPr="00617833">
        <w:rPr>
          <w:rFonts w:ascii="Verdana" w:hAnsi="Verdana"/>
          <w:sz w:val="20"/>
        </w:rPr>
        <w:t>,</w:t>
      </w:r>
      <w:r w:rsidR="00DB3B33" w:rsidRPr="00617833">
        <w:rPr>
          <w:rFonts w:ascii="Verdana" w:hAnsi="Verdana"/>
          <w:sz w:val="20"/>
        </w:rPr>
        <w:t>8</w:t>
      </w:r>
      <w:r w:rsidR="00897285" w:rsidRPr="00617833">
        <w:rPr>
          <w:rFonts w:ascii="Verdana" w:hAnsi="Verdana"/>
          <w:sz w:val="20"/>
        </w:rPr>
        <w:t xml:space="preserve">% en los juzgados de primera instancia, </w:t>
      </w:r>
      <w:r w:rsidR="00C150D4" w:rsidRPr="00617833">
        <w:rPr>
          <w:rFonts w:ascii="Verdana" w:hAnsi="Verdana"/>
          <w:sz w:val="20"/>
        </w:rPr>
        <w:t xml:space="preserve">del </w:t>
      </w:r>
      <w:r w:rsidR="00DB3B33" w:rsidRPr="00617833">
        <w:rPr>
          <w:rFonts w:ascii="Verdana" w:hAnsi="Verdana"/>
          <w:sz w:val="20"/>
        </w:rPr>
        <w:t>22</w:t>
      </w:r>
      <w:r w:rsidR="00C150D4" w:rsidRPr="00617833">
        <w:rPr>
          <w:rFonts w:ascii="Verdana" w:hAnsi="Verdana"/>
          <w:sz w:val="20"/>
        </w:rPr>
        <w:t xml:space="preserve">,1% </w:t>
      </w:r>
      <w:r w:rsidR="00CE6A08" w:rsidRPr="00617833">
        <w:rPr>
          <w:rFonts w:ascii="Verdana" w:hAnsi="Verdana"/>
          <w:sz w:val="20"/>
        </w:rPr>
        <w:t>en los juzgados de lo mercantil</w:t>
      </w:r>
      <w:r w:rsidR="00DB3B33" w:rsidRPr="00617833">
        <w:rPr>
          <w:rFonts w:ascii="Verdana" w:hAnsi="Verdana"/>
          <w:sz w:val="20"/>
        </w:rPr>
        <w:t xml:space="preserve">, mientras que en </w:t>
      </w:r>
      <w:r w:rsidR="00897285" w:rsidRPr="00617833">
        <w:rPr>
          <w:rFonts w:ascii="Verdana" w:hAnsi="Verdana"/>
          <w:sz w:val="20"/>
        </w:rPr>
        <w:t>las audiencias provinciales</w:t>
      </w:r>
      <w:r w:rsidR="00DB3B33" w:rsidRPr="00617833">
        <w:rPr>
          <w:rFonts w:ascii="Verdana" w:hAnsi="Verdana"/>
          <w:sz w:val="20"/>
        </w:rPr>
        <w:t xml:space="preserve"> se ha producido un incremento del 14%.</w:t>
      </w:r>
      <w:r w:rsidR="00897285" w:rsidRPr="00617833">
        <w:rPr>
          <w:rFonts w:ascii="Verdana" w:hAnsi="Verdana"/>
          <w:sz w:val="20"/>
        </w:rPr>
        <w:t xml:space="preserve"> </w:t>
      </w:r>
      <w:r w:rsidR="00AE23F0" w:rsidRPr="00617833">
        <w:rPr>
          <w:rFonts w:ascii="Verdana" w:hAnsi="Verdana"/>
          <w:sz w:val="20"/>
        </w:rPr>
        <w:t xml:space="preserve">Al igual que se indicó en referencia al incremento de asuntos en las audiencias provinciales, el incremento de estas ratios se encuentra en las </w:t>
      </w:r>
      <w:r w:rsidR="0038667D" w:rsidRPr="00617833">
        <w:rPr>
          <w:rFonts w:ascii="Verdana" w:hAnsi="Verdana"/>
          <w:sz w:val="20"/>
        </w:rPr>
        <w:t>modificaciones</w:t>
      </w:r>
      <w:r w:rsidR="00AE23F0" w:rsidRPr="00767ED2">
        <w:rPr>
          <w:rFonts w:ascii="Verdana" w:hAnsi="Verdana"/>
          <w:sz w:val="20"/>
        </w:rPr>
        <w:t xml:space="preserve"> de la Ley 10/2012, por la que se regulan determinadas tasas en el ámbito de la Administración de Justicia y del Instituto Nacional de Toxicología y Ciencias Forenses.</w:t>
      </w:r>
    </w:p>
    <w:p w:rsidR="00C91A96" w:rsidRDefault="00C91A96" w:rsidP="00C91A96">
      <w:pPr>
        <w:pStyle w:val="Textoindependiente"/>
        <w:spacing w:before="120" w:after="120"/>
        <w:ind w:firstLine="357"/>
        <w:rPr>
          <w:rFonts w:ascii="Verdana" w:hAnsi="Verdana"/>
          <w:sz w:val="20"/>
        </w:rPr>
      </w:pPr>
    </w:p>
    <w:p w:rsidR="001066E7" w:rsidRPr="00617833" w:rsidRDefault="00E467F6">
      <w:pPr>
        <w:pStyle w:val="Textoindependiente"/>
        <w:spacing w:before="120" w:after="120"/>
        <w:ind w:firstLine="357"/>
        <w:rPr>
          <w:rFonts w:ascii="Verdana" w:hAnsi="Verdana"/>
          <w:sz w:val="20"/>
        </w:rPr>
      </w:pPr>
      <w:r w:rsidRPr="00617833">
        <w:rPr>
          <w:rFonts w:ascii="Verdana" w:hAnsi="Verdana"/>
          <w:sz w:val="20"/>
        </w:rPr>
        <w:t xml:space="preserve">La </w:t>
      </w:r>
      <w:r w:rsidR="00047A46" w:rsidRPr="00617833">
        <w:rPr>
          <w:rFonts w:ascii="Verdana" w:hAnsi="Verdana"/>
          <w:sz w:val="20"/>
        </w:rPr>
        <w:t>Estadística J</w:t>
      </w:r>
      <w:r w:rsidRPr="00617833">
        <w:rPr>
          <w:rFonts w:ascii="Verdana" w:hAnsi="Verdana"/>
          <w:sz w:val="20"/>
        </w:rPr>
        <w:t>udicial permite obtener los porcentajes de confirmaciones por los jueces en las revisiones de los recursos</w:t>
      </w:r>
      <w:r w:rsidR="007B4215" w:rsidRPr="00617833">
        <w:rPr>
          <w:rFonts w:ascii="Verdana" w:hAnsi="Verdana"/>
          <w:sz w:val="20"/>
        </w:rPr>
        <w:t xml:space="preserve"> contra decretos de los </w:t>
      </w:r>
      <w:r w:rsidR="00C91A96" w:rsidRPr="00617833">
        <w:rPr>
          <w:rFonts w:ascii="Verdana" w:hAnsi="Verdana"/>
          <w:sz w:val="20"/>
        </w:rPr>
        <w:t>letrados de la administración de justicia</w:t>
      </w:r>
      <w:r w:rsidRPr="00617833">
        <w:rPr>
          <w:rFonts w:ascii="Verdana" w:hAnsi="Verdana"/>
          <w:sz w:val="20"/>
        </w:rPr>
        <w:t xml:space="preserve">.  Al no disponerse del total de </w:t>
      </w:r>
      <w:r w:rsidR="007B4215" w:rsidRPr="00617833">
        <w:rPr>
          <w:rFonts w:ascii="Verdana" w:hAnsi="Verdana"/>
          <w:sz w:val="20"/>
        </w:rPr>
        <w:t>decretos</w:t>
      </w:r>
      <w:r w:rsidRPr="00617833">
        <w:rPr>
          <w:rFonts w:ascii="Verdana" w:hAnsi="Verdana"/>
          <w:sz w:val="20"/>
        </w:rPr>
        <w:t xml:space="preserve"> emitidos por los </w:t>
      </w:r>
      <w:r w:rsidR="00C91A96" w:rsidRPr="00617833">
        <w:rPr>
          <w:rFonts w:ascii="Verdana" w:hAnsi="Verdana"/>
          <w:sz w:val="20"/>
        </w:rPr>
        <w:t xml:space="preserve">letrados de la administración de justicia </w:t>
      </w:r>
      <w:r w:rsidRPr="00617833">
        <w:rPr>
          <w:rFonts w:ascii="Verdana" w:hAnsi="Verdana"/>
          <w:sz w:val="20"/>
        </w:rPr>
        <w:t>es imposible obtener una estimación del porcentaje de decretos que se recurren, siendo lo más aproximado que se puede obtener el ratio entre recursos presentados y los decretos finales</w:t>
      </w:r>
      <w:r w:rsidR="00D07D82" w:rsidRPr="00617833">
        <w:rPr>
          <w:rFonts w:ascii="Verdana" w:hAnsi="Verdana"/>
          <w:sz w:val="20"/>
        </w:rPr>
        <w:t xml:space="preserve"> dictados</w:t>
      </w:r>
      <w:r w:rsidRPr="00617833">
        <w:rPr>
          <w:rFonts w:ascii="Verdana" w:hAnsi="Verdana"/>
          <w:sz w:val="20"/>
        </w:rPr>
        <w:t>.</w:t>
      </w:r>
    </w:p>
    <w:tbl>
      <w:tblPr>
        <w:tblW w:w="6305" w:type="dxa"/>
        <w:jc w:val="center"/>
        <w:tblInd w:w="55" w:type="dxa"/>
        <w:tblCellMar>
          <w:left w:w="70" w:type="dxa"/>
          <w:right w:w="70" w:type="dxa"/>
        </w:tblCellMar>
        <w:tblLook w:val="0000" w:firstRow="0" w:lastRow="0" w:firstColumn="0" w:lastColumn="0" w:noHBand="0" w:noVBand="0"/>
      </w:tblPr>
      <w:tblGrid>
        <w:gridCol w:w="3265"/>
        <w:gridCol w:w="1555"/>
        <w:gridCol w:w="1485"/>
      </w:tblGrid>
      <w:tr w:rsidR="00E467F6" w:rsidRPr="00617833" w:rsidTr="008733BE">
        <w:trPr>
          <w:trHeight w:val="1242"/>
          <w:jc w:val="center"/>
        </w:trPr>
        <w:tc>
          <w:tcPr>
            <w:tcW w:w="3265" w:type="dxa"/>
            <w:tcBorders>
              <w:top w:val="nil"/>
              <w:left w:val="nil"/>
              <w:bottom w:val="nil"/>
              <w:right w:val="nil"/>
            </w:tcBorders>
            <w:shd w:val="clear" w:color="auto" w:fill="auto"/>
            <w:noWrap/>
            <w:vAlign w:val="bottom"/>
          </w:tcPr>
          <w:p w:rsidR="00E467F6" w:rsidRPr="00617833" w:rsidRDefault="00E467F6">
            <w:pPr>
              <w:rPr>
                <w:rFonts w:ascii="Verdana" w:hAnsi="Verdana" w:cs="Arial"/>
                <w:sz w:val="20"/>
                <w:szCs w:val="20"/>
              </w:rPr>
            </w:pPr>
            <w:r w:rsidRPr="00617833">
              <w:rPr>
                <w:rFonts w:ascii="Verdana" w:hAnsi="Verdana"/>
                <w:sz w:val="20"/>
              </w:rPr>
              <w:t xml:space="preserve">  </w:t>
            </w:r>
          </w:p>
        </w:tc>
        <w:tc>
          <w:tcPr>
            <w:tcW w:w="1555" w:type="dxa"/>
            <w:tcBorders>
              <w:top w:val="single" w:sz="8" w:space="0" w:color="auto"/>
              <w:left w:val="nil"/>
              <w:bottom w:val="single" w:sz="8" w:space="0" w:color="auto"/>
              <w:right w:val="nil"/>
            </w:tcBorders>
            <w:shd w:val="clear" w:color="auto" w:fill="auto"/>
            <w:vAlign w:val="bottom"/>
          </w:tcPr>
          <w:p w:rsidR="00E467F6" w:rsidRPr="00617833" w:rsidRDefault="00E467F6">
            <w:pPr>
              <w:jc w:val="center"/>
              <w:rPr>
                <w:rFonts w:ascii="Verdana" w:hAnsi="Verdana" w:cs="Arial"/>
                <w:b/>
                <w:bCs/>
                <w:color w:val="000080"/>
                <w:sz w:val="20"/>
                <w:szCs w:val="20"/>
              </w:rPr>
            </w:pPr>
            <w:r w:rsidRPr="00617833">
              <w:rPr>
                <w:rFonts w:ascii="Verdana" w:hAnsi="Verdana" w:cs="Arial"/>
                <w:b/>
                <w:bCs/>
                <w:color w:val="000080"/>
                <w:sz w:val="20"/>
                <w:szCs w:val="20"/>
              </w:rPr>
              <w:t>Porcentaje de recursos de revisión resueltos confirmando</w:t>
            </w:r>
          </w:p>
        </w:tc>
        <w:tc>
          <w:tcPr>
            <w:tcW w:w="1485" w:type="dxa"/>
            <w:tcBorders>
              <w:top w:val="single" w:sz="8" w:space="0" w:color="auto"/>
              <w:left w:val="nil"/>
              <w:bottom w:val="single" w:sz="8" w:space="0" w:color="auto"/>
              <w:right w:val="nil"/>
            </w:tcBorders>
            <w:shd w:val="clear" w:color="auto" w:fill="auto"/>
            <w:vAlign w:val="bottom"/>
          </w:tcPr>
          <w:p w:rsidR="00E467F6" w:rsidRPr="00617833" w:rsidRDefault="00E467F6">
            <w:pPr>
              <w:jc w:val="center"/>
              <w:rPr>
                <w:rFonts w:ascii="Verdana" w:hAnsi="Verdana" w:cs="Arial"/>
                <w:b/>
                <w:bCs/>
                <w:color w:val="000080"/>
                <w:sz w:val="20"/>
                <w:szCs w:val="20"/>
              </w:rPr>
            </w:pPr>
            <w:r w:rsidRPr="00617833">
              <w:rPr>
                <w:rFonts w:ascii="Verdana" w:hAnsi="Verdana" w:cs="Arial"/>
                <w:b/>
                <w:bCs/>
                <w:color w:val="000080"/>
                <w:sz w:val="20"/>
                <w:szCs w:val="20"/>
              </w:rPr>
              <w:t>Recursos</w:t>
            </w:r>
            <w:r w:rsidR="00CF7FBC" w:rsidRPr="00617833">
              <w:rPr>
                <w:rFonts w:ascii="Verdana" w:hAnsi="Verdana" w:cs="Arial"/>
                <w:b/>
                <w:bCs/>
                <w:color w:val="000080"/>
                <w:sz w:val="20"/>
                <w:szCs w:val="20"/>
              </w:rPr>
              <w:t xml:space="preserve"> de revisión</w:t>
            </w:r>
            <w:r w:rsidRPr="00617833">
              <w:rPr>
                <w:rFonts w:ascii="Verdana" w:hAnsi="Verdana" w:cs="Arial"/>
                <w:b/>
                <w:bCs/>
                <w:color w:val="000080"/>
                <w:sz w:val="20"/>
                <w:szCs w:val="20"/>
              </w:rPr>
              <w:t xml:space="preserve"> ingresados / decretos finales</w:t>
            </w:r>
          </w:p>
        </w:tc>
      </w:tr>
      <w:tr w:rsidR="00E467F6" w:rsidRPr="00617833" w:rsidTr="008733BE">
        <w:trPr>
          <w:trHeight w:val="491"/>
          <w:jc w:val="center"/>
        </w:trPr>
        <w:tc>
          <w:tcPr>
            <w:tcW w:w="3265" w:type="dxa"/>
            <w:tcBorders>
              <w:top w:val="single" w:sz="8" w:space="0" w:color="auto"/>
              <w:left w:val="nil"/>
              <w:bottom w:val="nil"/>
              <w:right w:val="nil"/>
            </w:tcBorders>
            <w:shd w:val="clear" w:color="auto" w:fill="auto"/>
            <w:vAlign w:val="bottom"/>
          </w:tcPr>
          <w:p w:rsidR="00E467F6" w:rsidRPr="00617833" w:rsidRDefault="00E467F6">
            <w:pPr>
              <w:rPr>
                <w:rFonts w:ascii="Verdana" w:hAnsi="Verdana" w:cs="Arial"/>
                <w:sz w:val="20"/>
                <w:szCs w:val="20"/>
              </w:rPr>
            </w:pPr>
            <w:r w:rsidRPr="00617833">
              <w:rPr>
                <w:rFonts w:ascii="Verdana" w:hAnsi="Verdana" w:cs="Arial"/>
                <w:sz w:val="20"/>
                <w:szCs w:val="20"/>
              </w:rPr>
              <w:t>Jdos.  1ª Instancia y 1ª Instancia e Instrucción</w:t>
            </w:r>
          </w:p>
        </w:tc>
        <w:tc>
          <w:tcPr>
            <w:tcW w:w="1555" w:type="dxa"/>
            <w:tcBorders>
              <w:top w:val="nil"/>
              <w:left w:val="nil"/>
              <w:bottom w:val="nil"/>
              <w:right w:val="nil"/>
            </w:tcBorders>
            <w:shd w:val="clear" w:color="auto" w:fill="auto"/>
            <w:noWrap/>
            <w:vAlign w:val="bottom"/>
          </w:tcPr>
          <w:p w:rsidR="00E467F6" w:rsidRPr="00617833" w:rsidRDefault="00E467F6" w:rsidP="000C44A8">
            <w:pPr>
              <w:jc w:val="right"/>
              <w:rPr>
                <w:rFonts w:ascii="Verdana" w:hAnsi="Verdana" w:cs="Arial"/>
                <w:sz w:val="20"/>
                <w:szCs w:val="20"/>
              </w:rPr>
            </w:pPr>
            <w:r w:rsidRPr="00617833">
              <w:rPr>
                <w:rFonts w:ascii="Verdana" w:hAnsi="Verdana" w:cs="Arial"/>
                <w:sz w:val="20"/>
                <w:szCs w:val="20"/>
              </w:rPr>
              <w:t>7</w:t>
            </w:r>
            <w:r w:rsidR="000C44A8" w:rsidRPr="00617833">
              <w:rPr>
                <w:rFonts w:ascii="Verdana" w:hAnsi="Verdana" w:cs="Arial"/>
                <w:sz w:val="20"/>
                <w:szCs w:val="20"/>
              </w:rPr>
              <w:t>7</w:t>
            </w:r>
            <w:r w:rsidRPr="00617833">
              <w:rPr>
                <w:rFonts w:ascii="Verdana" w:hAnsi="Verdana" w:cs="Arial"/>
                <w:sz w:val="20"/>
                <w:szCs w:val="20"/>
              </w:rPr>
              <w:t>,</w:t>
            </w:r>
            <w:r w:rsidR="000C44A8" w:rsidRPr="00617833">
              <w:rPr>
                <w:rFonts w:ascii="Verdana" w:hAnsi="Verdana" w:cs="Arial"/>
                <w:sz w:val="20"/>
                <w:szCs w:val="20"/>
              </w:rPr>
              <w:t>3</w:t>
            </w:r>
            <w:r w:rsidRPr="00617833">
              <w:rPr>
                <w:rFonts w:ascii="Verdana" w:hAnsi="Verdana" w:cs="Arial"/>
                <w:sz w:val="20"/>
                <w:szCs w:val="20"/>
              </w:rPr>
              <w:t>%</w:t>
            </w:r>
          </w:p>
        </w:tc>
        <w:tc>
          <w:tcPr>
            <w:tcW w:w="1485" w:type="dxa"/>
            <w:tcBorders>
              <w:top w:val="nil"/>
              <w:left w:val="nil"/>
              <w:bottom w:val="nil"/>
              <w:right w:val="nil"/>
            </w:tcBorders>
            <w:shd w:val="clear" w:color="auto" w:fill="auto"/>
            <w:noWrap/>
            <w:vAlign w:val="bottom"/>
          </w:tcPr>
          <w:p w:rsidR="00E467F6" w:rsidRPr="00617833" w:rsidRDefault="00E467F6" w:rsidP="005B6C0D">
            <w:pPr>
              <w:jc w:val="right"/>
              <w:rPr>
                <w:rFonts w:ascii="Verdana" w:hAnsi="Verdana" w:cs="Arial"/>
                <w:sz w:val="20"/>
                <w:szCs w:val="20"/>
              </w:rPr>
            </w:pPr>
            <w:r w:rsidRPr="00617833">
              <w:rPr>
                <w:rFonts w:ascii="Verdana" w:hAnsi="Verdana" w:cs="Arial"/>
                <w:sz w:val="20"/>
                <w:szCs w:val="20"/>
              </w:rPr>
              <w:t>1,</w:t>
            </w:r>
            <w:r w:rsidR="005B6C0D" w:rsidRPr="00617833">
              <w:rPr>
                <w:rFonts w:ascii="Verdana" w:hAnsi="Verdana" w:cs="Arial"/>
                <w:sz w:val="20"/>
                <w:szCs w:val="20"/>
              </w:rPr>
              <w:t>8</w:t>
            </w:r>
            <w:r w:rsidRPr="00617833">
              <w:rPr>
                <w:rFonts w:ascii="Verdana" w:hAnsi="Verdana" w:cs="Arial"/>
                <w:sz w:val="20"/>
                <w:szCs w:val="20"/>
              </w:rPr>
              <w:t>%</w:t>
            </w:r>
          </w:p>
        </w:tc>
      </w:tr>
      <w:tr w:rsidR="00E467F6" w:rsidRPr="00617833" w:rsidTr="008733BE">
        <w:trPr>
          <w:trHeight w:val="246"/>
          <w:jc w:val="center"/>
        </w:trPr>
        <w:tc>
          <w:tcPr>
            <w:tcW w:w="3265" w:type="dxa"/>
            <w:tcBorders>
              <w:top w:val="nil"/>
              <w:left w:val="nil"/>
              <w:bottom w:val="nil"/>
              <w:right w:val="nil"/>
            </w:tcBorders>
            <w:shd w:val="clear" w:color="auto" w:fill="auto"/>
            <w:vAlign w:val="bottom"/>
          </w:tcPr>
          <w:p w:rsidR="00E467F6" w:rsidRPr="00617833" w:rsidRDefault="00E467F6">
            <w:pPr>
              <w:rPr>
                <w:rFonts w:ascii="Verdana" w:hAnsi="Verdana" w:cs="Arial"/>
                <w:sz w:val="20"/>
                <w:szCs w:val="20"/>
              </w:rPr>
            </w:pPr>
            <w:r w:rsidRPr="00617833">
              <w:rPr>
                <w:rFonts w:ascii="Verdana" w:hAnsi="Verdana" w:cs="Arial"/>
                <w:sz w:val="20"/>
                <w:szCs w:val="20"/>
              </w:rPr>
              <w:t>Jdos. de lo Mercantil</w:t>
            </w:r>
          </w:p>
        </w:tc>
        <w:tc>
          <w:tcPr>
            <w:tcW w:w="1555" w:type="dxa"/>
            <w:tcBorders>
              <w:top w:val="nil"/>
              <w:left w:val="nil"/>
              <w:bottom w:val="nil"/>
              <w:right w:val="nil"/>
            </w:tcBorders>
            <w:shd w:val="clear" w:color="auto" w:fill="auto"/>
            <w:noWrap/>
            <w:vAlign w:val="bottom"/>
          </w:tcPr>
          <w:p w:rsidR="00E467F6" w:rsidRPr="00617833" w:rsidRDefault="000C44A8" w:rsidP="000C44A8">
            <w:pPr>
              <w:jc w:val="right"/>
              <w:rPr>
                <w:rFonts w:ascii="Verdana" w:hAnsi="Verdana" w:cs="Arial"/>
                <w:sz w:val="20"/>
                <w:szCs w:val="20"/>
              </w:rPr>
            </w:pPr>
            <w:r w:rsidRPr="00617833">
              <w:rPr>
                <w:rFonts w:ascii="Verdana" w:hAnsi="Verdana" w:cs="Arial"/>
                <w:sz w:val="20"/>
                <w:szCs w:val="20"/>
              </w:rPr>
              <w:t>63</w:t>
            </w:r>
            <w:r w:rsidR="003F433F" w:rsidRPr="00617833">
              <w:rPr>
                <w:rFonts w:ascii="Verdana" w:hAnsi="Verdana" w:cs="Arial"/>
                <w:sz w:val="20"/>
                <w:szCs w:val="20"/>
              </w:rPr>
              <w:t>,</w:t>
            </w:r>
            <w:r w:rsidRPr="00617833">
              <w:rPr>
                <w:rFonts w:ascii="Verdana" w:hAnsi="Verdana" w:cs="Arial"/>
                <w:sz w:val="20"/>
                <w:szCs w:val="20"/>
              </w:rPr>
              <w:t>3</w:t>
            </w:r>
            <w:r w:rsidR="00E467F6" w:rsidRPr="00617833">
              <w:rPr>
                <w:rFonts w:ascii="Verdana" w:hAnsi="Verdana" w:cs="Arial"/>
                <w:sz w:val="20"/>
                <w:szCs w:val="20"/>
              </w:rPr>
              <w:t>%</w:t>
            </w:r>
          </w:p>
        </w:tc>
        <w:tc>
          <w:tcPr>
            <w:tcW w:w="1485" w:type="dxa"/>
            <w:tcBorders>
              <w:top w:val="nil"/>
              <w:left w:val="nil"/>
              <w:bottom w:val="nil"/>
              <w:right w:val="nil"/>
            </w:tcBorders>
            <w:shd w:val="clear" w:color="auto" w:fill="auto"/>
            <w:noWrap/>
            <w:vAlign w:val="bottom"/>
          </w:tcPr>
          <w:p w:rsidR="00E467F6" w:rsidRPr="00617833" w:rsidRDefault="005B6C0D" w:rsidP="005B6C0D">
            <w:pPr>
              <w:jc w:val="right"/>
              <w:rPr>
                <w:rFonts w:ascii="Verdana" w:hAnsi="Verdana" w:cs="Arial"/>
                <w:sz w:val="20"/>
                <w:szCs w:val="20"/>
              </w:rPr>
            </w:pPr>
            <w:r w:rsidRPr="00617833">
              <w:rPr>
                <w:rFonts w:ascii="Verdana" w:hAnsi="Verdana" w:cs="Arial"/>
                <w:sz w:val="20"/>
                <w:szCs w:val="20"/>
              </w:rPr>
              <w:t>2</w:t>
            </w:r>
            <w:r w:rsidR="00E467F6" w:rsidRPr="00617833">
              <w:rPr>
                <w:rFonts w:ascii="Verdana" w:hAnsi="Verdana" w:cs="Arial"/>
                <w:sz w:val="20"/>
                <w:szCs w:val="20"/>
              </w:rPr>
              <w:t>,</w:t>
            </w:r>
            <w:r w:rsidRPr="00617833">
              <w:rPr>
                <w:rFonts w:ascii="Verdana" w:hAnsi="Verdana" w:cs="Arial"/>
                <w:sz w:val="20"/>
                <w:szCs w:val="20"/>
              </w:rPr>
              <w:t>5</w:t>
            </w:r>
            <w:r w:rsidR="00E467F6" w:rsidRPr="00617833">
              <w:rPr>
                <w:rFonts w:ascii="Verdana" w:hAnsi="Verdana" w:cs="Arial"/>
                <w:sz w:val="20"/>
                <w:szCs w:val="20"/>
              </w:rPr>
              <w:t>%</w:t>
            </w:r>
          </w:p>
        </w:tc>
      </w:tr>
      <w:tr w:rsidR="00E467F6" w:rsidRPr="00617833" w:rsidTr="008733BE">
        <w:trPr>
          <w:trHeight w:val="246"/>
          <w:jc w:val="center"/>
        </w:trPr>
        <w:tc>
          <w:tcPr>
            <w:tcW w:w="3265" w:type="dxa"/>
            <w:tcBorders>
              <w:top w:val="nil"/>
              <w:left w:val="nil"/>
              <w:bottom w:val="nil"/>
              <w:right w:val="nil"/>
            </w:tcBorders>
            <w:shd w:val="clear" w:color="auto" w:fill="auto"/>
            <w:vAlign w:val="bottom"/>
          </w:tcPr>
          <w:p w:rsidR="00E467F6" w:rsidRPr="00617833" w:rsidRDefault="00731CC9">
            <w:pPr>
              <w:rPr>
                <w:rFonts w:ascii="Verdana" w:hAnsi="Verdana" w:cs="Arial"/>
                <w:sz w:val="20"/>
                <w:szCs w:val="20"/>
              </w:rPr>
            </w:pPr>
            <w:r w:rsidRPr="00617833">
              <w:rPr>
                <w:rFonts w:ascii="Verdana" w:hAnsi="Verdana" w:cs="Arial"/>
                <w:sz w:val="20"/>
                <w:szCs w:val="20"/>
              </w:rPr>
              <w:t>Jdos. Violencia contra la M</w:t>
            </w:r>
            <w:r w:rsidR="00E467F6" w:rsidRPr="00617833">
              <w:rPr>
                <w:rFonts w:ascii="Verdana" w:hAnsi="Verdana" w:cs="Arial"/>
                <w:sz w:val="20"/>
                <w:szCs w:val="20"/>
              </w:rPr>
              <w:t>ujer</w:t>
            </w:r>
          </w:p>
        </w:tc>
        <w:tc>
          <w:tcPr>
            <w:tcW w:w="1555" w:type="dxa"/>
            <w:tcBorders>
              <w:top w:val="nil"/>
              <w:left w:val="nil"/>
              <w:bottom w:val="nil"/>
              <w:right w:val="nil"/>
            </w:tcBorders>
            <w:shd w:val="clear" w:color="auto" w:fill="auto"/>
            <w:noWrap/>
            <w:vAlign w:val="bottom"/>
          </w:tcPr>
          <w:p w:rsidR="00E467F6" w:rsidRPr="00617833" w:rsidRDefault="000C44A8" w:rsidP="00C745A4">
            <w:pPr>
              <w:jc w:val="right"/>
              <w:rPr>
                <w:rFonts w:ascii="Verdana" w:hAnsi="Verdana" w:cs="Arial"/>
                <w:sz w:val="20"/>
                <w:szCs w:val="20"/>
              </w:rPr>
            </w:pPr>
            <w:r w:rsidRPr="00617833">
              <w:rPr>
                <w:rFonts w:ascii="Verdana" w:hAnsi="Verdana" w:cs="Arial"/>
                <w:sz w:val="20"/>
                <w:szCs w:val="20"/>
              </w:rPr>
              <w:t>77</w:t>
            </w:r>
            <w:r w:rsidR="00E467F6" w:rsidRPr="00617833">
              <w:rPr>
                <w:rFonts w:ascii="Verdana" w:hAnsi="Verdana" w:cs="Arial"/>
                <w:sz w:val="20"/>
                <w:szCs w:val="20"/>
              </w:rPr>
              <w:t>,</w:t>
            </w:r>
            <w:r w:rsidR="00C745A4" w:rsidRPr="00617833">
              <w:rPr>
                <w:rFonts w:ascii="Verdana" w:hAnsi="Verdana" w:cs="Arial"/>
                <w:sz w:val="20"/>
                <w:szCs w:val="20"/>
              </w:rPr>
              <w:t>7</w:t>
            </w:r>
            <w:r w:rsidR="00E467F6" w:rsidRPr="00617833">
              <w:rPr>
                <w:rFonts w:ascii="Verdana" w:hAnsi="Verdana" w:cs="Arial"/>
                <w:sz w:val="20"/>
                <w:szCs w:val="20"/>
              </w:rPr>
              <w:t>%</w:t>
            </w:r>
          </w:p>
        </w:tc>
        <w:tc>
          <w:tcPr>
            <w:tcW w:w="1485" w:type="dxa"/>
            <w:tcBorders>
              <w:top w:val="nil"/>
              <w:left w:val="nil"/>
              <w:bottom w:val="nil"/>
              <w:right w:val="nil"/>
            </w:tcBorders>
            <w:shd w:val="clear" w:color="auto" w:fill="auto"/>
            <w:noWrap/>
            <w:vAlign w:val="bottom"/>
          </w:tcPr>
          <w:p w:rsidR="00E467F6" w:rsidRPr="00617833" w:rsidRDefault="00C745A4" w:rsidP="005B6C0D">
            <w:pPr>
              <w:jc w:val="right"/>
              <w:rPr>
                <w:rFonts w:ascii="Verdana" w:hAnsi="Verdana" w:cs="Arial"/>
                <w:sz w:val="20"/>
                <w:szCs w:val="20"/>
              </w:rPr>
            </w:pPr>
            <w:r w:rsidRPr="00617833">
              <w:rPr>
                <w:rFonts w:ascii="Verdana" w:hAnsi="Verdana" w:cs="Arial"/>
                <w:sz w:val="20"/>
                <w:szCs w:val="20"/>
              </w:rPr>
              <w:t>3</w:t>
            </w:r>
            <w:r w:rsidR="00E467F6" w:rsidRPr="00617833">
              <w:rPr>
                <w:rFonts w:ascii="Verdana" w:hAnsi="Verdana" w:cs="Arial"/>
                <w:sz w:val="20"/>
                <w:szCs w:val="20"/>
              </w:rPr>
              <w:t>,</w:t>
            </w:r>
            <w:r w:rsidR="005B6C0D" w:rsidRPr="00617833">
              <w:rPr>
                <w:rFonts w:ascii="Verdana" w:hAnsi="Verdana" w:cs="Arial"/>
                <w:sz w:val="20"/>
                <w:szCs w:val="20"/>
              </w:rPr>
              <w:t>4</w:t>
            </w:r>
            <w:r w:rsidR="00E467F6" w:rsidRPr="00617833">
              <w:rPr>
                <w:rFonts w:ascii="Verdana" w:hAnsi="Verdana" w:cs="Arial"/>
                <w:sz w:val="20"/>
                <w:szCs w:val="20"/>
              </w:rPr>
              <w:t>%</w:t>
            </w:r>
          </w:p>
        </w:tc>
      </w:tr>
      <w:tr w:rsidR="00E467F6" w:rsidRPr="00617833" w:rsidTr="008733BE">
        <w:trPr>
          <w:trHeight w:val="260"/>
          <w:jc w:val="center"/>
        </w:trPr>
        <w:tc>
          <w:tcPr>
            <w:tcW w:w="3265" w:type="dxa"/>
            <w:tcBorders>
              <w:top w:val="nil"/>
              <w:left w:val="nil"/>
              <w:bottom w:val="single" w:sz="8" w:space="0" w:color="auto"/>
              <w:right w:val="nil"/>
            </w:tcBorders>
            <w:shd w:val="clear" w:color="auto" w:fill="auto"/>
            <w:vAlign w:val="bottom"/>
          </w:tcPr>
          <w:p w:rsidR="00E467F6" w:rsidRPr="00617833" w:rsidRDefault="00E467F6">
            <w:pPr>
              <w:rPr>
                <w:rFonts w:ascii="Verdana" w:hAnsi="Verdana" w:cs="Arial"/>
                <w:sz w:val="20"/>
                <w:szCs w:val="20"/>
              </w:rPr>
            </w:pPr>
            <w:r w:rsidRPr="00617833">
              <w:rPr>
                <w:rFonts w:ascii="Verdana" w:hAnsi="Verdana" w:cs="Arial"/>
                <w:sz w:val="20"/>
                <w:szCs w:val="20"/>
              </w:rPr>
              <w:t>Audiencias Provinciales</w:t>
            </w:r>
          </w:p>
        </w:tc>
        <w:tc>
          <w:tcPr>
            <w:tcW w:w="1555" w:type="dxa"/>
            <w:tcBorders>
              <w:top w:val="nil"/>
              <w:left w:val="nil"/>
              <w:bottom w:val="single" w:sz="8" w:space="0" w:color="auto"/>
              <w:right w:val="nil"/>
            </w:tcBorders>
            <w:shd w:val="clear" w:color="auto" w:fill="auto"/>
            <w:noWrap/>
            <w:vAlign w:val="bottom"/>
          </w:tcPr>
          <w:p w:rsidR="00E467F6" w:rsidRPr="00617833" w:rsidRDefault="00AC3A36" w:rsidP="000C44A8">
            <w:pPr>
              <w:jc w:val="right"/>
              <w:rPr>
                <w:rFonts w:ascii="Verdana" w:hAnsi="Verdana" w:cs="Arial"/>
                <w:sz w:val="20"/>
                <w:szCs w:val="20"/>
              </w:rPr>
            </w:pPr>
            <w:r w:rsidRPr="00617833">
              <w:rPr>
                <w:rFonts w:ascii="Verdana" w:hAnsi="Verdana" w:cs="Arial"/>
                <w:sz w:val="20"/>
                <w:szCs w:val="20"/>
              </w:rPr>
              <w:t>7</w:t>
            </w:r>
            <w:r w:rsidR="000C44A8" w:rsidRPr="00617833">
              <w:rPr>
                <w:rFonts w:ascii="Verdana" w:hAnsi="Verdana" w:cs="Arial"/>
                <w:sz w:val="20"/>
                <w:szCs w:val="20"/>
              </w:rPr>
              <w:t>6</w:t>
            </w:r>
            <w:r w:rsidR="006F3FBD" w:rsidRPr="00617833">
              <w:rPr>
                <w:rFonts w:ascii="Verdana" w:hAnsi="Verdana" w:cs="Arial"/>
                <w:sz w:val="20"/>
                <w:szCs w:val="20"/>
              </w:rPr>
              <w:t>,</w:t>
            </w:r>
            <w:r w:rsidR="000C44A8" w:rsidRPr="00617833">
              <w:rPr>
                <w:rFonts w:ascii="Verdana" w:hAnsi="Verdana" w:cs="Arial"/>
                <w:sz w:val="20"/>
                <w:szCs w:val="20"/>
              </w:rPr>
              <w:t>0</w:t>
            </w:r>
            <w:r w:rsidR="00E467F6" w:rsidRPr="00617833">
              <w:rPr>
                <w:rFonts w:ascii="Verdana" w:hAnsi="Verdana" w:cs="Arial"/>
                <w:sz w:val="20"/>
                <w:szCs w:val="20"/>
              </w:rPr>
              <w:t>%</w:t>
            </w:r>
          </w:p>
        </w:tc>
        <w:tc>
          <w:tcPr>
            <w:tcW w:w="1485" w:type="dxa"/>
            <w:tcBorders>
              <w:top w:val="nil"/>
              <w:left w:val="nil"/>
              <w:bottom w:val="single" w:sz="8" w:space="0" w:color="auto"/>
              <w:right w:val="nil"/>
            </w:tcBorders>
            <w:shd w:val="clear" w:color="auto" w:fill="auto"/>
            <w:noWrap/>
            <w:vAlign w:val="bottom"/>
          </w:tcPr>
          <w:p w:rsidR="00E467F6" w:rsidRPr="00617833" w:rsidRDefault="003F4D9B" w:rsidP="003F4D9B">
            <w:pPr>
              <w:jc w:val="right"/>
              <w:rPr>
                <w:rFonts w:ascii="Verdana" w:hAnsi="Verdana" w:cs="Arial"/>
                <w:sz w:val="20"/>
                <w:szCs w:val="20"/>
              </w:rPr>
            </w:pPr>
            <w:r w:rsidRPr="00617833">
              <w:rPr>
                <w:rFonts w:ascii="Verdana" w:hAnsi="Verdana" w:cs="Arial"/>
                <w:sz w:val="20"/>
                <w:szCs w:val="20"/>
              </w:rPr>
              <w:t>9</w:t>
            </w:r>
            <w:r w:rsidR="00E467F6" w:rsidRPr="00617833">
              <w:rPr>
                <w:rFonts w:ascii="Verdana" w:hAnsi="Verdana" w:cs="Arial"/>
                <w:sz w:val="20"/>
                <w:szCs w:val="20"/>
              </w:rPr>
              <w:t>,</w:t>
            </w:r>
            <w:r w:rsidRPr="00617833">
              <w:rPr>
                <w:rFonts w:ascii="Verdana" w:hAnsi="Verdana" w:cs="Arial"/>
                <w:sz w:val="20"/>
                <w:szCs w:val="20"/>
              </w:rPr>
              <w:t>6</w:t>
            </w:r>
            <w:r w:rsidR="00E467F6" w:rsidRPr="00617833">
              <w:rPr>
                <w:rFonts w:ascii="Verdana" w:hAnsi="Verdana" w:cs="Arial"/>
                <w:sz w:val="20"/>
                <w:szCs w:val="20"/>
              </w:rPr>
              <w:t>%</w:t>
            </w:r>
          </w:p>
        </w:tc>
      </w:tr>
    </w:tbl>
    <w:p w:rsidR="001066E7" w:rsidRPr="00617833" w:rsidRDefault="001066E7" w:rsidP="00636158">
      <w:pPr>
        <w:pStyle w:val="Textoindependiente"/>
        <w:spacing w:before="120" w:after="120"/>
        <w:ind w:firstLine="357"/>
        <w:rPr>
          <w:rFonts w:ascii="Verdana" w:hAnsi="Verdana"/>
          <w:sz w:val="20"/>
        </w:rPr>
      </w:pPr>
    </w:p>
    <w:p w:rsidR="007B6970" w:rsidRPr="00617833" w:rsidRDefault="00636158" w:rsidP="00636158">
      <w:pPr>
        <w:pStyle w:val="Textoindependiente"/>
        <w:spacing w:before="120" w:after="120"/>
        <w:ind w:firstLine="357"/>
        <w:rPr>
          <w:rFonts w:ascii="Verdana" w:hAnsi="Verdana"/>
          <w:sz w:val="20"/>
        </w:rPr>
      </w:pPr>
      <w:r w:rsidRPr="00617833">
        <w:rPr>
          <w:rFonts w:ascii="Verdana" w:hAnsi="Verdana"/>
          <w:sz w:val="20"/>
        </w:rPr>
        <w:t xml:space="preserve">Los recursos de revisión interpuestos contra resoluciones de los </w:t>
      </w:r>
      <w:r w:rsidR="00C91A96" w:rsidRPr="00617833">
        <w:rPr>
          <w:rFonts w:ascii="Verdana" w:hAnsi="Verdana"/>
          <w:sz w:val="20"/>
        </w:rPr>
        <w:t>letrados de la administración de justicia</w:t>
      </w:r>
      <w:r w:rsidR="00394758" w:rsidRPr="00617833">
        <w:rPr>
          <w:rFonts w:ascii="Verdana" w:hAnsi="Verdana"/>
          <w:sz w:val="20"/>
        </w:rPr>
        <w:t xml:space="preserve"> han </w:t>
      </w:r>
      <w:r w:rsidR="00DD4A9D" w:rsidRPr="00617833">
        <w:rPr>
          <w:rFonts w:ascii="Verdana" w:hAnsi="Verdana"/>
          <w:sz w:val="20"/>
        </w:rPr>
        <w:t>disminuido un 3,2%</w:t>
      </w:r>
      <w:r w:rsidRPr="00617833">
        <w:rPr>
          <w:rFonts w:ascii="Verdana" w:hAnsi="Verdana"/>
          <w:sz w:val="20"/>
        </w:rPr>
        <w:t xml:space="preserve"> en los </w:t>
      </w:r>
      <w:r w:rsidR="005F69F1" w:rsidRPr="00617833">
        <w:rPr>
          <w:rFonts w:ascii="Verdana" w:hAnsi="Verdana"/>
          <w:sz w:val="20"/>
        </w:rPr>
        <w:t>j</w:t>
      </w:r>
      <w:r w:rsidRPr="00617833">
        <w:rPr>
          <w:rFonts w:ascii="Verdana" w:hAnsi="Verdana"/>
          <w:sz w:val="20"/>
        </w:rPr>
        <w:t xml:space="preserve">uzgados de </w:t>
      </w:r>
      <w:r w:rsidR="005F69F1" w:rsidRPr="00617833">
        <w:rPr>
          <w:rFonts w:ascii="Verdana" w:hAnsi="Verdana"/>
          <w:sz w:val="20"/>
        </w:rPr>
        <w:t>primera i</w:t>
      </w:r>
      <w:r w:rsidRPr="00617833">
        <w:rPr>
          <w:rFonts w:ascii="Verdana" w:hAnsi="Verdana"/>
          <w:sz w:val="20"/>
        </w:rPr>
        <w:t xml:space="preserve">nstancia y </w:t>
      </w:r>
      <w:r w:rsidR="005F69F1" w:rsidRPr="00617833">
        <w:rPr>
          <w:rFonts w:ascii="Verdana" w:hAnsi="Verdana"/>
          <w:sz w:val="20"/>
        </w:rPr>
        <w:t>p</w:t>
      </w:r>
      <w:r w:rsidRPr="00617833">
        <w:rPr>
          <w:rFonts w:ascii="Verdana" w:hAnsi="Verdana"/>
          <w:sz w:val="20"/>
        </w:rPr>
        <w:t xml:space="preserve">rimera </w:t>
      </w:r>
      <w:r w:rsidR="005F69F1" w:rsidRPr="00617833">
        <w:rPr>
          <w:rFonts w:ascii="Verdana" w:hAnsi="Verdana"/>
          <w:sz w:val="20"/>
        </w:rPr>
        <w:t>i</w:t>
      </w:r>
      <w:r w:rsidRPr="00617833">
        <w:rPr>
          <w:rFonts w:ascii="Verdana" w:hAnsi="Verdana"/>
          <w:sz w:val="20"/>
        </w:rPr>
        <w:t xml:space="preserve">nstancia e </w:t>
      </w:r>
      <w:r w:rsidR="005F69F1" w:rsidRPr="00617833">
        <w:rPr>
          <w:rFonts w:ascii="Verdana" w:hAnsi="Verdana"/>
          <w:sz w:val="20"/>
        </w:rPr>
        <w:t>i</w:t>
      </w:r>
      <w:r w:rsidRPr="00617833">
        <w:rPr>
          <w:rFonts w:ascii="Verdana" w:hAnsi="Verdana"/>
          <w:sz w:val="20"/>
        </w:rPr>
        <w:t>nstrucción.</w:t>
      </w:r>
      <w:r w:rsidR="00957CA6" w:rsidRPr="00617833">
        <w:rPr>
          <w:rFonts w:ascii="Verdana" w:hAnsi="Verdana"/>
          <w:sz w:val="20"/>
        </w:rPr>
        <w:t xml:space="preserve">  En los </w:t>
      </w:r>
      <w:r w:rsidR="005F69F1" w:rsidRPr="00617833">
        <w:rPr>
          <w:rFonts w:ascii="Verdana" w:hAnsi="Verdana"/>
          <w:sz w:val="20"/>
        </w:rPr>
        <w:t>j</w:t>
      </w:r>
      <w:r w:rsidR="00957CA6" w:rsidRPr="00617833">
        <w:rPr>
          <w:rFonts w:ascii="Verdana" w:hAnsi="Verdana"/>
          <w:sz w:val="20"/>
        </w:rPr>
        <w:t xml:space="preserve">uzgados de lo </w:t>
      </w:r>
      <w:r w:rsidR="005F69F1" w:rsidRPr="00617833">
        <w:rPr>
          <w:rFonts w:ascii="Verdana" w:hAnsi="Verdana"/>
          <w:sz w:val="20"/>
        </w:rPr>
        <w:t>m</w:t>
      </w:r>
      <w:r w:rsidR="00957CA6" w:rsidRPr="00617833">
        <w:rPr>
          <w:rFonts w:ascii="Verdana" w:hAnsi="Verdana"/>
          <w:sz w:val="20"/>
        </w:rPr>
        <w:t xml:space="preserve">ercantil </w:t>
      </w:r>
      <w:r w:rsidR="00DD4A9D" w:rsidRPr="00617833">
        <w:rPr>
          <w:rFonts w:ascii="Verdana" w:hAnsi="Verdana"/>
          <w:sz w:val="20"/>
        </w:rPr>
        <w:t xml:space="preserve">la disminución </w:t>
      </w:r>
      <w:r w:rsidR="00957CA6" w:rsidRPr="00617833">
        <w:rPr>
          <w:rFonts w:ascii="Verdana" w:hAnsi="Verdana"/>
          <w:sz w:val="20"/>
        </w:rPr>
        <w:t xml:space="preserve">ha sido del </w:t>
      </w:r>
      <w:r w:rsidR="00DD4A9D" w:rsidRPr="00617833">
        <w:rPr>
          <w:rFonts w:ascii="Verdana" w:hAnsi="Verdana"/>
          <w:sz w:val="20"/>
        </w:rPr>
        <w:t>5%; e</w:t>
      </w:r>
      <w:r w:rsidR="00957CA6" w:rsidRPr="00617833">
        <w:rPr>
          <w:rFonts w:ascii="Verdana" w:hAnsi="Verdana"/>
          <w:sz w:val="20"/>
        </w:rPr>
        <w:t xml:space="preserve">n los de </w:t>
      </w:r>
      <w:r w:rsidR="005F69F1" w:rsidRPr="00617833">
        <w:rPr>
          <w:rFonts w:ascii="Verdana" w:hAnsi="Verdana"/>
          <w:sz w:val="20"/>
        </w:rPr>
        <w:t>v</w:t>
      </w:r>
      <w:r w:rsidR="00957CA6" w:rsidRPr="00617833">
        <w:rPr>
          <w:rFonts w:ascii="Verdana" w:hAnsi="Verdana"/>
          <w:sz w:val="20"/>
        </w:rPr>
        <w:t xml:space="preserve">iolencia </w:t>
      </w:r>
      <w:r w:rsidR="003A2067" w:rsidRPr="00617833">
        <w:rPr>
          <w:rFonts w:ascii="Verdana" w:hAnsi="Verdana"/>
          <w:sz w:val="20"/>
        </w:rPr>
        <w:t>contra</w:t>
      </w:r>
      <w:r w:rsidR="00957CA6" w:rsidRPr="00617833">
        <w:rPr>
          <w:rFonts w:ascii="Verdana" w:hAnsi="Verdana"/>
          <w:sz w:val="20"/>
        </w:rPr>
        <w:t xml:space="preserve"> la </w:t>
      </w:r>
      <w:r w:rsidR="005F69F1" w:rsidRPr="00617833">
        <w:rPr>
          <w:rFonts w:ascii="Verdana" w:hAnsi="Verdana"/>
          <w:sz w:val="20"/>
        </w:rPr>
        <w:t>m</w:t>
      </w:r>
      <w:r w:rsidR="00957CA6" w:rsidRPr="00617833">
        <w:rPr>
          <w:rFonts w:ascii="Verdana" w:hAnsi="Verdana"/>
          <w:sz w:val="20"/>
        </w:rPr>
        <w:t xml:space="preserve">ujer </w:t>
      </w:r>
      <w:r w:rsidR="00DD4A9D" w:rsidRPr="00617833">
        <w:rPr>
          <w:rFonts w:ascii="Verdana" w:hAnsi="Verdana"/>
          <w:sz w:val="20"/>
        </w:rPr>
        <w:t>la disminución ha sido del 3,2%. Por el contrario, e</w:t>
      </w:r>
      <w:r w:rsidR="007B6970" w:rsidRPr="00617833">
        <w:rPr>
          <w:rFonts w:ascii="Verdana" w:hAnsi="Verdana"/>
          <w:sz w:val="20"/>
        </w:rPr>
        <w:t xml:space="preserve">n las secciones civiles de las audiencias provinciales </w:t>
      </w:r>
      <w:r w:rsidR="00DD4A9D" w:rsidRPr="00617833">
        <w:rPr>
          <w:rFonts w:ascii="Verdana" w:hAnsi="Verdana"/>
          <w:sz w:val="20"/>
        </w:rPr>
        <w:t>se producido un incremento del  24,2%.</w:t>
      </w:r>
    </w:p>
    <w:p w:rsidR="00F8560F" w:rsidRPr="00617833" w:rsidRDefault="00F8560F" w:rsidP="00581ED2">
      <w:pPr>
        <w:pStyle w:val="Textoindependiente"/>
        <w:spacing w:before="120" w:after="120"/>
        <w:ind w:firstLine="357"/>
        <w:rPr>
          <w:rFonts w:ascii="Verdana" w:hAnsi="Verdana"/>
          <w:b/>
        </w:rPr>
      </w:pPr>
    </w:p>
    <w:p w:rsidR="00581ED2" w:rsidRPr="00617833" w:rsidRDefault="00581ED2" w:rsidP="00581ED2">
      <w:pPr>
        <w:pStyle w:val="Textoindependiente"/>
        <w:spacing w:before="120" w:after="120"/>
        <w:ind w:firstLine="357"/>
        <w:rPr>
          <w:rFonts w:ascii="Verdana" w:hAnsi="Verdana"/>
          <w:b/>
        </w:rPr>
      </w:pPr>
      <w:r w:rsidRPr="00617833">
        <w:rPr>
          <w:rFonts w:ascii="Verdana" w:hAnsi="Verdana"/>
          <w:b/>
        </w:rPr>
        <w:t>Impacto de las reformas legislativas en la jurisdicción civil</w:t>
      </w:r>
    </w:p>
    <w:p w:rsidR="007726D1" w:rsidRPr="00617833" w:rsidRDefault="007726D1" w:rsidP="00581ED2">
      <w:pPr>
        <w:pStyle w:val="Textoindependiente"/>
        <w:spacing w:before="120" w:after="120"/>
        <w:ind w:firstLine="357"/>
        <w:rPr>
          <w:rFonts w:ascii="Verdana" w:hAnsi="Verdana"/>
          <w:color w:val="0070C0"/>
          <w:sz w:val="20"/>
        </w:rPr>
      </w:pPr>
    </w:p>
    <w:p w:rsidR="007726D1" w:rsidRPr="00617833" w:rsidRDefault="007726D1" w:rsidP="00581ED2">
      <w:pPr>
        <w:pStyle w:val="Textoindependiente"/>
        <w:spacing w:before="120" w:after="120"/>
        <w:ind w:firstLine="357"/>
        <w:rPr>
          <w:rFonts w:ascii="Verdana" w:hAnsi="Verdana"/>
          <w:sz w:val="20"/>
        </w:rPr>
      </w:pPr>
      <w:r w:rsidRPr="00617833">
        <w:rPr>
          <w:rFonts w:ascii="Verdana" w:hAnsi="Verdana"/>
          <w:sz w:val="20"/>
        </w:rPr>
        <w:t xml:space="preserve">El 21 de diciembre de 2016 se hizo pública la sentencia del Tribunal de Justicia de la Unión Europea sobre la retroactividad de las devoluciones de las cantidades </w:t>
      </w:r>
      <w:r w:rsidRPr="00617833">
        <w:rPr>
          <w:rFonts w:ascii="Verdana" w:hAnsi="Verdana"/>
          <w:sz w:val="20"/>
        </w:rPr>
        <w:lastRenderedPageBreak/>
        <w:t xml:space="preserve">cobradas indebidamente por los bancos en aplicación de las cláusulas suelo de las hipotecas. </w:t>
      </w:r>
      <w:r w:rsidR="00AD52CA" w:rsidRPr="00617833">
        <w:rPr>
          <w:rFonts w:ascii="Verdana" w:hAnsi="Verdana"/>
          <w:sz w:val="20"/>
        </w:rPr>
        <w:t>Esta sentencia ha provocado una avalancha de demandas sobre condiciones generales incluidas en contratos de financiación con garantías reales inmobiliarias cuyo prestatario sea una persona física. Su impacto sólo puede ser analizado con certeza a partir de la entrada en funcionamiento del Plan</w:t>
      </w:r>
      <w:r w:rsidR="00005072" w:rsidRPr="00617833">
        <w:rPr>
          <w:rFonts w:ascii="Verdana" w:hAnsi="Verdana"/>
          <w:sz w:val="20"/>
        </w:rPr>
        <w:t xml:space="preserve"> de urgencia aprobado por el Consejo General del Poder Judicial para dar respuesta a este previsible ingreso masivo de procesos en los juzgados de primera instancia y primera instancia e instrucción. </w:t>
      </w:r>
    </w:p>
    <w:p w:rsidR="00005072" w:rsidRPr="00617833" w:rsidRDefault="00005072" w:rsidP="00581ED2">
      <w:pPr>
        <w:pStyle w:val="Textoindependiente"/>
        <w:spacing w:before="120" w:after="120"/>
        <w:ind w:firstLine="357"/>
        <w:rPr>
          <w:rFonts w:ascii="Verdana" w:hAnsi="Verdana"/>
          <w:sz w:val="20"/>
        </w:rPr>
      </w:pPr>
      <w:r w:rsidRPr="00617833">
        <w:rPr>
          <w:rFonts w:ascii="Verdana" w:hAnsi="Verdana"/>
          <w:sz w:val="20"/>
        </w:rPr>
        <w:t xml:space="preserve">La implantación del mencionado Plan de urgencia permite constatar que a consecuencia de la sentencia </w:t>
      </w:r>
      <w:r w:rsidR="006B4BDF" w:rsidRPr="00617833">
        <w:rPr>
          <w:rFonts w:ascii="Verdana" w:hAnsi="Verdana"/>
          <w:sz w:val="20"/>
        </w:rPr>
        <w:t xml:space="preserve">del Tribunal de Justicia de la Unión Europea </w:t>
      </w:r>
      <w:r w:rsidRPr="00617833">
        <w:rPr>
          <w:rFonts w:ascii="Verdana" w:hAnsi="Verdana"/>
          <w:sz w:val="20"/>
        </w:rPr>
        <w:t xml:space="preserve">citada han ingresado un total de </w:t>
      </w:r>
      <w:r w:rsidR="00ED73B6" w:rsidRPr="00617833">
        <w:rPr>
          <w:rFonts w:ascii="Verdana" w:hAnsi="Verdana"/>
          <w:sz w:val="20"/>
        </w:rPr>
        <w:t>138.156 procedimientos sobre condiciones generales incluidas en contratos de financiación con garantías reales inmobiliarias cuyo prestatario sea una persona física, lo que representa un 42,1% del total de asuntos ingresados en los juzgados de primera instancia y primera instancia e instrucción, y un 45,5% de los pendientes al finalizar 2017.</w:t>
      </w:r>
    </w:p>
    <w:p w:rsidR="00AE23F0" w:rsidRPr="00617833" w:rsidRDefault="007726D1" w:rsidP="00AE23F0">
      <w:pPr>
        <w:pStyle w:val="Textoindependiente"/>
        <w:spacing w:before="120" w:after="120"/>
        <w:ind w:firstLine="357"/>
        <w:rPr>
          <w:rFonts w:ascii="Verdana" w:hAnsi="Verdana"/>
          <w:sz w:val="20"/>
        </w:rPr>
      </w:pPr>
      <w:r w:rsidRPr="00617833">
        <w:rPr>
          <w:rFonts w:ascii="Verdana" w:hAnsi="Verdana"/>
          <w:sz w:val="20"/>
        </w:rPr>
        <w:t xml:space="preserve">La </w:t>
      </w:r>
      <w:r w:rsidR="00AE23F0" w:rsidRPr="00617833">
        <w:rPr>
          <w:rFonts w:ascii="Verdana" w:hAnsi="Verdana"/>
          <w:sz w:val="20"/>
        </w:rPr>
        <w:t>S</w:t>
      </w:r>
      <w:r w:rsidR="00BC128A" w:rsidRPr="00617833">
        <w:rPr>
          <w:rFonts w:ascii="Verdana" w:hAnsi="Verdana"/>
          <w:sz w:val="20"/>
        </w:rPr>
        <w:t xml:space="preserve">entencia del </w:t>
      </w:r>
      <w:r w:rsidR="00750DCB" w:rsidRPr="00617833">
        <w:rPr>
          <w:rFonts w:ascii="Verdana" w:hAnsi="Verdana"/>
          <w:sz w:val="20"/>
        </w:rPr>
        <w:t>Pleno</w:t>
      </w:r>
      <w:r w:rsidR="00BC128A" w:rsidRPr="00617833">
        <w:rPr>
          <w:rFonts w:ascii="Verdana" w:hAnsi="Verdana"/>
          <w:sz w:val="20"/>
        </w:rPr>
        <w:t xml:space="preserve"> del Tribunal Con</w:t>
      </w:r>
      <w:r w:rsidR="00750DCB" w:rsidRPr="00617833">
        <w:rPr>
          <w:rFonts w:ascii="Verdana" w:hAnsi="Verdana"/>
          <w:sz w:val="20"/>
        </w:rPr>
        <w:t>s</w:t>
      </w:r>
      <w:r w:rsidR="00BC128A" w:rsidRPr="00617833">
        <w:rPr>
          <w:rFonts w:ascii="Verdana" w:hAnsi="Verdana"/>
          <w:sz w:val="20"/>
        </w:rPr>
        <w:t>titucional</w:t>
      </w:r>
      <w:r w:rsidR="00AE23F0" w:rsidRPr="00617833">
        <w:rPr>
          <w:rFonts w:ascii="Verdana" w:hAnsi="Verdana"/>
          <w:sz w:val="20"/>
        </w:rPr>
        <w:t xml:space="preserve"> de 21 de julio de 201</w:t>
      </w:r>
      <w:r w:rsidR="005019CC" w:rsidRPr="00617833">
        <w:rPr>
          <w:rFonts w:ascii="Verdana" w:hAnsi="Verdana"/>
          <w:sz w:val="20"/>
        </w:rPr>
        <w:t>6</w:t>
      </w:r>
      <w:r w:rsidR="00AE23F0" w:rsidRPr="00617833">
        <w:rPr>
          <w:rFonts w:ascii="Verdana" w:hAnsi="Verdana"/>
          <w:sz w:val="20"/>
        </w:rPr>
        <w:t xml:space="preserve">, </w:t>
      </w:r>
      <w:r w:rsidR="00750DCB" w:rsidRPr="00617833">
        <w:rPr>
          <w:rFonts w:ascii="Verdana" w:hAnsi="Verdana"/>
          <w:sz w:val="20"/>
        </w:rPr>
        <w:t xml:space="preserve">que </w:t>
      </w:r>
      <w:r w:rsidR="00AE23F0" w:rsidRPr="00617833">
        <w:rPr>
          <w:rFonts w:ascii="Verdana" w:hAnsi="Verdana"/>
          <w:sz w:val="20"/>
        </w:rPr>
        <w:t>elimina la cuota fija por interposición de los recursos de apelación y casación en el orden civil</w:t>
      </w:r>
      <w:r w:rsidR="00750DCB" w:rsidRPr="00617833">
        <w:rPr>
          <w:rFonts w:ascii="Verdana" w:hAnsi="Verdana"/>
          <w:sz w:val="20"/>
        </w:rPr>
        <w:t>,</w:t>
      </w:r>
      <w:r w:rsidR="00AE23F0" w:rsidRPr="00617833">
        <w:rPr>
          <w:rFonts w:ascii="Verdana" w:hAnsi="Verdana"/>
          <w:sz w:val="20"/>
        </w:rPr>
        <w:t xml:space="preserve"> </w:t>
      </w:r>
      <w:r w:rsidRPr="00617833">
        <w:rPr>
          <w:rFonts w:ascii="Verdana" w:hAnsi="Verdana"/>
          <w:sz w:val="20"/>
        </w:rPr>
        <w:t xml:space="preserve">ha </w:t>
      </w:r>
      <w:r w:rsidR="00AE23F0" w:rsidRPr="00617833">
        <w:rPr>
          <w:rFonts w:ascii="Verdana" w:hAnsi="Verdana"/>
          <w:sz w:val="20"/>
        </w:rPr>
        <w:t>incidido en el ingreso de recursos en el orden civil</w:t>
      </w:r>
      <w:r w:rsidR="00BC128A" w:rsidRPr="00617833">
        <w:rPr>
          <w:rFonts w:ascii="Verdana" w:hAnsi="Verdana"/>
          <w:sz w:val="20"/>
        </w:rPr>
        <w:t xml:space="preserve">. Como </w:t>
      </w:r>
      <w:r w:rsidR="00AE23F0" w:rsidRPr="00617833">
        <w:rPr>
          <w:rFonts w:ascii="Verdana" w:hAnsi="Verdana"/>
          <w:sz w:val="20"/>
        </w:rPr>
        <w:t xml:space="preserve">se ha señalado en el análisis concreto de los procedimientos afectados, el aumento </w:t>
      </w:r>
      <w:r w:rsidR="0038667D" w:rsidRPr="00617833">
        <w:rPr>
          <w:rFonts w:ascii="Verdana" w:hAnsi="Verdana"/>
          <w:sz w:val="20"/>
        </w:rPr>
        <w:t>significativo</w:t>
      </w:r>
      <w:r w:rsidR="00AE23F0" w:rsidRPr="00617833">
        <w:rPr>
          <w:rFonts w:ascii="Verdana" w:hAnsi="Verdana"/>
          <w:sz w:val="20"/>
        </w:rPr>
        <w:t xml:space="preserve"> de los recursos de apelación interpuestos, y el </w:t>
      </w:r>
      <w:r w:rsidR="0038667D" w:rsidRPr="00617833">
        <w:rPr>
          <w:rFonts w:ascii="Verdana" w:hAnsi="Verdana"/>
          <w:sz w:val="20"/>
        </w:rPr>
        <w:t>consiguiente</w:t>
      </w:r>
      <w:r w:rsidR="00AE23F0" w:rsidRPr="00617833">
        <w:rPr>
          <w:rFonts w:ascii="Verdana" w:hAnsi="Verdana"/>
          <w:sz w:val="20"/>
        </w:rPr>
        <w:t xml:space="preserve"> incremento en la ratio entre recursos elevados y sentencias dictadas, que  ha sido del </w:t>
      </w:r>
      <w:r w:rsidR="00617833">
        <w:rPr>
          <w:rFonts w:ascii="Verdana" w:hAnsi="Verdana"/>
          <w:sz w:val="20"/>
        </w:rPr>
        <w:t>14</w:t>
      </w:r>
      <w:r w:rsidR="00AE23F0" w:rsidRPr="00617833">
        <w:rPr>
          <w:rFonts w:ascii="Verdana" w:hAnsi="Verdana"/>
          <w:sz w:val="20"/>
        </w:rPr>
        <w:t>% respecto a las sentencias dictadas por los juzgados de primera instancia</w:t>
      </w:r>
      <w:r w:rsidR="00236575" w:rsidRPr="00617833">
        <w:rPr>
          <w:rFonts w:ascii="Verdana" w:hAnsi="Verdana"/>
          <w:sz w:val="20"/>
        </w:rPr>
        <w:t xml:space="preserve"> y primera instancia e instrucción</w:t>
      </w:r>
      <w:r w:rsidR="00AE23F0" w:rsidRPr="00617833">
        <w:rPr>
          <w:rFonts w:ascii="Verdana" w:hAnsi="Verdana"/>
          <w:sz w:val="20"/>
        </w:rPr>
        <w:t xml:space="preserve">, y del </w:t>
      </w:r>
      <w:r w:rsidR="00236575" w:rsidRPr="00617833">
        <w:rPr>
          <w:rFonts w:ascii="Verdana" w:hAnsi="Verdana"/>
          <w:sz w:val="20"/>
        </w:rPr>
        <w:t>8,2</w:t>
      </w:r>
      <w:r w:rsidR="00AE23F0" w:rsidRPr="00617833">
        <w:rPr>
          <w:rFonts w:ascii="Verdana" w:hAnsi="Verdana"/>
          <w:sz w:val="20"/>
        </w:rPr>
        <w:t xml:space="preserve">% en los recursos de casación contra resoluciones de las audiencias provinciales. </w:t>
      </w:r>
    </w:p>
    <w:p w:rsidR="00AE23F0" w:rsidRDefault="00AE23F0" w:rsidP="00AE23F0">
      <w:pPr>
        <w:rPr>
          <w:rFonts w:ascii="Verdana" w:hAnsi="Verdana" w:cs="Arial"/>
          <w:lang w:val="es-ES"/>
        </w:rPr>
      </w:pPr>
    </w:p>
    <w:p w:rsidR="00DB55BA" w:rsidRPr="006B4BDF" w:rsidRDefault="00DB55BA">
      <w:pPr>
        <w:rPr>
          <w:rFonts w:ascii="Verdana" w:eastAsiaTheme="minorHAnsi" w:hAnsi="Verdana" w:cstheme="minorBidi"/>
          <w:strike/>
          <w:color w:val="00B050"/>
          <w:sz w:val="20"/>
          <w:szCs w:val="20"/>
          <w:lang w:val="es-ES" w:eastAsia="en-US"/>
        </w:rPr>
      </w:pPr>
      <w:r w:rsidRPr="006B4BDF">
        <w:rPr>
          <w:rFonts w:ascii="Verdana" w:eastAsiaTheme="minorHAnsi" w:hAnsi="Verdana" w:cstheme="minorBidi"/>
          <w:strike/>
          <w:color w:val="00B050"/>
          <w:sz w:val="20"/>
          <w:szCs w:val="20"/>
          <w:lang w:val="es-ES" w:eastAsia="en-US"/>
        </w:rPr>
        <w:br w:type="page"/>
      </w:r>
    </w:p>
    <w:p w:rsidR="00DB55BA" w:rsidRPr="00617833" w:rsidRDefault="00DB55BA" w:rsidP="00DB55BA">
      <w:pPr>
        <w:spacing w:after="240"/>
        <w:jc w:val="center"/>
        <w:rPr>
          <w:b/>
          <w:color w:val="1F497D" w:themeColor="text2"/>
          <w:szCs w:val="20"/>
        </w:rPr>
      </w:pPr>
      <w:r w:rsidRPr="00617833">
        <w:rPr>
          <w:b/>
          <w:color w:val="1F497D" w:themeColor="text2"/>
          <w:szCs w:val="20"/>
        </w:rPr>
        <w:lastRenderedPageBreak/>
        <w:t>INDICA</w:t>
      </w:r>
      <w:r w:rsidR="00EA0721">
        <w:rPr>
          <w:b/>
          <w:color w:val="1F497D" w:themeColor="text2"/>
          <w:szCs w:val="20"/>
        </w:rPr>
        <w:t>D</w:t>
      </w:r>
      <w:r w:rsidRPr="00617833">
        <w:rPr>
          <w:b/>
          <w:color w:val="1F497D" w:themeColor="text2"/>
          <w:szCs w:val="20"/>
        </w:rPr>
        <w:t>ORES CLAVE DE LA JURISDICCIÓN CIVIL</w:t>
      </w:r>
    </w:p>
    <w:p w:rsidR="00DB55BA" w:rsidRPr="00CB5A9E" w:rsidRDefault="00DB55BA" w:rsidP="00DB55BA">
      <w:pPr>
        <w:spacing w:after="120"/>
        <w:jc w:val="center"/>
        <w:rPr>
          <w:b/>
          <w:color w:val="4F81BD" w:themeColor="accent1"/>
          <w:szCs w:val="20"/>
        </w:rPr>
      </w:pPr>
      <w:r>
        <w:rPr>
          <w:b/>
          <w:color w:val="4F81BD" w:themeColor="accent1"/>
          <w:szCs w:val="20"/>
        </w:rPr>
        <w:t>Tasas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Resolución</w:t>
            </w:r>
          </w:p>
        </w:tc>
        <w:tc>
          <w:tcPr>
            <w:tcW w:w="1947" w:type="dxa"/>
            <w:vAlign w:val="center"/>
          </w:tcPr>
          <w:p w:rsidR="00DB55BA" w:rsidRDefault="00DB55BA" w:rsidP="007F5E11">
            <w:pPr>
              <w:jc w:val="right"/>
              <w:rPr>
                <w:rFonts w:cs="Arial"/>
                <w:color w:val="000000"/>
                <w:szCs w:val="20"/>
              </w:rPr>
            </w:pPr>
            <w:r>
              <w:rPr>
                <w:rFonts w:cs="Arial"/>
                <w:color w:val="000000"/>
                <w:szCs w:val="20"/>
              </w:rPr>
              <w:t>1,02</w:t>
            </w:r>
          </w:p>
        </w:tc>
        <w:tc>
          <w:tcPr>
            <w:tcW w:w="1947" w:type="dxa"/>
            <w:vAlign w:val="center"/>
          </w:tcPr>
          <w:p w:rsidR="00DB55BA" w:rsidRDefault="00DB55BA" w:rsidP="007F5E11">
            <w:pPr>
              <w:jc w:val="right"/>
              <w:rPr>
                <w:rFonts w:cs="Arial"/>
                <w:color w:val="000000"/>
                <w:szCs w:val="20"/>
              </w:rPr>
            </w:pPr>
            <w:r>
              <w:rPr>
                <w:rFonts w:cs="Arial"/>
                <w:color w:val="000000"/>
                <w:szCs w:val="20"/>
              </w:rPr>
              <w:t>0,92</w:t>
            </w:r>
          </w:p>
        </w:tc>
        <w:tc>
          <w:tcPr>
            <w:tcW w:w="1948" w:type="dxa"/>
            <w:vAlign w:val="center"/>
          </w:tcPr>
          <w:p w:rsidR="00DB55BA" w:rsidRDefault="00DB55BA" w:rsidP="007F5E11">
            <w:pPr>
              <w:jc w:val="right"/>
              <w:rPr>
                <w:rFonts w:cs="Arial"/>
                <w:color w:val="000000"/>
                <w:szCs w:val="20"/>
              </w:rPr>
            </w:pPr>
            <w:r>
              <w:rPr>
                <w:rFonts w:cs="Arial"/>
                <w:color w:val="000000"/>
                <w:szCs w:val="20"/>
              </w:rPr>
              <w:t>-10,0%</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Pendencia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0,54</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0,64</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18,2%</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Congestión</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1,55</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1,64</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6,1%</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Tasa de Litigiosidad</w:t>
      </w:r>
      <w:r w:rsidRPr="00CB5A9E">
        <w:rPr>
          <w:b/>
          <w:color w:val="4F81BD" w:themeColor="accent1"/>
          <w:szCs w:val="20"/>
        </w:rPr>
        <w:t xml:space="preserve"> (</w:t>
      </w:r>
      <w:r>
        <w:rPr>
          <w:b/>
          <w:color w:val="4F81BD" w:themeColor="accent1"/>
          <w:szCs w:val="20"/>
        </w:rPr>
        <w:t>asuntos i</w:t>
      </w:r>
      <w:r w:rsidRPr="00CB5A9E">
        <w:rPr>
          <w:b/>
          <w:color w:val="4F81BD" w:themeColor="accent1"/>
          <w:szCs w:val="20"/>
        </w:rPr>
        <w:t>ngresados</w:t>
      </w:r>
      <w:r>
        <w:rPr>
          <w:b/>
          <w:color w:val="4F81BD" w:themeColor="accent1"/>
          <w:szCs w:val="20"/>
        </w:rPr>
        <w:t xml:space="preserve"> po</w:t>
      </w:r>
      <w:r w:rsidRPr="00CB5A9E">
        <w:rPr>
          <w:b/>
          <w:color w:val="4F81BD" w:themeColor="accent1"/>
          <w:szCs w:val="20"/>
        </w:rPr>
        <w:t xml:space="preserve">r </w:t>
      </w:r>
      <w:r>
        <w:rPr>
          <w:b/>
          <w:color w:val="4F81BD" w:themeColor="accent1"/>
          <w:szCs w:val="20"/>
        </w:rPr>
        <w:t xml:space="preserve">cada </w:t>
      </w:r>
      <w:r w:rsidRPr="00CB5A9E">
        <w:rPr>
          <w:b/>
          <w:color w:val="4F81BD" w:themeColor="accent1"/>
          <w:szCs w:val="20"/>
        </w:rPr>
        <w:t xml:space="preserve">1000 </w:t>
      </w:r>
      <w:r>
        <w:rPr>
          <w:b/>
          <w:color w:val="4F81BD" w:themeColor="accent1"/>
          <w:szCs w:val="20"/>
        </w:rPr>
        <w:t>habitantes</w:t>
      </w:r>
      <w:r w:rsidRPr="00CB5A9E">
        <w:rPr>
          <w:b/>
          <w:color w:val="4F81BD" w:themeColor="accent1"/>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40,1</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43,8</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9,2%</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asuntos ingresados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698,7</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764,6</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9,4%</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sentencias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193,9</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197,4</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1,8%</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E</w:t>
      </w:r>
      <w:r w:rsidRPr="00EB1F7C">
        <w:rPr>
          <w:b/>
          <w:color w:val="4F81BD" w:themeColor="accent1"/>
          <w:szCs w:val="20"/>
        </w:rPr>
        <w:t>stimación del porcentaje de sentencias recurridas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13,4%</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14,6%</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9,3%</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recursos devueltos confirmando totalmente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2015</w:t>
            </w:r>
          </w:p>
        </w:tc>
        <w:tc>
          <w:tcPr>
            <w:tcW w:w="1947"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apelación</w:t>
            </w:r>
          </w:p>
        </w:tc>
        <w:tc>
          <w:tcPr>
            <w:tcW w:w="1947" w:type="dxa"/>
            <w:vAlign w:val="center"/>
          </w:tcPr>
          <w:p w:rsidR="00DB55BA" w:rsidRDefault="00DB55BA" w:rsidP="007F5E11">
            <w:pPr>
              <w:jc w:val="center"/>
              <w:rPr>
                <w:rFonts w:cs="Arial"/>
                <w:color w:val="000000"/>
                <w:szCs w:val="20"/>
              </w:rPr>
            </w:pPr>
            <w:r>
              <w:rPr>
                <w:rFonts w:cs="Arial"/>
                <w:color w:val="000000"/>
                <w:szCs w:val="20"/>
              </w:rPr>
              <w:t>67,3%</w:t>
            </w:r>
          </w:p>
        </w:tc>
        <w:tc>
          <w:tcPr>
            <w:tcW w:w="1947" w:type="dxa"/>
            <w:vAlign w:val="center"/>
          </w:tcPr>
          <w:p w:rsidR="00DB55BA" w:rsidRDefault="00DB55BA" w:rsidP="007F5E11">
            <w:pPr>
              <w:jc w:val="center"/>
              <w:rPr>
                <w:rFonts w:cs="Arial"/>
                <w:color w:val="000000"/>
                <w:szCs w:val="20"/>
              </w:rPr>
            </w:pPr>
            <w:r>
              <w:rPr>
                <w:rFonts w:cs="Arial"/>
                <w:color w:val="000000"/>
                <w:szCs w:val="20"/>
              </w:rPr>
              <w:t>61,5%</w:t>
            </w:r>
          </w:p>
        </w:tc>
        <w:tc>
          <w:tcPr>
            <w:tcW w:w="1948" w:type="dxa"/>
            <w:vAlign w:val="center"/>
          </w:tcPr>
          <w:p w:rsidR="00DB55BA" w:rsidRDefault="00DB55BA" w:rsidP="007F5E11">
            <w:pPr>
              <w:jc w:val="center"/>
              <w:rPr>
                <w:rFonts w:cs="Arial"/>
                <w:color w:val="000000"/>
                <w:szCs w:val="20"/>
              </w:rPr>
            </w:pPr>
            <w:r>
              <w:rPr>
                <w:rFonts w:cs="Arial"/>
                <w:color w:val="000000"/>
                <w:szCs w:val="20"/>
              </w:rPr>
              <w:t>-8,7%</w:t>
            </w:r>
          </w:p>
        </w:tc>
      </w:tr>
      <w:tr w:rsidR="00DB55BA" w:rsidRPr="00CB5A9E" w:rsidTr="007F5E11">
        <w:trPr>
          <w:trHeight w:val="340"/>
        </w:trPr>
        <w:tc>
          <w:tcPr>
            <w:tcW w:w="2802" w:type="dxa"/>
            <w:tcBorders>
              <w:bottom w:val="single" w:sz="12" w:space="0" w:color="4F81BD" w:themeColor="accent1"/>
            </w:tcBorders>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Casación</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center"/>
              <w:rPr>
                <w:rFonts w:cs="Arial"/>
                <w:color w:val="000000"/>
                <w:szCs w:val="20"/>
              </w:rPr>
            </w:pPr>
            <w:r>
              <w:rPr>
                <w:rFonts w:cs="Arial"/>
                <w:color w:val="000000"/>
                <w:szCs w:val="20"/>
              </w:rPr>
              <w:t>82,7%</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center"/>
              <w:rPr>
                <w:rFonts w:cs="Arial"/>
                <w:color w:val="000000"/>
                <w:szCs w:val="20"/>
              </w:rPr>
            </w:pPr>
            <w:r>
              <w:rPr>
                <w:rFonts w:cs="Arial"/>
                <w:color w:val="000000"/>
                <w:szCs w:val="20"/>
              </w:rPr>
              <w:t>84,4%</w:t>
            </w:r>
          </w:p>
        </w:tc>
        <w:tc>
          <w:tcPr>
            <w:tcW w:w="1948" w:type="dxa"/>
            <w:tcBorders>
              <w:bottom w:val="single" w:sz="12" w:space="0" w:color="4F81BD" w:themeColor="accent1"/>
            </w:tcBorders>
            <w:shd w:val="clear" w:color="auto" w:fill="DBE5F1" w:themeFill="accent1" w:themeFillTint="33"/>
            <w:vAlign w:val="center"/>
          </w:tcPr>
          <w:p w:rsidR="00DB55BA" w:rsidRDefault="00DB55BA" w:rsidP="007F5E11">
            <w:pPr>
              <w:jc w:val="center"/>
              <w:rPr>
                <w:rFonts w:cs="Arial"/>
                <w:color w:val="000000"/>
                <w:szCs w:val="20"/>
              </w:rPr>
            </w:pPr>
            <w:r>
              <w:rPr>
                <w:rFonts w:cs="Arial"/>
                <w:color w:val="000000"/>
                <w:szCs w:val="20"/>
              </w:rPr>
              <w:t>2,1%</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sentencias dictadas por jueces de carrera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2015</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E460E6" w:rsidRPr="00CB5A9E" w:rsidTr="002D2A0D">
        <w:trPr>
          <w:trHeight w:val="340"/>
        </w:trPr>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91,4%</w:t>
            </w:r>
          </w:p>
        </w:tc>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90,8%</w:t>
            </w:r>
          </w:p>
        </w:tc>
        <w:tc>
          <w:tcPr>
            <w:tcW w:w="2882"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-0,8%</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Duraciones medias estimadas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2015</w:t>
            </w:r>
          </w:p>
        </w:tc>
        <w:tc>
          <w:tcPr>
            <w:tcW w:w="1947"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vAlign w:val="center"/>
          </w:tcPr>
          <w:p w:rsidR="00DB55BA" w:rsidRDefault="00DB55BA" w:rsidP="007F5E11">
            <w:pPr>
              <w:ind w:right="564"/>
              <w:jc w:val="right"/>
              <w:rPr>
                <w:rFonts w:cs="Arial"/>
                <w:color w:val="000000"/>
                <w:szCs w:val="20"/>
              </w:rPr>
            </w:pPr>
            <w:r>
              <w:rPr>
                <w:rFonts w:cs="Arial"/>
                <w:color w:val="000000"/>
                <w:szCs w:val="20"/>
              </w:rPr>
              <w:t>6,9</w:t>
            </w:r>
          </w:p>
        </w:tc>
        <w:tc>
          <w:tcPr>
            <w:tcW w:w="1947" w:type="dxa"/>
            <w:vAlign w:val="center"/>
          </w:tcPr>
          <w:p w:rsidR="00DB55BA" w:rsidRDefault="00DB55BA" w:rsidP="007F5E11">
            <w:pPr>
              <w:ind w:right="564"/>
              <w:jc w:val="right"/>
              <w:rPr>
                <w:rFonts w:cs="Arial"/>
                <w:color w:val="000000"/>
                <w:szCs w:val="20"/>
              </w:rPr>
            </w:pPr>
            <w:r>
              <w:rPr>
                <w:rFonts w:cs="Arial"/>
                <w:color w:val="000000"/>
                <w:szCs w:val="20"/>
              </w:rPr>
              <w:t>6,8</w:t>
            </w:r>
          </w:p>
        </w:tc>
        <w:tc>
          <w:tcPr>
            <w:tcW w:w="1948" w:type="dxa"/>
            <w:vAlign w:val="center"/>
          </w:tcPr>
          <w:p w:rsidR="00DB55BA" w:rsidRDefault="00DB55BA" w:rsidP="007F5E11">
            <w:pPr>
              <w:ind w:right="564"/>
              <w:jc w:val="right"/>
              <w:rPr>
                <w:rFonts w:cs="Arial"/>
                <w:color w:val="000000"/>
                <w:szCs w:val="20"/>
              </w:rPr>
            </w:pPr>
            <w:r>
              <w:rPr>
                <w:rFonts w:cs="Arial"/>
                <w:color w:val="000000"/>
                <w:szCs w:val="20"/>
              </w:rPr>
              <w:t>-1,4%</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2ª Instancia</w:t>
            </w:r>
          </w:p>
        </w:tc>
        <w:tc>
          <w:tcPr>
            <w:tcW w:w="1947" w:type="dxa"/>
            <w:shd w:val="clear" w:color="auto" w:fill="DBE5F1" w:themeFill="accent1" w:themeFillTint="33"/>
            <w:vAlign w:val="center"/>
          </w:tcPr>
          <w:p w:rsidR="00DB55BA" w:rsidRDefault="00DB55BA" w:rsidP="007F5E11">
            <w:pPr>
              <w:ind w:right="564"/>
              <w:jc w:val="right"/>
              <w:rPr>
                <w:rFonts w:cs="Arial"/>
                <w:color w:val="000000"/>
                <w:szCs w:val="20"/>
              </w:rPr>
            </w:pPr>
            <w:r>
              <w:rPr>
                <w:rFonts w:cs="Arial"/>
                <w:color w:val="000000"/>
                <w:szCs w:val="20"/>
              </w:rPr>
              <w:t>7,6</w:t>
            </w:r>
          </w:p>
        </w:tc>
        <w:tc>
          <w:tcPr>
            <w:tcW w:w="1947" w:type="dxa"/>
            <w:shd w:val="clear" w:color="auto" w:fill="DBE5F1" w:themeFill="accent1" w:themeFillTint="33"/>
            <w:vAlign w:val="center"/>
          </w:tcPr>
          <w:p w:rsidR="00DB55BA" w:rsidRDefault="00DB55BA" w:rsidP="007F5E11">
            <w:pPr>
              <w:ind w:right="564"/>
              <w:jc w:val="right"/>
              <w:rPr>
                <w:rFonts w:cs="Arial"/>
                <w:color w:val="000000"/>
                <w:szCs w:val="20"/>
              </w:rPr>
            </w:pPr>
            <w:r>
              <w:rPr>
                <w:rFonts w:cs="Arial"/>
                <w:color w:val="000000"/>
                <w:szCs w:val="20"/>
              </w:rPr>
              <w:t>7,3</w:t>
            </w:r>
          </w:p>
        </w:tc>
        <w:tc>
          <w:tcPr>
            <w:tcW w:w="1948" w:type="dxa"/>
            <w:shd w:val="clear" w:color="auto" w:fill="DBE5F1" w:themeFill="accent1" w:themeFillTint="33"/>
            <w:vAlign w:val="center"/>
          </w:tcPr>
          <w:p w:rsidR="00DB55BA" w:rsidRDefault="00DB55BA" w:rsidP="007F5E11">
            <w:pPr>
              <w:ind w:right="564"/>
              <w:jc w:val="right"/>
              <w:rPr>
                <w:rFonts w:cs="Arial"/>
                <w:color w:val="000000"/>
                <w:szCs w:val="20"/>
              </w:rPr>
            </w:pPr>
            <w:r>
              <w:rPr>
                <w:rFonts w:cs="Arial"/>
                <w:color w:val="000000"/>
                <w:szCs w:val="20"/>
              </w:rPr>
              <w:t>-3,7%</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EB1F7C">
              <w:rPr>
                <w:rFonts w:eastAsia="Times New Roman" w:cs="Arial"/>
                <w:b/>
                <w:color w:val="4F81BD" w:themeColor="accent1"/>
                <w:szCs w:val="20"/>
                <w:lang w:eastAsia="es-ES"/>
              </w:rPr>
              <w:t>Supremo</w:t>
            </w:r>
          </w:p>
        </w:tc>
        <w:tc>
          <w:tcPr>
            <w:tcW w:w="1947" w:type="dxa"/>
            <w:tcBorders>
              <w:bottom w:val="single" w:sz="12" w:space="0" w:color="4F81BD" w:themeColor="accent1"/>
            </w:tcBorders>
            <w:vAlign w:val="center"/>
          </w:tcPr>
          <w:p w:rsidR="00DB55BA" w:rsidRDefault="00DB55BA" w:rsidP="007F5E11">
            <w:pPr>
              <w:ind w:right="564"/>
              <w:jc w:val="right"/>
              <w:rPr>
                <w:rFonts w:cs="Arial"/>
                <w:color w:val="000000"/>
                <w:szCs w:val="20"/>
              </w:rPr>
            </w:pPr>
            <w:r>
              <w:rPr>
                <w:rFonts w:cs="Arial"/>
                <w:color w:val="000000"/>
                <w:szCs w:val="20"/>
              </w:rPr>
              <w:t>14,9</w:t>
            </w:r>
          </w:p>
        </w:tc>
        <w:tc>
          <w:tcPr>
            <w:tcW w:w="1947" w:type="dxa"/>
            <w:tcBorders>
              <w:bottom w:val="single" w:sz="12" w:space="0" w:color="4F81BD" w:themeColor="accent1"/>
            </w:tcBorders>
            <w:vAlign w:val="center"/>
          </w:tcPr>
          <w:p w:rsidR="00DB55BA" w:rsidRDefault="00DB55BA" w:rsidP="007F5E11">
            <w:pPr>
              <w:ind w:right="564"/>
              <w:jc w:val="right"/>
              <w:rPr>
                <w:rFonts w:cs="Arial"/>
                <w:color w:val="000000"/>
                <w:szCs w:val="20"/>
              </w:rPr>
            </w:pPr>
            <w:r>
              <w:rPr>
                <w:rFonts w:cs="Arial"/>
                <w:color w:val="000000"/>
                <w:szCs w:val="20"/>
              </w:rPr>
              <w:t>16,3</w:t>
            </w:r>
          </w:p>
        </w:tc>
        <w:tc>
          <w:tcPr>
            <w:tcW w:w="1948" w:type="dxa"/>
            <w:tcBorders>
              <w:bottom w:val="single" w:sz="12" w:space="0" w:color="4F81BD" w:themeColor="accent1"/>
            </w:tcBorders>
            <w:vAlign w:val="center"/>
          </w:tcPr>
          <w:p w:rsidR="00DB55BA" w:rsidRDefault="00DB55BA" w:rsidP="007F5E11">
            <w:pPr>
              <w:ind w:right="564"/>
              <w:jc w:val="right"/>
              <w:rPr>
                <w:rFonts w:cs="Arial"/>
                <w:color w:val="000000"/>
                <w:szCs w:val="20"/>
              </w:rPr>
            </w:pPr>
            <w:r>
              <w:rPr>
                <w:rFonts w:cs="Arial"/>
                <w:color w:val="000000"/>
                <w:szCs w:val="20"/>
              </w:rPr>
              <w:t>9,7%</w:t>
            </w:r>
          </w:p>
        </w:tc>
      </w:tr>
    </w:tbl>
    <w:p w:rsidR="00DB55BA" w:rsidRDefault="00DB55BA">
      <w:pPr>
        <w:rPr>
          <w:rFonts w:ascii="Verdana" w:eastAsiaTheme="minorHAnsi" w:hAnsi="Verdana" w:cstheme="minorBidi"/>
          <w:color w:val="00B050"/>
          <w:sz w:val="20"/>
          <w:szCs w:val="20"/>
          <w:lang w:val="es-ES" w:eastAsia="en-US"/>
        </w:rPr>
      </w:pPr>
    </w:p>
    <w:p w:rsidR="00AE23F0" w:rsidRDefault="00AE23F0" w:rsidP="00AE23F0">
      <w:pPr>
        <w:spacing w:after="200" w:line="276" w:lineRule="auto"/>
        <w:rPr>
          <w:rFonts w:ascii="Verdana" w:eastAsiaTheme="minorHAnsi" w:hAnsi="Verdana" w:cstheme="minorBidi"/>
          <w:color w:val="00B050"/>
          <w:sz w:val="20"/>
          <w:szCs w:val="20"/>
          <w:lang w:val="es-ES" w:eastAsia="en-US"/>
        </w:rPr>
      </w:pPr>
    </w:p>
    <w:p w:rsidR="00DB55BA" w:rsidRPr="001B739B" w:rsidRDefault="00DB55BA" w:rsidP="00AE23F0">
      <w:pPr>
        <w:spacing w:after="200" w:line="276" w:lineRule="auto"/>
        <w:rPr>
          <w:rFonts w:ascii="Verdana" w:eastAsiaTheme="minorHAnsi" w:hAnsi="Verdana" w:cstheme="minorBidi"/>
          <w:color w:val="00B050"/>
          <w:sz w:val="20"/>
          <w:szCs w:val="20"/>
          <w:lang w:val="es-ES" w:eastAsia="en-US"/>
        </w:rPr>
      </w:pPr>
    </w:p>
    <w:p w:rsidR="001B4EE3" w:rsidRPr="00CE214A" w:rsidRDefault="001B4EE3">
      <w:pPr>
        <w:pStyle w:val="Ttulo2"/>
        <w:numPr>
          <w:ilvl w:val="0"/>
          <w:numId w:val="4"/>
        </w:numPr>
        <w:rPr>
          <w:rFonts w:ascii="Verdana" w:hAnsi="Verdana"/>
          <w:color w:val="333399"/>
        </w:rPr>
      </w:pPr>
      <w:r w:rsidRPr="00CE214A">
        <w:rPr>
          <w:rFonts w:ascii="Verdana" w:hAnsi="Verdana"/>
          <w:color w:val="333399"/>
        </w:rPr>
        <w:lastRenderedPageBreak/>
        <w:t>Jurisdicción  Penal</w:t>
      </w:r>
    </w:p>
    <w:p w:rsidR="001B4EE3" w:rsidRPr="00CE214A" w:rsidRDefault="001B4EE3">
      <w:pPr>
        <w:pStyle w:val="Textoindependiente"/>
        <w:spacing w:before="120" w:after="120"/>
        <w:ind w:firstLine="357"/>
        <w:rPr>
          <w:rFonts w:ascii="Verdana" w:hAnsi="Verdana"/>
          <w:b/>
          <w:bCs/>
          <w:color w:val="333399"/>
          <w:sz w:val="20"/>
        </w:rPr>
      </w:pPr>
      <w:r w:rsidRPr="00CE214A">
        <w:rPr>
          <w:rFonts w:ascii="Verdana" w:hAnsi="Verdana"/>
          <w:b/>
          <w:bCs/>
          <w:color w:val="333399"/>
        </w:rPr>
        <w:t xml:space="preserve">3.1 </w:t>
      </w:r>
      <w:r w:rsidR="009E3F2A" w:rsidRPr="00CE214A">
        <w:rPr>
          <w:rFonts w:ascii="Verdana" w:hAnsi="Verdana"/>
          <w:b/>
          <w:bCs/>
          <w:color w:val="333399"/>
        </w:rPr>
        <w:t xml:space="preserve"> </w:t>
      </w:r>
      <w:r w:rsidRPr="00CE214A">
        <w:rPr>
          <w:rFonts w:ascii="Verdana" w:hAnsi="Verdana"/>
          <w:b/>
          <w:bCs/>
          <w:color w:val="333399"/>
        </w:rPr>
        <w:t>Datos globales</w:t>
      </w:r>
    </w:p>
    <w:p w:rsidR="00433902" w:rsidRPr="005C6205" w:rsidRDefault="00433902" w:rsidP="00433902">
      <w:pPr>
        <w:spacing w:before="120" w:after="120"/>
        <w:ind w:firstLine="357"/>
        <w:jc w:val="both"/>
        <w:rPr>
          <w:rFonts w:ascii="Verdana" w:hAnsi="Verdana" w:cs="Arial"/>
          <w:sz w:val="20"/>
        </w:rPr>
      </w:pPr>
      <w:r w:rsidRPr="005C6205">
        <w:rPr>
          <w:rFonts w:ascii="Verdana" w:hAnsi="Verdana" w:cs="Arial"/>
          <w:sz w:val="20"/>
        </w:rPr>
        <w:t xml:space="preserve">Tras </w:t>
      </w:r>
      <w:r w:rsidR="00576CE2" w:rsidRPr="005C6205">
        <w:rPr>
          <w:rFonts w:ascii="Verdana" w:hAnsi="Verdana" w:cs="Arial"/>
          <w:sz w:val="20"/>
        </w:rPr>
        <w:t xml:space="preserve">la </w:t>
      </w:r>
      <w:r w:rsidR="002F644C" w:rsidRPr="005C6205">
        <w:rPr>
          <w:rFonts w:ascii="Verdana" w:hAnsi="Verdana" w:cs="Arial"/>
          <w:sz w:val="20"/>
        </w:rPr>
        <w:t>espectacular</w:t>
      </w:r>
      <w:r w:rsidR="00576CE2" w:rsidRPr="005C6205">
        <w:rPr>
          <w:rFonts w:ascii="Verdana" w:hAnsi="Verdana" w:cs="Arial"/>
          <w:sz w:val="20"/>
        </w:rPr>
        <w:t xml:space="preserve"> caída en el ingreso provocada en 2016 por </w:t>
      </w:r>
      <w:r w:rsidRPr="005C6205">
        <w:rPr>
          <w:rFonts w:ascii="Verdana" w:hAnsi="Verdana" w:cs="Arial"/>
          <w:sz w:val="20"/>
        </w:rPr>
        <w:t xml:space="preserve"> </w:t>
      </w:r>
      <w:r w:rsidR="009B0099" w:rsidRPr="005C6205">
        <w:rPr>
          <w:rFonts w:ascii="Verdana" w:hAnsi="Verdana" w:cs="Arial"/>
          <w:sz w:val="20"/>
        </w:rPr>
        <w:t xml:space="preserve">las </w:t>
      </w:r>
      <w:r w:rsidRPr="005C6205">
        <w:rPr>
          <w:rFonts w:ascii="Verdana" w:hAnsi="Verdana" w:cs="Arial"/>
          <w:sz w:val="20"/>
        </w:rPr>
        <w:t xml:space="preserve">modificaciones legales introducidas por la Ley Orgánica 1/2015 de modificación del Código Penal, y de la Ley 41/2015 de modificación de la Ley de enjuiciamiento Criminal, </w:t>
      </w:r>
      <w:r w:rsidR="00576CE2" w:rsidRPr="005C6205">
        <w:rPr>
          <w:rFonts w:ascii="Verdana" w:hAnsi="Verdana" w:cs="Arial"/>
          <w:sz w:val="20"/>
        </w:rPr>
        <w:t xml:space="preserve">en 2017 se ha observado una caída del 4%, habiendo entrado 3.232.678 asuntos. </w:t>
      </w:r>
    </w:p>
    <w:p w:rsidR="00433902" w:rsidRPr="005C6205" w:rsidRDefault="00433902" w:rsidP="00433902">
      <w:pPr>
        <w:spacing w:before="120" w:after="120"/>
        <w:ind w:firstLine="357"/>
        <w:jc w:val="both"/>
        <w:rPr>
          <w:rFonts w:ascii="Verdana" w:hAnsi="Verdana" w:cs="Arial"/>
          <w:sz w:val="20"/>
        </w:rPr>
      </w:pPr>
    </w:p>
    <w:p w:rsidR="00433902" w:rsidRPr="005C6205" w:rsidRDefault="00C25DB3" w:rsidP="00433902">
      <w:pPr>
        <w:spacing w:before="120" w:after="120"/>
        <w:ind w:firstLine="357"/>
        <w:jc w:val="center"/>
        <w:rPr>
          <w:rFonts w:ascii="Verdana" w:hAnsi="Verdana" w:cs="Arial"/>
        </w:rPr>
      </w:pPr>
      <w:r w:rsidRPr="005C6205">
        <w:rPr>
          <w:noProof/>
          <w:lang w:val="es-ES"/>
        </w:rPr>
        <w:drawing>
          <wp:inline distT="0" distB="0" distL="0" distR="0" wp14:anchorId="0D371EEE" wp14:editId="16AA47C3">
            <wp:extent cx="5038725" cy="2533650"/>
            <wp:effectExtent l="0" t="0" r="9525" b="19050"/>
            <wp:docPr id="1069" name="Gráfico 10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76CE2" w:rsidRPr="005C6205" w:rsidRDefault="00576CE2" w:rsidP="00433902">
      <w:pPr>
        <w:spacing w:before="120" w:after="120"/>
        <w:ind w:firstLine="357"/>
        <w:jc w:val="both"/>
        <w:rPr>
          <w:rFonts w:ascii="Verdana" w:hAnsi="Verdana" w:cs="Arial"/>
          <w:sz w:val="20"/>
        </w:rPr>
      </w:pPr>
      <w:r w:rsidRPr="005C6205">
        <w:rPr>
          <w:rFonts w:ascii="Verdana" w:hAnsi="Verdana" w:cs="Arial"/>
          <w:sz w:val="20"/>
        </w:rPr>
        <w:t>También en la resolución se ha observado una disminución, en este caso del 6,1%, respecto a los asuntos resueltos en 2016.  En total se resolvieron 3.275.857 asuntos, quedando en tramitación 705.454, un 2,4% menos que los pendientes al final de 2016.</w:t>
      </w:r>
    </w:p>
    <w:p w:rsidR="00433902" w:rsidRPr="005C6205" w:rsidRDefault="00C25DB3" w:rsidP="00C25DB3">
      <w:pPr>
        <w:spacing w:before="120" w:after="120"/>
        <w:ind w:left="-1080" w:right="-856" w:firstLine="180"/>
        <w:jc w:val="center"/>
        <w:rPr>
          <w:rFonts w:ascii="Verdana" w:hAnsi="Verdana" w:cs="Arial"/>
        </w:rPr>
      </w:pPr>
      <w:r w:rsidRPr="005C6205">
        <w:rPr>
          <w:noProof/>
          <w:lang w:val="es-ES"/>
        </w:rPr>
        <w:drawing>
          <wp:inline distT="0" distB="0" distL="0" distR="0" wp14:anchorId="1D8FB944" wp14:editId="2DC32CBD">
            <wp:extent cx="5549265" cy="2514059"/>
            <wp:effectExtent l="0" t="0" r="13335" b="19685"/>
            <wp:docPr id="1068" name="Gráfico 10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33902" w:rsidRPr="005C6205" w:rsidRDefault="00433902" w:rsidP="00433902">
      <w:pPr>
        <w:spacing w:before="120" w:after="120"/>
        <w:ind w:left="-1080" w:right="-856" w:firstLine="180"/>
        <w:jc w:val="center"/>
        <w:rPr>
          <w:rFonts w:ascii="Verdana" w:hAnsi="Verdana" w:cs="Arial"/>
        </w:rPr>
      </w:pPr>
    </w:p>
    <w:p w:rsidR="00433902" w:rsidRPr="005C6205" w:rsidRDefault="00433902" w:rsidP="00433902">
      <w:pPr>
        <w:spacing w:before="120" w:after="120"/>
        <w:ind w:firstLine="357"/>
        <w:jc w:val="both"/>
        <w:rPr>
          <w:rFonts w:ascii="Verdana" w:hAnsi="Verdana" w:cs="Arial"/>
          <w:sz w:val="20"/>
        </w:rPr>
      </w:pPr>
      <w:r w:rsidRPr="005C6205">
        <w:rPr>
          <w:rFonts w:ascii="Verdana" w:hAnsi="Verdana" w:cs="Arial"/>
          <w:sz w:val="20"/>
        </w:rPr>
        <w:t>La situación de esta jurisdicción en los distintos tribunales superiores de justicia nos la resumen sus tasas de congestión.</w:t>
      </w:r>
    </w:p>
    <w:p w:rsidR="00E72871" w:rsidRPr="005C6205" w:rsidRDefault="00E72871" w:rsidP="00433902">
      <w:pPr>
        <w:spacing w:before="120" w:after="120"/>
        <w:ind w:firstLine="357"/>
        <w:jc w:val="both"/>
        <w:rPr>
          <w:rFonts w:ascii="Verdana" w:hAnsi="Verdana" w:cs="Arial"/>
        </w:rPr>
      </w:pPr>
    </w:p>
    <w:p w:rsidR="00433902" w:rsidRPr="005C6205" w:rsidRDefault="00576CE2" w:rsidP="00433902">
      <w:pPr>
        <w:spacing w:before="120" w:after="120"/>
        <w:ind w:firstLine="357"/>
        <w:jc w:val="both"/>
        <w:rPr>
          <w:rFonts w:ascii="Verdana" w:hAnsi="Verdana" w:cs="Arial"/>
          <w:sz w:val="20"/>
        </w:rPr>
      </w:pPr>
      <w:r w:rsidRPr="005C6205">
        <w:rPr>
          <w:noProof/>
          <w:lang w:val="es-ES"/>
        </w:rPr>
        <w:lastRenderedPageBreak/>
        <w:drawing>
          <wp:inline distT="0" distB="0" distL="0" distR="0" wp14:anchorId="339809A1" wp14:editId="6AB63D74">
            <wp:extent cx="4838700" cy="3086100"/>
            <wp:effectExtent l="0" t="0" r="19050" b="190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72871" w:rsidRPr="005C6205" w:rsidRDefault="00E72871" w:rsidP="00433902">
      <w:pPr>
        <w:spacing w:before="120" w:after="120"/>
        <w:ind w:firstLine="357"/>
        <w:jc w:val="both"/>
        <w:rPr>
          <w:rFonts w:ascii="Verdana" w:hAnsi="Verdana" w:cs="Arial"/>
          <w:sz w:val="20"/>
        </w:rPr>
      </w:pPr>
    </w:p>
    <w:p w:rsidR="00433902" w:rsidRPr="005C6205" w:rsidRDefault="00433902" w:rsidP="00433902">
      <w:pPr>
        <w:spacing w:before="120" w:after="120"/>
        <w:ind w:firstLine="357"/>
        <w:jc w:val="both"/>
        <w:rPr>
          <w:rFonts w:ascii="Verdana" w:hAnsi="Verdana" w:cs="Arial"/>
          <w:sz w:val="20"/>
        </w:rPr>
      </w:pPr>
      <w:r w:rsidRPr="005C6205">
        <w:rPr>
          <w:rFonts w:ascii="Verdana" w:hAnsi="Verdana" w:cs="Arial"/>
          <w:sz w:val="20"/>
        </w:rPr>
        <w:t>La peor situación se da en Castilla-La Mancha, 1,3</w:t>
      </w:r>
      <w:r w:rsidR="00576CE2" w:rsidRPr="005C6205">
        <w:rPr>
          <w:rFonts w:ascii="Verdana" w:hAnsi="Verdana" w:cs="Arial"/>
          <w:sz w:val="20"/>
        </w:rPr>
        <w:t>5</w:t>
      </w:r>
      <w:r w:rsidRPr="005C6205">
        <w:rPr>
          <w:rFonts w:ascii="Verdana" w:hAnsi="Verdana" w:cs="Arial"/>
          <w:sz w:val="20"/>
        </w:rPr>
        <w:t>; en  La Rioja, 1,3</w:t>
      </w:r>
      <w:r w:rsidR="00576CE2" w:rsidRPr="005C6205">
        <w:rPr>
          <w:rFonts w:ascii="Verdana" w:hAnsi="Verdana" w:cs="Arial"/>
          <w:sz w:val="20"/>
        </w:rPr>
        <w:t>4</w:t>
      </w:r>
      <w:r w:rsidRPr="005C6205">
        <w:rPr>
          <w:rFonts w:ascii="Verdana" w:hAnsi="Verdana" w:cs="Arial"/>
          <w:sz w:val="20"/>
        </w:rPr>
        <w:t xml:space="preserve">; </w:t>
      </w:r>
      <w:r w:rsidR="00576CE2" w:rsidRPr="005C6205">
        <w:rPr>
          <w:rFonts w:ascii="Verdana" w:hAnsi="Verdana" w:cs="Arial"/>
          <w:sz w:val="20"/>
        </w:rPr>
        <w:t xml:space="preserve">Illes Balears y Murcia, 1,27; </w:t>
      </w:r>
      <w:r w:rsidRPr="005C6205">
        <w:rPr>
          <w:rFonts w:ascii="Verdana" w:hAnsi="Verdana" w:cs="Arial"/>
          <w:sz w:val="20"/>
        </w:rPr>
        <w:t xml:space="preserve">C. Valenciana, 1,26;  </w:t>
      </w:r>
      <w:r w:rsidR="00576CE2" w:rsidRPr="005C6205">
        <w:rPr>
          <w:rFonts w:ascii="Verdana" w:hAnsi="Verdana" w:cs="Arial"/>
          <w:sz w:val="20"/>
        </w:rPr>
        <w:t xml:space="preserve">Galicia, 1,23; y </w:t>
      </w:r>
      <w:r w:rsidRPr="005C6205">
        <w:rPr>
          <w:rFonts w:ascii="Verdana" w:hAnsi="Verdana" w:cs="Arial"/>
          <w:sz w:val="20"/>
        </w:rPr>
        <w:t>Castilla y León</w:t>
      </w:r>
      <w:r w:rsidR="00576CE2" w:rsidRPr="005C6205">
        <w:rPr>
          <w:rFonts w:ascii="Verdana" w:hAnsi="Verdana" w:cs="Arial"/>
          <w:sz w:val="20"/>
        </w:rPr>
        <w:t xml:space="preserve"> y</w:t>
      </w:r>
      <w:r w:rsidRPr="005C6205">
        <w:rPr>
          <w:rFonts w:ascii="Verdana" w:hAnsi="Verdana" w:cs="Arial"/>
          <w:sz w:val="20"/>
        </w:rPr>
        <w:t xml:space="preserve"> Cataluña, 1,22. Todas </w:t>
      </w:r>
      <w:r w:rsidR="00576CE2" w:rsidRPr="005C6205">
        <w:rPr>
          <w:rFonts w:ascii="Verdana" w:hAnsi="Verdana" w:cs="Arial"/>
          <w:sz w:val="20"/>
        </w:rPr>
        <w:t>superan la tasa nacional de 1,21</w:t>
      </w:r>
      <w:r w:rsidRPr="005C6205">
        <w:rPr>
          <w:rFonts w:ascii="Verdana" w:hAnsi="Verdana" w:cs="Arial"/>
          <w:sz w:val="20"/>
        </w:rPr>
        <w:t>.  La mejor situación se ha dado en Navarra, 1,14.</w:t>
      </w:r>
    </w:p>
    <w:p w:rsidR="00433902" w:rsidRPr="005C6205" w:rsidRDefault="00433902" w:rsidP="00433902">
      <w:pPr>
        <w:spacing w:before="120" w:after="120"/>
        <w:ind w:firstLine="357"/>
        <w:jc w:val="both"/>
        <w:rPr>
          <w:rFonts w:ascii="Verdana" w:hAnsi="Verdana" w:cs="Arial"/>
          <w:sz w:val="20"/>
        </w:rPr>
      </w:pPr>
      <w:r w:rsidRPr="005C6205">
        <w:rPr>
          <w:rFonts w:ascii="Verdana" w:hAnsi="Verdana" w:cs="Arial"/>
          <w:sz w:val="20"/>
        </w:rPr>
        <w:t>La evolución para el conjunto de la jurisdicción de las tasas de resolución, pendencia y congestión, muestra un</w:t>
      </w:r>
      <w:r w:rsidR="00A337C4" w:rsidRPr="005C6205">
        <w:rPr>
          <w:rFonts w:ascii="Verdana" w:hAnsi="Verdana" w:cs="Arial"/>
          <w:sz w:val="20"/>
        </w:rPr>
        <w:t>a disminución</w:t>
      </w:r>
      <w:r w:rsidRPr="005C6205">
        <w:rPr>
          <w:rFonts w:ascii="Verdana" w:hAnsi="Verdana" w:cs="Arial"/>
          <w:sz w:val="20"/>
        </w:rPr>
        <w:t xml:space="preserve"> en la tasa de resolución,</w:t>
      </w:r>
      <w:r w:rsidR="00A337C4" w:rsidRPr="005C6205">
        <w:rPr>
          <w:rFonts w:ascii="Verdana" w:hAnsi="Verdana" w:cs="Arial"/>
          <w:sz w:val="20"/>
        </w:rPr>
        <w:t xml:space="preserve"> acompañada de un incremento de las tasas de pendencia y congestión. Esto junto con la pequeña reducción de la pendencia hace pensar que la jurisdicción ha tenido un muy leve deterioro, estando todavía adaptándose al impacto de los cambios legales.</w:t>
      </w:r>
    </w:p>
    <w:tbl>
      <w:tblPr>
        <w:tblW w:w="6120" w:type="dxa"/>
        <w:jc w:val="center"/>
        <w:tblInd w:w="55" w:type="dxa"/>
        <w:tblCellMar>
          <w:left w:w="70" w:type="dxa"/>
          <w:right w:w="70" w:type="dxa"/>
        </w:tblCellMar>
        <w:tblLook w:val="04A0" w:firstRow="1" w:lastRow="0" w:firstColumn="1" w:lastColumn="0" w:noHBand="0" w:noVBand="1"/>
      </w:tblPr>
      <w:tblGrid>
        <w:gridCol w:w="2160"/>
        <w:gridCol w:w="1320"/>
        <w:gridCol w:w="1320"/>
        <w:gridCol w:w="1320"/>
      </w:tblGrid>
      <w:tr w:rsidR="00433902" w:rsidRPr="007A6EA4" w:rsidTr="007967E0">
        <w:trPr>
          <w:trHeight w:val="300"/>
          <w:jc w:val="center"/>
        </w:trPr>
        <w:tc>
          <w:tcPr>
            <w:tcW w:w="2160" w:type="dxa"/>
            <w:tcBorders>
              <w:top w:val="nil"/>
              <w:left w:val="nil"/>
              <w:bottom w:val="nil"/>
              <w:right w:val="nil"/>
            </w:tcBorders>
            <w:shd w:val="clear" w:color="auto" w:fill="auto"/>
            <w:noWrap/>
            <w:vAlign w:val="bottom"/>
            <w:hideMark/>
          </w:tcPr>
          <w:p w:rsidR="00433902" w:rsidRPr="005C6205" w:rsidRDefault="00433902" w:rsidP="007967E0">
            <w:pPr>
              <w:rPr>
                <w:color w:val="000000"/>
                <w:sz w:val="20"/>
                <w:szCs w:val="20"/>
              </w:rPr>
            </w:pPr>
          </w:p>
        </w:tc>
        <w:tc>
          <w:tcPr>
            <w:tcW w:w="1320" w:type="dxa"/>
            <w:tcBorders>
              <w:top w:val="single" w:sz="8" w:space="0" w:color="auto"/>
              <w:left w:val="nil"/>
              <w:bottom w:val="nil"/>
              <w:right w:val="nil"/>
            </w:tcBorders>
            <w:shd w:val="clear" w:color="auto" w:fill="auto"/>
            <w:vAlign w:val="center"/>
            <w:hideMark/>
          </w:tcPr>
          <w:p w:rsidR="00433902" w:rsidRPr="005C6205" w:rsidRDefault="00433902" w:rsidP="00A337C4">
            <w:pPr>
              <w:jc w:val="center"/>
              <w:rPr>
                <w:rFonts w:ascii="Verdana" w:hAnsi="Verdana" w:cs="Calibri"/>
                <w:b/>
                <w:bCs/>
                <w:color w:val="000080"/>
                <w:sz w:val="20"/>
                <w:szCs w:val="20"/>
              </w:rPr>
            </w:pPr>
            <w:r w:rsidRPr="005C6205">
              <w:rPr>
                <w:rFonts w:ascii="Verdana" w:hAnsi="Verdana" w:cs="Arial"/>
                <w:b/>
                <w:bCs/>
                <w:color w:val="000080"/>
                <w:sz w:val="20"/>
                <w:szCs w:val="20"/>
              </w:rPr>
              <w:t>201</w:t>
            </w:r>
            <w:r w:rsidR="00A337C4" w:rsidRPr="005C6205">
              <w:rPr>
                <w:rFonts w:ascii="Verdana" w:hAnsi="Verdana" w:cs="Arial"/>
                <w:b/>
                <w:bCs/>
                <w:color w:val="000080"/>
                <w:sz w:val="20"/>
                <w:szCs w:val="20"/>
              </w:rPr>
              <w:t>6</w:t>
            </w:r>
          </w:p>
        </w:tc>
        <w:tc>
          <w:tcPr>
            <w:tcW w:w="1320" w:type="dxa"/>
            <w:tcBorders>
              <w:top w:val="single" w:sz="8" w:space="0" w:color="auto"/>
              <w:left w:val="nil"/>
              <w:bottom w:val="nil"/>
              <w:right w:val="nil"/>
            </w:tcBorders>
            <w:shd w:val="clear" w:color="auto" w:fill="auto"/>
            <w:vAlign w:val="center"/>
            <w:hideMark/>
          </w:tcPr>
          <w:p w:rsidR="00433902" w:rsidRPr="005C6205" w:rsidRDefault="00433902" w:rsidP="00A337C4">
            <w:pPr>
              <w:jc w:val="center"/>
              <w:rPr>
                <w:rFonts w:ascii="Verdana" w:hAnsi="Verdana" w:cs="Calibri"/>
                <w:b/>
                <w:bCs/>
                <w:color w:val="000080"/>
                <w:sz w:val="20"/>
                <w:szCs w:val="20"/>
              </w:rPr>
            </w:pPr>
            <w:r w:rsidRPr="005C6205">
              <w:rPr>
                <w:rFonts w:ascii="Verdana" w:hAnsi="Verdana" w:cs="Arial"/>
                <w:b/>
                <w:bCs/>
                <w:color w:val="000080"/>
                <w:sz w:val="20"/>
                <w:szCs w:val="20"/>
              </w:rPr>
              <w:t>201</w:t>
            </w:r>
            <w:r w:rsidR="00A337C4" w:rsidRPr="005C6205">
              <w:rPr>
                <w:rFonts w:ascii="Verdana" w:hAnsi="Verdana" w:cs="Arial"/>
                <w:b/>
                <w:bCs/>
                <w:color w:val="000080"/>
                <w:sz w:val="20"/>
                <w:szCs w:val="20"/>
              </w:rPr>
              <w:t>7</w:t>
            </w:r>
          </w:p>
        </w:tc>
        <w:tc>
          <w:tcPr>
            <w:tcW w:w="1320" w:type="dxa"/>
            <w:tcBorders>
              <w:top w:val="single" w:sz="8" w:space="0" w:color="auto"/>
              <w:left w:val="nil"/>
              <w:bottom w:val="nil"/>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5C6205">
              <w:rPr>
                <w:rFonts w:ascii="Verdana" w:hAnsi="Verdana" w:cs="Arial"/>
                <w:b/>
                <w:bCs/>
                <w:color w:val="000080"/>
                <w:sz w:val="20"/>
                <w:szCs w:val="20"/>
              </w:rPr>
              <w:t>Evolución</w:t>
            </w:r>
          </w:p>
        </w:tc>
      </w:tr>
      <w:tr w:rsidR="00A337C4" w:rsidRPr="007A6EA4" w:rsidTr="007967E0">
        <w:trPr>
          <w:trHeight w:val="285"/>
          <w:jc w:val="center"/>
        </w:trPr>
        <w:tc>
          <w:tcPr>
            <w:tcW w:w="2160" w:type="dxa"/>
            <w:tcBorders>
              <w:top w:val="single" w:sz="8" w:space="0" w:color="auto"/>
              <w:left w:val="nil"/>
              <w:bottom w:val="nil"/>
              <w:right w:val="nil"/>
            </w:tcBorders>
            <w:shd w:val="clear" w:color="auto" w:fill="auto"/>
            <w:vAlign w:val="center"/>
            <w:hideMark/>
          </w:tcPr>
          <w:p w:rsidR="00A337C4" w:rsidRPr="007A6EA4" w:rsidRDefault="00A337C4" w:rsidP="007967E0">
            <w:pPr>
              <w:jc w:val="both"/>
              <w:rPr>
                <w:rFonts w:ascii="Verdana" w:hAnsi="Verdana" w:cs="Calibri"/>
                <w:color w:val="000000"/>
                <w:sz w:val="20"/>
                <w:szCs w:val="20"/>
              </w:rPr>
            </w:pPr>
            <w:r w:rsidRPr="007A6EA4">
              <w:rPr>
                <w:rFonts w:ascii="Verdana" w:hAnsi="Verdana" w:cs="Arial"/>
                <w:color w:val="000000"/>
                <w:sz w:val="20"/>
                <w:szCs w:val="20"/>
              </w:rPr>
              <w:t>Tasa de Resolución</w:t>
            </w:r>
          </w:p>
        </w:tc>
        <w:tc>
          <w:tcPr>
            <w:tcW w:w="1320" w:type="dxa"/>
            <w:tcBorders>
              <w:top w:val="single" w:sz="8" w:space="0" w:color="auto"/>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1,04</w:t>
            </w:r>
          </w:p>
        </w:tc>
        <w:tc>
          <w:tcPr>
            <w:tcW w:w="1320" w:type="dxa"/>
            <w:tcBorders>
              <w:top w:val="single" w:sz="8" w:space="0" w:color="auto"/>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1,01</w:t>
            </w:r>
          </w:p>
        </w:tc>
        <w:tc>
          <w:tcPr>
            <w:tcW w:w="1320" w:type="dxa"/>
            <w:tcBorders>
              <w:top w:val="single" w:sz="8" w:space="0" w:color="auto"/>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-2,2%</w:t>
            </w:r>
          </w:p>
        </w:tc>
      </w:tr>
      <w:tr w:rsidR="00A337C4" w:rsidRPr="007A6EA4" w:rsidTr="007967E0">
        <w:trPr>
          <w:trHeight w:val="285"/>
          <w:jc w:val="center"/>
        </w:trPr>
        <w:tc>
          <w:tcPr>
            <w:tcW w:w="2160" w:type="dxa"/>
            <w:tcBorders>
              <w:top w:val="nil"/>
              <w:left w:val="nil"/>
              <w:bottom w:val="nil"/>
              <w:right w:val="nil"/>
            </w:tcBorders>
            <w:shd w:val="clear" w:color="auto" w:fill="auto"/>
            <w:vAlign w:val="center"/>
            <w:hideMark/>
          </w:tcPr>
          <w:p w:rsidR="00A337C4" w:rsidRPr="007A6EA4" w:rsidRDefault="00A337C4" w:rsidP="007967E0">
            <w:pPr>
              <w:jc w:val="both"/>
              <w:rPr>
                <w:rFonts w:ascii="Verdana" w:hAnsi="Verdana" w:cs="Calibri"/>
                <w:color w:val="000000"/>
                <w:sz w:val="20"/>
                <w:szCs w:val="20"/>
              </w:rPr>
            </w:pPr>
            <w:r w:rsidRPr="007A6EA4">
              <w:rPr>
                <w:rFonts w:ascii="Verdana" w:hAnsi="Verdana" w:cs="Arial"/>
                <w:color w:val="000000"/>
                <w:sz w:val="20"/>
                <w:szCs w:val="20"/>
              </w:rPr>
              <w:t>Tasa de Pendencia</w:t>
            </w:r>
          </w:p>
        </w:tc>
        <w:tc>
          <w:tcPr>
            <w:tcW w:w="1320" w:type="dxa"/>
            <w:tcBorders>
              <w:top w:val="nil"/>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0,21</w:t>
            </w:r>
          </w:p>
        </w:tc>
        <w:tc>
          <w:tcPr>
            <w:tcW w:w="1320" w:type="dxa"/>
            <w:tcBorders>
              <w:top w:val="nil"/>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0,22</w:t>
            </w:r>
          </w:p>
        </w:tc>
        <w:tc>
          <w:tcPr>
            <w:tcW w:w="1320" w:type="dxa"/>
            <w:tcBorders>
              <w:top w:val="nil"/>
              <w:left w:val="nil"/>
              <w:bottom w:val="nil"/>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4,0%</w:t>
            </w:r>
          </w:p>
        </w:tc>
      </w:tr>
      <w:tr w:rsidR="00A337C4" w:rsidRPr="007A6EA4" w:rsidTr="007967E0">
        <w:trPr>
          <w:trHeight w:val="300"/>
          <w:jc w:val="center"/>
        </w:trPr>
        <w:tc>
          <w:tcPr>
            <w:tcW w:w="2160" w:type="dxa"/>
            <w:tcBorders>
              <w:top w:val="nil"/>
              <w:left w:val="nil"/>
              <w:bottom w:val="single" w:sz="8" w:space="0" w:color="auto"/>
              <w:right w:val="nil"/>
            </w:tcBorders>
            <w:shd w:val="clear" w:color="auto" w:fill="auto"/>
            <w:vAlign w:val="center"/>
            <w:hideMark/>
          </w:tcPr>
          <w:p w:rsidR="00A337C4" w:rsidRPr="007A6EA4" w:rsidRDefault="00A337C4" w:rsidP="007967E0">
            <w:pPr>
              <w:jc w:val="both"/>
              <w:rPr>
                <w:rFonts w:ascii="Verdana" w:hAnsi="Verdana" w:cs="Calibri"/>
                <w:color w:val="000000"/>
                <w:sz w:val="20"/>
                <w:szCs w:val="20"/>
              </w:rPr>
            </w:pPr>
            <w:r w:rsidRPr="007A6EA4">
              <w:rPr>
                <w:rFonts w:ascii="Verdana" w:hAnsi="Verdana" w:cs="Arial"/>
                <w:color w:val="000000"/>
                <w:sz w:val="20"/>
                <w:szCs w:val="20"/>
              </w:rPr>
              <w:t>Tasa de Congestión</w:t>
            </w:r>
          </w:p>
        </w:tc>
        <w:tc>
          <w:tcPr>
            <w:tcW w:w="1320" w:type="dxa"/>
            <w:tcBorders>
              <w:top w:val="nil"/>
              <w:left w:val="nil"/>
              <w:bottom w:val="single" w:sz="8" w:space="0" w:color="auto"/>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1,20</w:t>
            </w:r>
          </w:p>
        </w:tc>
        <w:tc>
          <w:tcPr>
            <w:tcW w:w="1320" w:type="dxa"/>
            <w:tcBorders>
              <w:top w:val="nil"/>
              <w:left w:val="nil"/>
              <w:bottom w:val="single" w:sz="8" w:space="0" w:color="auto"/>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1,21</w:t>
            </w:r>
          </w:p>
        </w:tc>
        <w:tc>
          <w:tcPr>
            <w:tcW w:w="1320" w:type="dxa"/>
            <w:tcBorders>
              <w:top w:val="nil"/>
              <w:left w:val="nil"/>
              <w:bottom w:val="single" w:sz="8" w:space="0" w:color="auto"/>
              <w:right w:val="nil"/>
            </w:tcBorders>
            <w:shd w:val="clear" w:color="auto" w:fill="auto"/>
            <w:vAlign w:val="center"/>
            <w:hideMark/>
          </w:tcPr>
          <w:p w:rsidR="00A337C4" w:rsidRDefault="00A337C4">
            <w:pPr>
              <w:jc w:val="center"/>
              <w:rPr>
                <w:rFonts w:ascii="Arial" w:hAnsi="Arial" w:cs="Arial"/>
                <w:color w:val="000000"/>
                <w:sz w:val="20"/>
                <w:szCs w:val="20"/>
              </w:rPr>
            </w:pPr>
            <w:r>
              <w:rPr>
                <w:rFonts w:ascii="Arial" w:hAnsi="Arial" w:cs="Arial"/>
                <w:color w:val="000000"/>
                <w:sz w:val="20"/>
                <w:szCs w:val="20"/>
              </w:rPr>
              <w:t>0,4%</w:t>
            </w:r>
          </w:p>
        </w:tc>
      </w:tr>
    </w:tbl>
    <w:p w:rsidR="00433902" w:rsidRDefault="00433902" w:rsidP="00433902">
      <w:pPr>
        <w:spacing w:before="120" w:after="120"/>
        <w:ind w:firstLine="708"/>
        <w:jc w:val="both"/>
        <w:rPr>
          <w:rFonts w:ascii="Verdana" w:hAnsi="Verdana" w:cs="Arial"/>
          <w:sz w:val="20"/>
        </w:rPr>
      </w:pPr>
    </w:p>
    <w:p w:rsidR="00433902" w:rsidRPr="007A6EA4" w:rsidRDefault="00433902" w:rsidP="00433902">
      <w:pPr>
        <w:spacing w:before="120" w:after="120"/>
        <w:ind w:firstLine="708"/>
        <w:jc w:val="both"/>
        <w:rPr>
          <w:rFonts w:ascii="Verdana" w:hAnsi="Verdana" w:cs="Arial"/>
          <w:sz w:val="20"/>
        </w:rPr>
      </w:pPr>
      <w:r w:rsidRPr="005C6205">
        <w:rPr>
          <w:rFonts w:ascii="Verdana" w:hAnsi="Verdana" w:cs="Arial"/>
          <w:sz w:val="20"/>
        </w:rPr>
        <w:t>La situación  por tipos de juzgados en 201</w:t>
      </w:r>
      <w:r w:rsidR="00A337C4" w:rsidRPr="005C6205">
        <w:rPr>
          <w:rFonts w:ascii="Verdana" w:hAnsi="Verdana" w:cs="Arial"/>
          <w:sz w:val="20"/>
        </w:rPr>
        <w:t>7</w:t>
      </w:r>
      <w:r w:rsidRPr="005C6205">
        <w:rPr>
          <w:rFonts w:ascii="Verdana" w:hAnsi="Verdana" w:cs="Arial"/>
          <w:sz w:val="20"/>
        </w:rPr>
        <w:t xml:space="preserve">  la resume el siguiente cuadro:</w:t>
      </w:r>
    </w:p>
    <w:p w:rsidR="00433902" w:rsidRPr="007A6EA4" w:rsidRDefault="00433902" w:rsidP="00433902">
      <w:pPr>
        <w:spacing w:before="120" w:after="120"/>
        <w:ind w:firstLine="708"/>
        <w:jc w:val="both"/>
        <w:rPr>
          <w:rFonts w:ascii="Verdana" w:hAnsi="Verdana" w:cs="Arial"/>
          <w:sz w:val="20"/>
        </w:rPr>
      </w:pPr>
    </w:p>
    <w:tbl>
      <w:tblPr>
        <w:tblW w:w="7440" w:type="dxa"/>
        <w:tblInd w:w="55" w:type="dxa"/>
        <w:tblCellMar>
          <w:left w:w="70" w:type="dxa"/>
          <w:right w:w="70" w:type="dxa"/>
        </w:tblCellMar>
        <w:tblLook w:val="04A0" w:firstRow="1" w:lastRow="0" w:firstColumn="1" w:lastColumn="0" w:noHBand="0" w:noVBand="1"/>
      </w:tblPr>
      <w:tblGrid>
        <w:gridCol w:w="3196"/>
        <w:gridCol w:w="1531"/>
        <w:gridCol w:w="1380"/>
        <w:gridCol w:w="1333"/>
      </w:tblGrid>
      <w:tr w:rsidR="00C42615" w:rsidTr="00B17CAF">
        <w:trPr>
          <w:trHeight w:val="799"/>
        </w:trPr>
        <w:tc>
          <w:tcPr>
            <w:tcW w:w="3196" w:type="dxa"/>
            <w:tcBorders>
              <w:top w:val="nil"/>
              <w:left w:val="nil"/>
              <w:bottom w:val="single" w:sz="8" w:space="0" w:color="auto"/>
              <w:right w:val="nil"/>
            </w:tcBorders>
            <w:shd w:val="clear" w:color="auto" w:fill="auto"/>
            <w:vAlign w:val="center"/>
            <w:hideMark/>
          </w:tcPr>
          <w:p w:rsidR="00C42615" w:rsidRDefault="00C42615">
            <w:pPr>
              <w:jc w:val="center"/>
              <w:rPr>
                <w:rFonts w:ascii="Verdana" w:hAnsi="Verdana" w:cs="Calibri"/>
                <w:b/>
                <w:bCs/>
                <w:color w:val="000000"/>
                <w:sz w:val="20"/>
                <w:szCs w:val="20"/>
              </w:rPr>
            </w:pPr>
            <w:r>
              <w:rPr>
                <w:rFonts w:ascii="Verdana" w:hAnsi="Verdana" w:cs="Calibri"/>
                <w:b/>
                <w:bCs/>
                <w:color w:val="000000"/>
                <w:sz w:val="20"/>
                <w:szCs w:val="20"/>
              </w:rPr>
              <w:t> </w:t>
            </w:r>
          </w:p>
        </w:tc>
        <w:tc>
          <w:tcPr>
            <w:tcW w:w="1531" w:type="dxa"/>
            <w:tcBorders>
              <w:top w:val="single" w:sz="8" w:space="0" w:color="auto"/>
              <w:left w:val="nil"/>
              <w:bottom w:val="single" w:sz="8" w:space="0" w:color="auto"/>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 xml:space="preserve">Ingresados </w:t>
            </w:r>
          </w:p>
        </w:tc>
        <w:tc>
          <w:tcPr>
            <w:tcW w:w="1380" w:type="dxa"/>
            <w:tcBorders>
              <w:top w:val="single" w:sz="8" w:space="0" w:color="auto"/>
              <w:left w:val="nil"/>
              <w:bottom w:val="single" w:sz="8" w:space="0" w:color="auto"/>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Resueltos</w:t>
            </w:r>
          </w:p>
        </w:tc>
        <w:tc>
          <w:tcPr>
            <w:tcW w:w="1333" w:type="dxa"/>
            <w:tcBorders>
              <w:top w:val="single" w:sz="8" w:space="0" w:color="auto"/>
              <w:left w:val="nil"/>
              <w:bottom w:val="single" w:sz="8" w:space="0" w:color="auto"/>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En trámite al final del año</w:t>
            </w:r>
          </w:p>
        </w:tc>
      </w:tr>
      <w:tr w:rsidR="00C42615" w:rsidTr="00B17CAF">
        <w:trPr>
          <w:trHeight w:val="269"/>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Jdos. Instrucción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1.447.671</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1.475.343</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208.297</w:t>
            </w:r>
          </w:p>
        </w:tc>
      </w:tr>
      <w:tr w:rsidR="00C42615" w:rsidTr="00B17CAF">
        <w:trPr>
          <w:trHeight w:val="325"/>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Jdos. 1ª Inst. e Instrucción</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941.635</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942.329</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234.446</w:t>
            </w:r>
          </w:p>
        </w:tc>
      </w:tr>
      <w:tr w:rsidR="00C42615" w:rsidTr="00B17CAF">
        <w:trPr>
          <w:trHeight w:val="384"/>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Jdos. Violencia contra la Mujer</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206.244</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204.587</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34.744</w:t>
            </w:r>
          </w:p>
        </w:tc>
      </w:tr>
      <w:tr w:rsidR="00C42615" w:rsidTr="00B17CAF">
        <w:trPr>
          <w:trHeight w:val="186"/>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Jdos. de Menores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28.510</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27.933</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15.653</w:t>
            </w:r>
          </w:p>
        </w:tc>
      </w:tr>
      <w:tr w:rsidR="00C42615" w:rsidTr="00B17CAF">
        <w:trPr>
          <w:trHeight w:val="80"/>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Jdos. Vigilancia Penitenciaria</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240.344</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238.695</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39.741</w:t>
            </w:r>
          </w:p>
        </w:tc>
      </w:tr>
      <w:tr w:rsidR="00C42615" w:rsidTr="00B17CAF">
        <w:trPr>
          <w:trHeight w:val="152"/>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Jdos. de lo Penal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168.524</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183.297</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138.100</w:t>
            </w:r>
          </w:p>
        </w:tc>
      </w:tr>
      <w:tr w:rsidR="00C42615" w:rsidTr="00B17CAF">
        <w:trPr>
          <w:trHeight w:val="299"/>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A.P. Secciones Penales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159.967</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164.091</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26.171</w:t>
            </w:r>
          </w:p>
        </w:tc>
      </w:tr>
      <w:tr w:rsidR="00C42615" w:rsidTr="00B17CAF">
        <w:trPr>
          <w:trHeight w:val="221"/>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A.P. Secciones Mixtas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17.070</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16.959</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3.351</w:t>
            </w:r>
          </w:p>
        </w:tc>
      </w:tr>
      <w:tr w:rsidR="00C42615" w:rsidTr="00B17CAF">
        <w:trPr>
          <w:trHeight w:val="141"/>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T.S.J. Sala Civil y Penal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1282</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1133</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295</w:t>
            </w:r>
          </w:p>
        </w:tc>
      </w:tr>
      <w:tr w:rsidR="00C42615" w:rsidTr="00B17CAF">
        <w:trPr>
          <w:trHeight w:val="282"/>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Jdos Centrales Instrucción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2.167</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2.698</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1.048</w:t>
            </w:r>
          </w:p>
        </w:tc>
      </w:tr>
      <w:tr w:rsidR="00C42615" w:rsidTr="00B17CAF">
        <w:trPr>
          <w:trHeight w:val="299"/>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 Central de lo Penal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31</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77</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7</w:t>
            </w:r>
          </w:p>
        </w:tc>
      </w:tr>
      <w:tr w:rsidR="00C42615" w:rsidTr="00B17CAF">
        <w:trPr>
          <w:trHeight w:val="299"/>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lastRenderedPageBreak/>
              <w:t xml:space="preserve">Jdo. Central de Menores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26</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21</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21</w:t>
            </w:r>
          </w:p>
        </w:tc>
      </w:tr>
      <w:tr w:rsidR="00C42615" w:rsidTr="00B17CAF">
        <w:trPr>
          <w:trHeight w:val="523"/>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Jdo. Central  Vigil. Penitenciaria</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11.548</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11.549</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1147</w:t>
            </w:r>
          </w:p>
        </w:tc>
      </w:tr>
      <w:tr w:rsidR="00C42615" w:rsidTr="00B17CAF">
        <w:trPr>
          <w:trHeight w:val="195"/>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A.N. Sala Penal </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3.014</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2.923</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268</w:t>
            </w:r>
          </w:p>
        </w:tc>
      </w:tr>
      <w:tr w:rsidR="00C42615" w:rsidTr="00B17CAF">
        <w:trPr>
          <w:trHeight w:val="314"/>
        </w:trPr>
        <w:tc>
          <w:tcPr>
            <w:tcW w:w="3196"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Tribunal Supremo: Sala 2ª</w:t>
            </w:r>
          </w:p>
        </w:tc>
        <w:tc>
          <w:tcPr>
            <w:tcW w:w="1531"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4.645</w:t>
            </w:r>
          </w:p>
        </w:tc>
        <w:tc>
          <w:tcPr>
            <w:tcW w:w="1380"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4.222</w:t>
            </w:r>
          </w:p>
        </w:tc>
        <w:tc>
          <w:tcPr>
            <w:tcW w:w="1333" w:type="dxa"/>
            <w:tcBorders>
              <w:top w:val="nil"/>
              <w:left w:val="nil"/>
              <w:bottom w:val="nil"/>
              <w:right w:val="nil"/>
            </w:tcBorders>
            <w:shd w:val="clear" w:color="auto" w:fill="auto"/>
            <w:vAlign w:val="center"/>
            <w:hideMark/>
          </w:tcPr>
          <w:p w:rsidR="00C42615" w:rsidRDefault="00C42615">
            <w:pPr>
              <w:jc w:val="right"/>
              <w:rPr>
                <w:rFonts w:ascii="Verdana" w:hAnsi="Verdana" w:cs="Calibri"/>
                <w:sz w:val="20"/>
                <w:szCs w:val="20"/>
              </w:rPr>
            </w:pPr>
            <w:r>
              <w:rPr>
                <w:rFonts w:ascii="Verdana" w:hAnsi="Verdana" w:cs="Calibri"/>
                <w:sz w:val="20"/>
                <w:szCs w:val="20"/>
              </w:rPr>
              <w:t>2.165</w:t>
            </w:r>
          </w:p>
        </w:tc>
      </w:tr>
      <w:tr w:rsidR="00C42615" w:rsidTr="00B17CAF">
        <w:trPr>
          <w:trHeight w:val="314"/>
        </w:trPr>
        <w:tc>
          <w:tcPr>
            <w:tcW w:w="3196" w:type="dxa"/>
            <w:tcBorders>
              <w:top w:val="single" w:sz="8" w:space="0" w:color="auto"/>
              <w:left w:val="nil"/>
              <w:bottom w:val="single" w:sz="8" w:space="0" w:color="auto"/>
              <w:right w:val="nil"/>
            </w:tcBorders>
            <w:shd w:val="clear" w:color="auto" w:fill="auto"/>
            <w:vAlign w:val="center"/>
            <w:hideMark/>
          </w:tcPr>
          <w:p w:rsidR="00C42615" w:rsidRDefault="00C42615">
            <w:pPr>
              <w:rPr>
                <w:rFonts w:ascii="Verdana" w:hAnsi="Verdana" w:cs="Calibri"/>
                <w:b/>
                <w:bCs/>
                <w:color w:val="1F497D"/>
                <w:sz w:val="20"/>
                <w:szCs w:val="20"/>
              </w:rPr>
            </w:pPr>
            <w:r>
              <w:rPr>
                <w:rFonts w:ascii="Verdana" w:hAnsi="Verdana" w:cs="Calibri"/>
                <w:b/>
                <w:bCs/>
                <w:color w:val="1F497D"/>
                <w:sz w:val="20"/>
                <w:szCs w:val="20"/>
              </w:rPr>
              <w:t xml:space="preserve">TOTAL </w:t>
            </w:r>
          </w:p>
        </w:tc>
        <w:tc>
          <w:tcPr>
            <w:tcW w:w="1531" w:type="dxa"/>
            <w:tcBorders>
              <w:top w:val="single" w:sz="8" w:space="0" w:color="auto"/>
              <w:left w:val="nil"/>
              <w:bottom w:val="single" w:sz="8" w:space="0" w:color="auto"/>
              <w:right w:val="nil"/>
            </w:tcBorders>
            <w:shd w:val="clear" w:color="auto" w:fill="auto"/>
            <w:vAlign w:val="center"/>
            <w:hideMark/>
          </w:tcPr>
          <w:p w:rsidR="00C42615" w:rsidRDefault="00C42615">
            <w:pPr>
              <w:jc w:val="right"/>
              <w:rPr>
                <w:rFonts w:ascii="Verdana" w:hAnsi="Verdana" w:cs="Calibri"/>
                <w:b/>
                <w:bCs/>
                <w:color w:val="1F497D"/>
                <w:sz w:val="20"/>
                <w:szCs w:val="20"/>
              </w:rPr>
            </w:pPr>
            <w:r>
              <w:rPr>
                <w:rFonts w:ascii="Verdana" w:hAnsi="Verdana" w:cs="Calibri"/>
                <w:b/>
                <w:bCs/>
                <w:color w:val="1F497D"/>
                <w:sz w:val="20"/>
                <w:szCs w:val="20"/>
              </w:rPr>
              <w:t>3.232.678</w:t>
            </w:r>
          </w:p>
        </w:tc>
        <w:tc>
          <w:tcPr>
            <w:tcW w:w="1380" w:type="dxa"/>
            <w:tcBorders>
              <w:top w:val="single" w:sz="8" w:space="0" w:color="auto"/>
              <w:left w:val="nil"/>
              <w:bottom w:val="single" w:sz="8" w:space="0" w:color="auto"/>
              <w:right w:val="nil"/>
            </w:tcBorders>
            <w:shd w:val="clear" w:color="auto" w:fill="auto"/>
            <w:vAlign w:val="center"/>
            <w:hideMark/>
          </w:tcPr>
          <w:p w:rsidR="00C42615" w:rsidRDefault="00C42615">
            <w:pPr>
              <w:jc w:val="right"/>
              <w:rPr>
                <w:rFonts w:ascii="Verdana" w:hAnsi="Verdana" w:cs="Calibri"/>
                <w:b/>
                <w:bCs/>
                <w:color w:val="1F497D"/>
                <w:sz w:val="20"/>
                <w:szCs w:val="20"/>
              </w:rPr>
            </w:pPr>
            <w:r>
              <w:rPr>
                <w:rFonts w:ascii="Verdana" w:hAnsi="Verdana" w:cs="Calibri"/>
                <w:b/>
                <w:bCs/>
                <w:color w:val="1F497D"/>
                <w:sz w:val="20"/>
                <w:szCs w:val="20"/>
              </w:rPr>
              <w:t>3.275.857</w:t>
            </w:r>
          </w:p>
        </w:tc>
        <w:tc>
          <w:tcPr>
            <w:tcW w:w="1333" w:type="dxa"/>
            <w:tcBorders>
              <w:top w:val="single" w:sz="8" w:space="0" w:color="auto"/>
              <w:left w:val="nil"/>
              <w:bottom w:val="single" w:sz="8" w:space="0" w:color="auto"/>
              <w:right w:val="nil"/>
            </w:tcBorders>
            <w:shd w:val="clear" w:color="auto" w:fill="auto"/>
            <w:vAlign w:val="center"/>
            <w:hideMark/>
          </w:tcPr>
          <w:p w:rsidR="00C42615" w:rsidRDefault="00C42615">
            <w:pPr>
              <w:jc w:val="right"/>
              <w:rPr>
                <w:rFonts w:ascii="Verdana" w:hAnsi="Verdana" w:cs="Calibri"/>
                <w:b/>
                <w:bCs/>
                <w:color w:val="1F497D"/>
                <w:sz w:val="20"/>
                <w:szCs w:val="20"/>
              </w:rPr>
            </w:pPr>
            <w:r>
              <w:rPr>
                <w:rFonts w:ascii="Verdana" w:hAnsi="Verdana" w:cs="Calibri"/>
                <w:b/>
                <w:bCs/>
                <w:color w:val="1F497D"/>
                <w:sz w:val="20"/>
                <w:szCs w:val="20"/>
              </w:rPr>
              <w:t>705.454</w:t>
            </w:r>
          </w:p>
        </w:tc>
      </w:tr>
    </w:tbl>
    <w:p w:rsidR="001C4E2F" w:rsidRDefault="001C4E2F" w:rsidP="00433902">
      <w:pPr>
        <w:spacing w:before="120" w:after="120"/>
        <w:ind w:firstLine="357"/>
        <w:jc w:val="both"/>
        <w:rPr>
          <w:rFonts w:ascii="Verdana" w:hAnsi="Verdana" w:cs="Arial"/>
          <w:sz w:val="20"/>
          <w:highlight w:val="yellow"/>
        </w:rPr>
      </w:pPr>
    </w:p>
    <w:p w:rsidR="00433902" w:rsidRPr="007A6EA4" w:rsidRDefault="00433902" w:rsidP="00433902">
      <w:pPr>
        <w:spacing w:before="120" w:after="120"/>
        <w:ind w:firstLine="357"/>
        <w:jc w:val="both"/>
        <w:rPr>
          <w:rFonts w:ascii="Verdana" w:hAnsi="Verdana" w:cs="Arial"/>
          <w:sz w:val="20"/>
        </w:rPr>
      </w:pPr>
      <w:r w:rsidRPr="00B17CAF">
        <w:rPr>
          <w:rFonts w:ascii="Verdana" w:hAnsi="Verdana" w:cs="Arial"/>
          <w:sz w:val="20"/>
        </w:rPr>
        <w:t>La evolución respecto a 201</w:t>
      </w:r>
      <w:r w:rsidR="001C4E2F" w:rsidRPr="00B17CAF">
        <w:rPr>
          <w:rFonts w:ascii="Verdana" w:hAnsi="Verdana" w:cs="Arial"/>
          <w:sz w:val="20"/>
        </w:rPr>
        <w:t>6</w:t>
      </w:r>
      <w:r w:rsidRPr="00B17CAF">
        <w:rPr>
          <w:rFonts w:ascii="Verdana" w:hAnsi="Verdana" w:cs="Arial"/>
          <w:sz w:val="20"/>
        </w:rPr>
        <w:t xml:space="preserve"> ha sido (considerando conjuntamente los órganos de competencia mixta civil y penal):</w:t>
      </w:r>
      <w:r w:rsidRPr="007A6EA4">
        <w:rPr>
          <w:rFonts w:ascii="Verdana" w:hAnsi="Verdana" w:cs="Arial"/>
          <w:sz w:val="20"/>
        </w:rPr>
        <w:t xml:space="preserve"> </w:t>
      </w:r>
    </w:p>
    <w:tbl>
      <w:tblPr>
        <w:tblW w:w="6660" w:type="dxa"/>
        <w:tblInd w:w="55" w:type="dxa"/>
        <w:tblCellMar>
          <w:left w:w="70" w:type="dxa"/>
          <w:right w:w="70" w:type="dxa"/>
        </w:tblCellMar>
        <w:tblLook w:val="04A0" w:firstRow="1" w:lastRow="0" w:firstColumn="1" w:lastColumn="0" w:noHBand="0" w:noVBand="1"/>
      </w:tblPr>
      <w:tblGrid>
        <w:gridCol w:w="2700"/>
        <w:gridCol w:w="1412"/>
        <w:gridCol w:w="1239"/>
        <w:gridCol w:w="1309"/>
      </w:tblGrid>
      <w:tr w:rsidR="00C42615" w:rsidTr="00C42615">
        <w:trPr>
          <w:trHeight w:val="1035"/>
        </w:trPr>
        <w:tc>
          <w:tcPr>
            <w:tcW w:w="2740" w:type="dxa"/>
            <w:tcBorders>
              <w:top w:val="nil"/>
              <w:left w:val="nil"/>
              <w:bottom w:val="single" w:sz="8" w:space="0" w:color="0F243E"/>
              <w:right w:val="nil"/>
            </w:tcBorders>
            <w:shd w:val="clear" w:color="auto" w:fill="auto"/>
            <w:vAlign w:val="center"/>
            <w:hideMark/>
          </w:tcPr>
          <w:p w:rsidR="00C42615" w:rsidRDefault="00C42615">
            <w:pPr>
              <w:rPr>
                <w:color w:val="000000"/>
              </w:rPr>
            </w:pPr>
            <w:r>
              <w:rPr>
                <w:color w:val="000000"/>
              </w:rPr>
              <w:t> </w:t>
            </w:r>
          </w:p>
        </w:tc>
        <w:tc>
          <w:tcPr>
            <w:tcW w:w="1400" w:type="dxa"/>
            <w:tcBorders>
              <w:top w:val="single" w:sz="8" w:space="0" w:color="000080"/>
              <w:left w:val="nil"/>
              <w:bottom w:val="nil"/>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 xml:space="preserve">Ingresados </w:t>
            </w:r>
          </w:p>
        </w:tc>
        <w:tc>
          <w:tcPr>
            <w:tcW w:w="1200" w:type="dxa"/>
            <w:tcBorders>
              <w:top w:val="single" w:sz="8" w:space="0" w:color="000080"/>
              <w:left w:val="nil"/>
              <w:bottom w:val="nil"/>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Resueltos</w:t>
            </w:r>
          </w:p>
        </w:tc>
        <w:tc>
          <w:tcPr>
            <w:tcW w:w="1320" w:type="dxa"/>
            <w:tcBorders>
              <w:top w:val="single" w:sz="8" w:space="0" w:color="000080"/>
              <w:left w:val="nil"/>
              <w:bottom w:val="nil"/>
              <w:right w:val="nil"/>
            </w:tcBorders>
            <w:shd w:val="clear" w:color="auto" w:fill="auto"/>
            <w:vAlign w:val="center"/>
            <w:hideMark/>
          </w:tcPr>
          <w:p w:rsidR="00C42615" w:rsidRDefault="00C42615">
            <w:pPr>
              <w:jc w:val="center"/>
              <w:rPr>
                <w:rFonts w:ascii="Verdana" w:hAnsi="Verdana" w:cs="Calibri"/>
                <w:b/>
                <w:bCs/>
                <w:color w:val="000080"/>
                <w:sz w:val="20"/>
                <w:szCs w:val="20"/>
              </w:rPr>
            </w:pPr>
            <w:r>
              <w:rPr>
                <w:rFonts w:ascii="Verdana" w:hAnsi="Verdana" w:cs="Calibri"/>
                <w:b/>
                <w:bCs/>
                <w:color w:val="000080"/>
                <w:sz w:val="20"/>
                <w:szCs w:val="20"/>
              </w:rPr>
              <w:t>En trámite al final del año</w:t>
            </w:r>
          </w:p>
        </w:tc>
      </w:tr>
      <w:tr w:rsidR="00C42615" w:rsidTr="00C42615">
        <w:trPr>
          <w:trHeight w:val="510"/>
        </w:trPr>
        <w:tc>
          <w:tcPr>
            <w:tcW w:w="2740"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Jdos. Instrucción y 1ª Inst. e Instrucción</w:t>
            </w:r>
          </w:p>
        </w:tc>
        <w:tc>
          <w:tcPr>
            <w:tcW w:w="1400" w:type="dxa"/>
            <w:tcBorders>
              <w:top w:val="single" w:sz="8" w:space="0" w:color="auto"/>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-5,4%</w:t>
            </w:r>
          </w:p>
        </w:tc>
        <w:tc>
          <w:tcPr>
            <w:tcW w:w="1200" w:type="dxa"/>
            <w:tcBorders>
              <w:top w:val="single" w:sz="8" w:space="0" w:color="auto"/>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-8,0%</w:t>
            </w:r>
          </w:p>
        </w:tc>
        <w:tc>
          <w:tcPr>
            <w:tcW w:w="1320" w:type="dxa"/>
            <w:tcBorders>
              <w:top w:val="single" w:sz="8" w:space="0" w:color="auto"/>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-3,8%</w:t>
            </w:r>
          </w:p>
        </w:tc>
      </w:tr>
      <w:tr w:rsidR="00C42615" w:rsidTr="00C42615">
        <w:trPr>
          <w:trHeight w:val="45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18"/>
                <w:szCs w:val="18"/>
              </w:rPr>
            </w:pPr>
            <w:r>
              <w:rPr>
                <w:rFonts w:ascii="Verdana" w:hAnsi="Verdana" w:cs="Calibri"/>
                <w:color w:val="000000"/>
                <w:sz w:val="18"/>
                <w:szCs w:val="18"/>
              </w:rPr>
              <w:t>Jdos. Violencia contra la Mujer</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4,2%</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4,4%</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5,6%</w:t>
            </w:r>
          </w:p>
        </w:tc>
      </w:tr>
      <w:tr w:rsidR="00C42615" w:rsidTr="00B17CAF">
        <w:trPr>
          <w:trHeight w:val="325"/>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Jdos. de Menores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3,7%</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3,5%</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9,2%</w:t>
            </w:r>
          </w:p>
        </w:tc>
      </w:tr>
      <w:tr w:rsidR="00C42615" w:rsidTr="00C42615">
        <w:trPr>
          <w:trHeight w:val="510"/>
        </w:trPr>
        <w:tc>
          <w:tcPr>
            <w:tcW w:w="2740" w:type="dxa"/>
            <w:tcBorders>
              <w:top w:val="nil"/>
              <w:left w:val="nil"/>
              <w:bottom w:val="nil"/>
              <w:right w:val="nil"/>
            </w:tcBorders>
            <w:shd w:val="clear" w:color="auto" w:fill="auto"/>
            <w:vAlign w:val="center"/>
            <w:hideMark/>
          </w:tcPr>
          <w:p w:rsidR="00C42615" w:rsidRDefault="00C42615">
            <w:pPr>
              <w:rPr>
                <w:rFonts w:ascii="Verdana" w:hAnsi="Verdana" w:cs="Calibri"/>
                <w:color w:val="000000"/>
                <w:sz w:val="20"/>
                <w:szCs w:val="20"/>
              </w:rPr>
            </w:pPr>
            <w:r>
              <w:rPr>
                <w:rFonts w:ascii="Verdana" w:hAnsi="Verdana" w:cs="Calibri"/>
                <w:color w:val="000000"/>
                <w:sz w:val="20"/>
                <w:szCs w:val="20"/>
              </w:rPr>
              <w:t xml:space="preserve">Jdos. Vigilancia Penitenciaria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-3,8%</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-4,1%</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7,1%</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Jdos. de lo Penal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2,5%</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-0,9%</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-3,0%</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Audiencias provinciales</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-1,1%</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-1,4%</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-4,6%</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T.S.J. Sala Civil y Penal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35,7%</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20,7%</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106,3%</w:t>
            </w:r>
          </w:p>
        </w:tc>
      </w:tr>
      <w:tr w:rsidR="00C42615" w:rsidTr="00C42615">
        <w:trPr>
          <w:trHeight w:val="51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Jdos. Centrales Instrucción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-17,9%</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1,2%</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-20,6%</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Jdos Centrales de lo Penal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-11,4%</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208,0%</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-85,7%</w:t>
            </w:r>
          </w:p>
        </w:tc>
      </w:tr>
      <w:tr w:rsidR="00C42615" w:rsidTr="00C42615">
        <w:trPr>
          <w:trHeight w:val="51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Jdos Centrales de Menores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44,4%</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90,9%</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31,3%</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Jdo Central de Vigilancia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20,0%</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25,9%</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-0,1%</w:t>
            </w:r>
          </w:p>
        </w:tc>
      </w:tr>
      <w:tr w:rsidR="00C42615" w:rsidTr="00C42615">
        <w:trPr>
          <w:trHeight w:val="300"/>
        </w:trPr>
        <w:tc>
          <w:tcPr>
            <w:tcW w:w="2740" w:type="dxa"/>
            <w:tcBorders>
              <w:top w:val="nil"/>
              <w:left w:val="nil"/>
              <w:bottom w:val="nil"/>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 xml:space="preserve">A.N. Sala Penal            </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2,4%</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-4,7%</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51,4%</w:t>
            </w:r>
          </w:p>
        </w:tc>
      </w:tr>
      <w:tr w:rsidR="00C42615" w:rsidTr="00C42615">
        <w:trPr>
          <w:trHeight w:val="525"/>
        </w:trPr>
        <w:tc>
          <w:tcPr>
            <w:tcW w:w="2740" w:type="dxa"/>
            <w:tcBorders>
              <w:top w:val="nil"/>
              <w:left w:val="nil"/>
              <w:bottom w:val="single" w:sz="8" w:space="0" w:color="000080"/>
              <w:right w:val="nil"/>
            </w:tcBorders>
            <w:shd w:val="clear" w:color="auto" w:fill="auto"/>
            <w:vAlign w:val="center"/>
            <w:hideMark/>
          </w:tcPr>
          <w:p w:rsidR="00C42615" w:rsidRDefault="00C42615">
            <w:pPr>
              <w:jc w:val="both"/>
              <w:rPr>
                <w:rFonts w:ascii="Verdana" w:hAnsi="Verdana" w:cs="Calibri"/>
                <w:color w:val="000000"/>
                <w:sz w:val="20"/>
                <w:szCs w:val="20"/>
              </w:rPr>
            </w:pPr>
            <w:r>
              <w:rPr>
                <w:rFonts w:ascii="Verdana" w:hAnsi="Verdana" w:cs="Calibri"/>
                <w:color w:val="000000"/>
                <w:sz w:val="20"/>
                <w:szCs w:val="20"/>
              </w:rPr>
              <w:t>Tribunal Supremo: Sala 2ª</w:t>
            </w:r>
          </w:p>
        </w:tc>
        <w:tc>
          <w:tcPr>
            <w:tcW w:w="14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15,2%</w:t>
            </w:r>
          </w:p>
        </w:tc>
        <w:tc>
          <w:tcPr>
            <w:tcW w:w="120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4,3%</w:t>
            </w:r>
          </w:p>
        </w:tc>
        <w:tc>
          <w:tcPr>
            <w:tcW w:w="1320" w:type="dxa"/>
            <w:tcBorders>
              <w:top w:val="nil"/>
              <w:left w:val="nil"/>
              <w:bottom w:val="nil"/>
              <w:right w:val="nil"/>
            </w:tcBorders>
            <w:shd w:val="clear" w:color="auto" w:fill="auto"/>
            <w:vAlign w:val="center"/>
            <w:hideMark/>
          </w:tcPr>
          <w:p w:rsidR="00C42615" w:rsidRDefault="00C42615">
            <w:pPr>
              <w:jc w:val="right"/>
              <w:rPr>
                <w:rFonts w:ascii="Verdana" w:hAnsi="Verdana" w:cs="Calibri"/>
                <w:color w:val="000000"/>
                <w:sz w:val="20"/>
                <w:szCs w:val="20"/>
              </w:rPr>
            </w:pPr>
            <w:r>
              <w:rPr>
                <w:rFonts w:ascii="Verdana" w:hAnsi="Verdana" w:cs="Calibri"/>
                <w:color w:val="000000"/>
                <w:sz w:val="20"/>
                <w:szCs w:val="20"/>
              </w:rPr>
              <w:t>24,3%</w:t>
            </w:r>
          </w:p>
        </w:tc>
      </w:tr>
      <w:tr w:rsidR="00C42615" w:rsidTr="00C42615">
        <w:trPr>
          <w:trHeight w:val="315"/>
        </w:trPr>
        <w:tc>
          <w:tcPr>
            <w:tcW w:w="2740" w:type="dxa"/>
            <w:tcBorders>
              <w:top w:val="nil"/>
              <w:left w:val="nil"/>
              <w:bottom w:val="single" w:sz="8" w:space="0" w:color="000080"/>
              <w:right w:val="nil"/>
            </w:tcBorders>
            <w:shd w:val="clear" w:color="auto" w:fill="auto"/>
            <w:vAlign w:val="center"/>
            <w:hideMark/>
          </w:tcPr>
          <w:p w:rsidR="00C42615" w:rsidRDefault="00C42615">
            <w:pPr>
              <w:rPr>
                <w:rFonts w:ascii="Verdana" w:hAnsi="Verdana" w:cs="Calibri"/>
                <w:b/>
                <w:bCs/>
                <w:color w:val="000080"/>
                <w:sz w:val="20"/>
                <w:szCs w:val="20"/>
              </w:rPr>
            </w:pPr>
            <w:r>
              <w:rPr>
                <w:rFonts w:ascii="Verdana" w:hAnsi="Verdana" w:cs="Calibri"/>
                <w:b/>
                <w:bCs/>
                <w:color w:val="000080"/>
                <w:sz w:val="20"/>
                <w:szCs w:val="20"/>
              </w:rPr>
              <w:t>Total</w:t>
            </w:r>
          </w:p>
        </w:tc>
        <w:tc>
          <w:tcPr>
            <w:tcW w:w="1400" w:type="dxa"/>
            <w:tcBorders>
              <w:top w:val="single" w:sz="8" w:space="0" w:color="000080"/>
              <w:left w:val="nil"/>
              <w:bottom w:val="single" w:sz="8" w:space="0" w:color="000080"/>
              <w:right w:val="nil"/>
            </w:tcBorders>
            <w:shd w:val="clear" w:color="auto" w:fill="auto"/>
            <w:vAlign w:val="center"/>
            <w:hideMark/>
          </w:tcPr>
          <w:p w:rsidR="00C42615" w:rsidRDefault="00C42615">
            <w:pPr>
              <w:jc w:val="right"/>
              <w:rPr>
                <w:rFonts w:ascii="Verdana" w:hAnsi="Verdana" w:cs="Calibri"/>
                <w:b/>
                <w:bCs/>
                <w:color w:val="000000"/>
                <w:sz w:val="20"/>
                <w:szCs w:val="20"/>
              </w:rPr>
            </w:pPr>
            <w:r>
              <w:rPr>
                <w:rFonts w:ascii="Verdana" w:hAnsi="Verdana" w:cs="Calibri"/>
                <w:b/>
                <w:bCs/>
                <w:color w:val="000000"/>
                <w:sz w:val="20"/>
                <w:szCs w:val="20"/>
              </w:rPr>
              <w:t>-4,0%</w:t>
            </w:r>
          </w:p>
        </w:tc>
        <w:tc>
          <w:tcPr>
            <w:tcW w:w="1200" w:type="dxa"/>
            <w:tcBorders>
              <w:top w:val="single" w:sz="8" w:space="0" w:color="000080"/>
              <w:left w:val="nil"/>
              <w:bottom w:val="single" w:sz="8" w:space="0" w:color="000080"/>
              <w:right w:val="nil"/>
            </w:tcBorders>
            <w:shd w:val="clear" w:color="auto" w:fill="auto"/>
            <w:vAlign w:val="center"/>
            <w:hideMark/>
          </w:tcPr>
          <w:p w:rsidR="00C42615" w:rsidRDefault="00C42615">
            <w:pPr>
              <w:jc w:val="right"/>
              <w:rPr>
                <w:rFonts w:ascii="Verdana" w:hAnsi="Verdana" w:cs="Calibri"/>
                <w:b/>
                <w:bCs/>
                <w:color w:val="000000"/>
                <w:sz w:val="20"/>
                <w:szCs w:val="20"/>
              </w:rPr>
            </w:pPr>
            <w:r>
              <w:rPr>
                <w:rFonts w:ascii="Verdana" w:hAnsi="Verdana" w:cs="Calibri"/>
                <w:b/>
                <w:bCs/>
                <w:color w:val="000000"/>
                <w:sz w:val="20"/>
                <w:szCs w:val="20"/>
              </w:rPr>
              <w:t>-6,1%</w:t>
            </w:r>
          </w:p>
        </w:tc>
        <w:tc>
          <w:tcPr>
            <w:tcW w:w="1320" w:type="dxa"/>
            <w:tcBorders>
              <w:top w:val="single" w:sz="8" w:space="0" w:color="000080"/>
              <w:left w:val="nil"/>
              <w:bottom w:val="single" w:sz="8" w:space="0" w:color="000080"/>
              <w:right w:val="nil"/>
            </w:tcBorders>
            <w:shd w:val="clear" w:color="auto" w:fill="auto"/>
            <w:vAlign w:val="center"/>
            <w:hideMark/>
          </w:tcPr>
          <w:p w:rsidR="00C42615" w:rsidRDefault="00C42615">
            <w:pPr>
              <w:jc w:val="right"/>
              <w:rPr>
                <w:rFonts w:ascii="Verdana" w:hAnsi="Verdana" w:cs="Calibri"/>
                <w:b/>
                <w:bCs/>
                <w:color w:val="000000"/>
                <w:sz w:val="20"/>
                <w:szCs w:val="20"/>
              </w:rPr>
            </w:pPr>
            <w:r>
              <w:rPr>
                <w:rFonts w:ascii="Verdana" w:hAnsi="Verdana" w:cs="Calibri"/>
                <w:b/>
                <w:bCs/>
                <w:color w:val="000000"/>
                <w:sz w:val="20"/>
                <w:szCs w:val="20"/>
              </w:rPr>
              <w:t>-2,4%</w:t>
            </w:r>
          </w:p>
        </w:tc>
      </w:tr>
    </w:tbl>
    <w:p w:rsidR="00433902" w:rsidRDefault="00433902" w:rsidP="00433902">
      <w:pPr>
        <w:spacing w:before="120" w:after="120"/>
        <w:ind w:firstLine="357"/>
        <w:jc w:val="both"/>
        <w:rPr>
          <w:rFonts w:ascii="Verdana" w:hAnsi="Verdana" w:cs="Arial"/>
          <w:sz w:val="20"/>
        </w:rPr>
      </w:pPr>
    </w:p>
    <w:p w:rsidR="00A6618A" w:rsidRPr="00B17CAF" w:rsidRDefault="00A6618A" w:rsidP="00A6618A">
      <w:pPr>
        <w:spacing w:before="120" w:after="120"/>
        <w:ind w:firstLine="357"/>
        <w:jc w:val="both"/>
        <w:rPr>
          <w:rFonts w:ascii="Verdana" w:hAnsi="Verdana" w:cs="Arial"/>
          <w:sz w:val="20"/>
        </w:rPr>
      </w:pPr>
      <w:r w:rsidRPr="00B17CAF">
        <w:rPr>
          <w:rFonts w:ascii="Verdana" w:hAnsi="Verdana" w:cs="Arial"/>
          <w:sz w:val="20"/>
        </w:rPr>
        <w:t>Con carácter general, continúan descendiendo todos los indicadores de esta jurisdicción, aunque se trata de descensos mucho más moderados, y esto se debe a que los efectos de las reformas penales de 2015 continúan estando presentes en el funcionamiento de los juzgados de instrucción, y de primera instancia e instrucción, si bien tendiendo a estabilizarse. Por otro lado, resulta llamativo el aumento de todos los indicadores del orden penal en las salas civiles y penales de los tribunales superiores de justicia (37,5% en el ingreso, 20,7% en la resolución y 106,3% en la pendencia al final de la anualidad); este fenómeno se debe a la generalización del recurso de apelación en el orden penal operado por entrada en vigor de la Ley 41/2015, de 5 de octubre, y que ha supuesto una nueva competencia para estos órganos, cual es el recurso de apelación contra las sentencias dictadas por las audiencias provinciales en procedimientos abreviados y en sumarios.</w:t>
      </w:r>
    </w:p>
    <w:p w:rsidR="00A6618A" w:rsidRPr="00B17CAF" w:rsidRDefault="00A6618A" w:rsidP="00433902">
      <w:pPr>
        <w:spacing w:before="120" w:after="120"/>
        <w:ind w:firstLine="357"/>
        <w:jc w:val="both"/>
        <w:rPr>
          <w:rFonts w:ascii="Verdana" w:hAnsi="Verdana" w:cs="Arial"/>
          <w:sz w:val="20"/>
        </w:rPr>
      </w:pPr>
    </w:p>
    <w:p w:rsidR="00433902" w:rsidRPr="00B17CAF" w:rsidRDefault="00433902" w:rsidP="00433902">
      <w:pPr>
        <w:jc w:val="both"/>
        <w:rPr>
          <w:rFonts w:ascii="Verdana" w:hAnsi="Verdana" w:cs="Calibri"/>
          <w:b/>
          <w:bCs/>
          <w:color w:val="000000"/>
          <w:sz w:val="16"/>
          <w:szCs w:val="16"/>
        </w:rPr>
      </w:pPr>
    </w:p>
    <w:p w:rsidR="00433902" w:rsidRPr="007A6EA4" w:rsidRDefault="00433902" w:rsidP="00433902">
      <w:pPr>
        <w:ind w:firstLine="357"/>
        <w:jc w:val="both"/>
        <w:rPr>
          <w:rFonts w:ascii="Verdana" w:hAnsi="Verdana"/>
          <w:sz w:val="20"/>
        </w:rPr>
      </w:pPr>
      <w:r w:rsidRPr="00B17CAF">
        <w:rPr>
          <w:rFonts w:ascii="Calibri" w:hAnsi="Calibri" w:cs="Calibri"/>
          <w:color w:val="000000"/>
        </w:rPr>
        <w:t xml:space="preserve"> </w:t>
      </w:r>
      <w:r w:rsidRPr="00B17CAF">
        <w:rPr>
          <w:rFonts w:ascii="Verdana" w:hAnsi="Verdana"/>
          <w:sz w:val="20"/>
        </w:rPr>
        <w:t xml:space="preserve">La actividad penal de los </w:t>
      </w:r>
      <w:r w:rsidRPr="00B17CAF">
        <w:rPr>
          <w:rFonts w:ascii="Verdana" w:hAnsi="Verdana"/>
          <w:b/>
          <w:sz w:val="20"/>
        </w:rPr>
        <w:t>juzgados de violencia contra la mujer</w:t>
      </w:r>
      <w:r w:rsidR="003E704A" w:rsidRPr="00B17CAF">
        <w:rPr>
          <w:rFonts w:ascii="Verdana" w:hAnsi="Verdana"/>
          <w:sz w:val="20"/>
        </w:rPr>
        <w:t xml:space="preserve"> en 2017</w:t>
      </w:r>
      <w:r w:rsidRPr="00B17CAF">
        <w:rPr>
          <w:rFonts w:ascii="Verdana" w:hAnsi="Verdana"/>
          <w:sz w:val="20"/>
        </w:rPr>
        <w:t xml:space="preserve"> queda resumida por el siguiente cuadro:</w:t>
      </w:r>
    </w:p>
    <w:tbl>
      <w:tblPr>
        <w:tblW w:w="10240" w:type="dxa"/>
        <w:jc w:val="center"/>
        <w:tblInd w:w="55" w:type="dxa"/>
        <w:tblCellMar>
          <w:left w:w="70" w:type="dxa"/>
          <w:right w:w="70" w:type="dxa"/>
        </w:tblCellMar>
        <w:tblLook w:val="04A0" w:firstRow="1" w:lastRow="0" w:firstColumn="1" w:lastColumn="0" w:noHBand="0" w:noVBand="1"/>
      </w:tblPr>
      <w:tblGrid>
        <w:gridCol w:w="3029"/>
        <w:gridCol w:w="1695"/>
        <w:gridCol w:w="1538"/>
        <w:gridCol w:w="1351"/>
        <w:gridCol w:w="1239"/>
        <w:gridCol w:w="1388"/>
      </w:tblGrid>
      <w:tr w:rsidR="003E704A" w:rsidTr="003E704A">
        <w:trPr>
          <w:trHeight w:val="1545"/>
          <w:jc w:val="center"/>
        </w:trPr>
        <w:tc>
          <w:tcPr>
            <w:tcW w:w="3220" w:type="dxa"/>
            <w:tcBorders>
              <w:top w:val="nil"/>
              <w:left w:val="nil"/>
              <w:bottom w:val="nil"/>
              <w:right w:val="nil"/>
            </w:tcBorders>
            <w:shd w:val="clear" w:color="auto" w:fill="auto"/>
            <w:vAlign w:val="center"/>
            <w:hideMark/>
          </w:tcPr>
          <w:p w:rsidR="003E704A" w:rsidRDefault="003E704A">
            <w:pPr>
              <w:rPr>
                <w:color w:val="000000"/>
                <w:sz w:val="20"/>
                <w:szCs w:val="20"/>
              </w:rPr>
            </w:pPr>
          </w:p>
        </w:tc>
        <w:tc>
          <w:tcPr>
            <w:tcW w:w="1700" w:type="dxa"/>
            <w:tcBorders>
              <w:top w:val="single" w:sz="8" w:space="0" w:color="auto"/>
              <w:left w:val="nil"/>
              <w:bottom w:val="single" w:sz="8" w:space="0" w:color="auto"/>
              <w:right w:val="nil"/>
            </w:tcBorders>
            <w:shd w:val="clear" w:color="auto" w:fill="auto"/>
            <w:vAlign w:val="center"/>
            <w:hideMark/>
          </w:tcPr>
          <w:p w:rsidR="003E704A" w:rsidRDefault="003E704A">
            <w:pPr>
              <w:jc w:val="center"/>
              <w:rPr>
                <w:rFonts w:ascii="Verdana" w:hAnsi="Verdana" w:cs="Calibri"/>
                <w:b/>
                <w:bCs/>
                <w:color w:val="000080"/>
                <w:sz w:val="20"/>
                <w:szCs w:val="20"/>
              </w:rPr>
            </w:pPr>
            <w:r>
              <w:rPr>
                <w:rFonts w:ascii="Verdana" w:hAnsi="Verdana" w:cs="Calibri"/>
                <w:b/>
                <w:bCs/>
                <w:color w:val="000080"/>
                <w:sz w:val="20"/>
                <w:szCs w:val="20"/>
              </w:rPr>
              <w:t>Ingresados Directamente</w:t>
            </w:r>
          </w:p>
        </w:tc>
        <w:tc>
          <w:tcPr>
            <w:tcW w:w="1540" w:type="dxa"/>
            <w:tcBorders>
              <w:top w:val="single" w:sz="8" w:space="0" w:color="auto"/>
              <w:left w:val="nil"/>
              <w:bottom w:val="single" w:sz="8" w:space="0" w:color="auto"/>
              <w:right w:val="nil"/>
            </w:tcBorders>
            <w:shd w:val="clear" w:color="auto" w:fill="auto"/>
            <w:vAlign w:val="center"/>
            <w:hideMark/>
          </w:tcPr>
          <w:p w:rsidR="003E704A" w:rsidRDefault="003E704A">
            <w:pPr>
              <w:jc w:val="center"/>
              <w:rPr>
                <w:rFonts w:ascii="Verdana" w:hAnsi="Verdana" w:cs="Calibri"/>
                <w:b/>
                <w:bCs/>
                <w:color w:val="000080"/>
                <w:sz w:val="20"/>
                <w:szCs w:val="20"/>
              </w:rPr>
            </w:pPr>
            <w:r>
              <w:rPr>
                <w:rFonts w:ascii="Verdana" w:hAnsi="Verdana" w:cs="Calibri"/>
                <w:b/>
                <w:bCs/>
                <w:color w:val="000080"/>
                <w:sz w:val="20"/>
                <w:szCs w:val="20"/>
              </w:rPr>
              <w:t>Ingresados procedentes de otros órganos</w:t>
            </w:r>
          </w:p>
        </w:tc>
        <w:tc>
          <w:tcPr>
            <w:tcW w:w="1300" w:type="dxa"/>
            <w:tcBorders>
              <w:top w:val="single" w:sz="8" w:space="0" w:color="auto"/>
              <w:left w:val="nil"/>
              <w:bottom w:val="single" w:sz="8" w:space="0" w:color="auto"/>
              <w:right w:val="nil"/>
            </w:tcBorders>
            <w:shd w:val="clear" w:color="auto" w:fill="auto"/>
            <w:vAlign w:val="center"/>
            <w:hideMark/>
          </w:tcPr>
          <w:p w:rsidR="003E704A" w:rsidRDefault="003E704A">
            <w:pPr>
              <w:jc w:val="center"/>
              <w:rPr>
                <w:rFonts w:ascii="Verdana" w:hAnsi="Verdana" w:cs="Calibri"/>
                <w:b/>
                <w:bCs/>
                <w:color w:val="000080"/>
                <w:sz w:val="20"/>
                <w:szCs w:val="20"/>
              </w:rPr>
            </w:pPr>
            <w:r>
              <w:rPr>
                <w:rFonts w:ascii="Verdana" w:hAnsi="Verdana" w:cs="Calibri"/>
                <w:b/>
                <w:bCs/>
                <w:color w:val="000080"/>
                <w:sz w:val="20"/>
                <w:szCs w:val="20"/>
              </w:rPr>
              <w:t>Reabiertos</w:t>
            </w:r>
          </w:p>
        </w:tc>
        <w:tc>
          <w:tcPr>
            <w:tcW w:w="1200" w:type="dxa"/>
            <w:tcBorders>
              <w:top w:val="single" w:sz="8" w:space="0" w:color="auto"/>
              <w:left w:val="nil"/>
              <w:bottom w:val="single" w:sz="8" w:space="0" w:color="auto"/>
              <w:right w:val="nil"/>
            </w:tcBorders>
            <w:shd w:val="clear" w:color="auto" w:fill="auto"/>
            <w:vAlign w:val="center"/>
            <w:hideMark/>
          </w:tcPr>
          <w:p w:rsidR="003E704A" w:rsidRDefault="003E704A">
            <w:pPr>
              <w:jc w:val="center"/>
              <w:rPr>
                <w:rFonts w:ascii="Verdana" w:hAnsi="Verdana" w:cs="Calibri"/>
                <w:b/>
                <w:bCs/>
                <w:color w:val="000080"/>
                <w:sz w:val="20"/>
                <w:szCs w:val="20"/>
              </w:rPr>
            </w:pPr>
            <w:r>
              <w:rPr>
                <w:rFonts w:ascii="Verdana" w:hAnsi="Verdana" w:cs="Calibri"/>
                <w:b/>
                <w:bCs/>
                <w:color w:val="000080"/>
                <w:sz w:val="20"/>
                <w:szCs w:val="20"/>
              </w:rPr>
              <w:t>Resueltos</w:t>
            </w:r>
          </w:p>
        </w:tc>
        <w:tc>
          <w:tcPr>
            <w:tcW w:w="1280" w:type="dxa"/>
            <w:tcBorders>
              <w:top w:val="single" w:sz="8" w:space="0" w:color="auto"/>
              <w:left w:val="nil"/>
              <w:bottom w:val="single" w:sz="8" w:space="0" w:color="auto"/>
              <w:right w:val="nil"/>
            </w:tcBorders>
            <w:shd w:val="clear" w:color="auto" w:fill="auto"/>
            <w:vAlign w:val="center"/>
            <w:hideMark/>
          </w:tcPr>
          <w:p w:rsidR="003E704A" w:rsidRDefault="003E704A">
            <w:pPr>
              <w:jc w:val="center"/>
              <w:rPr>
                <w:rFonts w:ascii="Verdana" w:hAnsi="Verdana" w:cs="Calibri"/>
                <w:b/>
                <w:bCs/>
                <w:color w:val="000080"/>
                <w:sz w:val="20"/>
                <w:szCs w:val="20"/>
              </w:rPr>
            </w:pPr>
            <w:r>
              <w:rPr>
                <w:rFonts w:ascii="Verdana" w:hAnsi="Verdana" w:cs="Calibri"/>
                <w:b/>
                <w:bCs/>
                <w:color w:val="000080"/>
                <w:sz w:val="20"/>
                <w:szCs w:val="20"/>
              </w:rPr>
              <w:t>Pendientes al finalizar</w:t>
            </w:r>
          </w:p>
        </w:tc>
      </w:tr>
      <w:tr w:rsidR="003E704A" w:rsidTr="003E704A">
        <w:trPr>
          <w:trHeight w:val="300"/>
          <w:jc w:val="center"/>
        </w:trPr>
        <w:tc>
          <w:tcPr>
            <w:tcW w:w="3220" w:type="dxa"/>
            <w:tcBorders>
              <w:top w:val="single" w:sz="8" w:space="0" w:color="auto"/>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Diligencias Urgentes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53.787</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5.808</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47</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59.633</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239</w:t>
            </w:r>
          </w:p>
        </w:tc>
      </w:tr>
      <w:tr w:rsidR="003E704A" w:rsidTr="003E704A">
        <w:trPr>
          <w:trHeight w:val="300"/>
          <w:jc w:val="center"/>
        </w:trPr>
        <w:tc>
          <w:tcPr>
            <w:tcW w:w="3220" w:type="dxa"/>
            <w:tcBorders>
              <w:top w:val="nil"/>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Sumarios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314</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4</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14</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320</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204</w:t>
            </w:r>
          </w:p>
        </w:tc>
      </w:tr>
      <w:tr w:rsidR="003E704A" w:rsidTr="003E704A">
        <w:trPr>
          <w:trHeight w:val="300"/>
          <w:jc w:val="center"/>
        </w:trPr>
        <w:tc>
          <w:tcPr>
            <w:tcW w:w="3220" w:type="dxa"/>
            <w:tcBorders>
              <w:top w:val="nil"/>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Diligencias previas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87.479</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18.231</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1051</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103.829</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22.552</w:t>
            </w:r>
          </w:p>
        </w:tc>
      </w:tr>
      <w:tr w:rsidR="003E704A" w:rsidTr="003E704A">
        <w:trPr>
          <w:trHeight w:val="300"/>
          <w:jc w:val="center"/>
        </w:trPr>
        <w:tc>
          <w:tcPr>
            <w:tcW w:w="3220" w:type="dxa"/>
            <w:tcBorders>
              <w:top w:val="nil"/>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Procedimientos abreviados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32.163</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35</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131</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32.350</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10.407</w:t>
            </w:r>
          </w:p>
        </w:tc>
      </w:tr>
      <w:tr w:rsidR="003E704A" w:rsidTr="003E704A">
        <w:trPr>
          <w:trHeight w:val="300"/>
          <w:jc w:val="center"/>
        </w:trPr>
        <w:tc>
          <w:tcPr>
            <w:tcW w:w="3220" w:type="dxa"/>
            <w:tcBorders>
              <w:top w:val="nil"/>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Juicios sobre delitos leves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8.130</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235</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48</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8.347</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1278</w:t>
            </w:r>
          </w:p>
        </w:tc>
      </w:tr>
      <w:tr w:rsidR="003E704A" w:rsidTr="003E704A">
        <w:trPr>
          <w:trHeight w:val="300"/>
          <w:jc w:val="center"/>
        </w:trPr>
        <w:tc>
          <w:tcPr>
            <w:tcW w:w="3220" w:type="dxa"/>
            <w:tcBorders>
              <w:top w:val="nil"/>
              <w:left w:val="nil"/>
              <w:bottom w:val="nil"/>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Juicios de faltas</w:t>
            </w:r>
          </w:p>
        </w:tc>
        <w:tc>
          <w:tcPr>
            <w:tcW w:w="17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6</w:t>
            </w:r>
          </w:p>
        </w:tc>
        <w:tc>
          <w:tcPr>
            <w:tcW w:w="154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0</w:t>
            </w:r>
          </w:p>
        </w:tc>
        <w:tc>
          <w:tcPr>
            <w:tcW w:w="13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2</w:t>
            </w:r>
          </w:p>
        </w:tc>
        <w:tc>
          <w:tcPr>
            <w:tcW w:w="120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65</w:t>
            </w:r>
          </w:p>
        </w:tc>
        <w:tc>
          <w:tcPr>
            <w:tcW w:w="1280" w:type="dxa"/>
            <w:tcBorders>
              <w:top w:val="nil"/>
              <w:left w:val="nil"/>
              <w:bottom w:val="nil"/>
              <w:right w:val="nil"/>
            </w:tcBorders>
            <w:shd w:val="clear" w:color="auto" w:fill="auto"/>
            <w:vAlign w:val="center"/>
            <w:hideMark/>
          </w:tcPr>
          <w:p w:rsidR="003E704A" w:rsidRDefault="003E704A">
            <w:pPr>
              <w:jc w:val="right"/>
              <w:rPr>
                <w:rFonts w:ascii="Verdana" w:hAnsi="Verdana" w:cs="Calibri"/>
                <w:color w:val="000080"/>
                <w:sz w:val="20"/>
                <w:szCs w:val="20"/>
              </w:rPr>
            </w:pPr>
            <w:r>
              <w:rPr>
                <w:rFonts w:ascii="Verdana" w:hAnsi="Verdana" w:cs="Calibri"/>
                <w:color w:val="000080"/>
                <w:sz w:val="20"/>
                <w:szCs w:val="20"/>
              </w:rPr>
              <w:t>17</w:t>
            </w:r>
          </w:p>
        </w:tc>
      </w:tr>
      <w:tr w:rsidR="003E704A" w:rsidTr="003E704A">
        <w:trPr>
          <w:trHeight w:val="315"/>
          <w:jc w:val="center"/>
        </w:trPr>
        <w:tc>
          <w:tcPr>
            <w:tcW w:w="3220" w:type="dxa"/>
            <w:tcBorders>
              <w:top w:val="nil"/>
              <w:left w:val="nil"/>
              <w:bottom w:val="single" w:sz="8" w:space="0" w:color="auto"/>
              <w:right w:val="nil"/>
            </w:tcBorders>
            <w:shd w:val="clear" w:color="auto" w:fill="auto"/>
            <w:vAlign w:val="center"/>
            <w:hideMark/>
          </w:tcPr>
          <w:p w:rsidR="003E704A" w:rsidRDefault="003E704A">
            <w:pPr>
              <w:jc w:val="both"/>
              <w:rPr>
                <w:rFonts w:ascii="Verdana" w:hAnsi="Verdana" w:cs="Calibri"/>
                <w:color w:val="000000"/>
                <w:sz w:val="20"/>
                <w:szCs w:val="20"/>
              </w:rPr>
            </w:pPr>
            <w:r>
              <w:rPr>
                <w:rFonts w:ascii="Verdana" w:hAnsi="Verdana" w:cs="Calibri"/>
                <w:color w:val="000000"/>
                <w:sz w:val="20"/>
                <w:szCs w:val="20"/>
              </w:rPr>
              <w:t>Ley Orgánica 5/95 Jurado</w:t>
            </w:r>
          </w:p>
        </w:tc>
        <w:tc>
          <w:tcPr>
            <w:tcW w:w="1700" w:type="dxa"/>
            <w:tcBorders>
              <w:top w:val="nil"/>
              <w:left w:val="nil"/>
              <w:bottom w:val="single" w:sz="8" w:space="0" w:color="auto"/>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51</w:t>
            </w:r>
          </w:p>
        </w:tc>
        <w:tc>
          <w:tcPr>
            <w:tcW w:w="1540" w:type="dxa"/>
            <w:tcBorders>
              <w:top w:val="nil"/>
              <w:left w:val="nil"/>
              <w:bottom w:val="single" w:sz="8" w:space="0" w:color="auto"/>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0</w:t>
            </w:r>
          </w:p>
        </w:tc>
        <w:tc>
          <w:tcPr>
            <w:tcW w:w="1300" w:type="dxa"/>
            <w:tcBorders>
              <w:top w:val="nil"/>
              <w:left w:val="nil"/>
              <w:bottom w:val="single" w:sz="8" w:space="0" w:color="auto"/>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0</w:t>
            </w:r>
          </w:p>
        </w:tc>
        <w:tc>
          <w:tcPr>
            <w:tcW w:w="1200" w:type="dxa"/>
            <w:tcBorders>
              <w:top w:val="nil"/>
              <w:left w:val="nil"/>
              <w:bottom w:val="single" w:sz="8" w:space="0" w:color="auto"/>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42</w:t>
            </w:r>
          </w:p>
        </w:tc>
        <w:tc>
          <w:tcPr>
            <w:tcW w:w="1280" w:type="dxa"/>
            <w:tcBorders>
              <w:top w:val="nil"/>
              <w:left w:val="nil"/>
              <w:bottom w:val="single" w:sz="8" w:space="0" w:color="auto"/>
              <w:right w:val="nil"/>
            </w:tcBorders>
            <w:shd w:val="clear" w:color="auto" w:fill="auto"/>
            <w:vAlign w:val="center"/>
            <w:hideMark/>
          </w:tcPr>
          <w:p w:rsidR="003E704A" w:rsidRDefault="003E704A">
            <w:pPr>
              <w:jc w:val="right"/>
              <w:rPr>
                <w:rFonts w:ascii="Verdana" w:hAnsi="Verdana" w:cs="Calibri"/>
                <w:color w:val="000000"/>
                <w:sz w:val="20"/>
                <w:szCs w:val="20"/>
              </w:rPr>
            </w:pPr>
            <w:r>
              <w:rPr>
                <w:rFonts w:ascii="Verdana" w:hAnsi="Verdana" w:cs="Calibri"/>
                <w:color w:val="000000"/>
                <w:sz w:val="20"/>
                <w:szCs w:val="20"/>
              </w:rPr>
              <w:t>47</w:t>
            </w:r>
          </w:p>
        </w:tc>
      </w:tr>
    </w:tbl>
    <w:p w:rsidR="00433902" w:rsidRPr="007A6EA4" w:rsidRDefault="00433902" w:rsidP="00433902">
      <w:pPr>
        <w:spacing w:before="120" w:after="120"/>
        <w:ind w:firstLine="357"/>
        <w:jc w:val="both"/>
        <w:rPr>
          <w:rFonts w:ascii="Verdana" w:hAnsi="Verdana" w:cs="Arial"/>
          <w:sz w:val="20"/>
        </w:rPr>
      </w:pPr>
    </w:p>
    <w:p w:rsidR="00433902" w:rsidRPr="00B17CAF" w:rsidRDefault="00433902" w:rsidP="00433902">
      <w:pPr>
        <w:spacing w:before="120" w:after="120"/>
        <w:ind w:firstLine="357"/>
        <w:jc w:val="both"/>
        <w:rPr>
          <w:rFonts w:ascii="Verdana" w:hAnsi="Verdana" w:cs="Arial"/>
          <w:i/>
          <w:sz w:val="20"/>
        </w:rPr>
      </w:pPr>
      <w:r w:rsidRPr="00B17CAF">
        <w:rPr>
          <w:rFonts w:ascii="Verdana" w:hAnsi="Verdana" w:cs="Arial"/>
          <w:sz w:val="20"/>
        </w:rPr>
        <w:t>Estos órganos resolvieron 12.</w:t>
      </w:r>
      <w:r w:rsidR="003E704A" w:rsidRPr="00B17CAF">
        <w:rPr>
          <w:rFonts w:ascii="Verdana" w:hAnsi="Verdana" w:cs="Arial"/>
          <w:sz w:val="20"/>
        </w:rPr>
        <w:t>843</w:t>
      </w:r>
      <w:r w:rsidRPr="00B17CAF">
        <w:rPr>
          <w:rFonts w:ascii="Verdana" w:hAnsi="Verdana" w:cs="Arial"/>
          <w:sz w:val="20"/>
        </w:rPr>
        <w:t xml:space="preserve"> procesos por delito; ingresaron </w:t>
      </w:r>
      <w:r w:rsidR="003E704A" w:rsidRPr="00B17CAF">
        <w:rPr>
          <w:rFonts w:ascii="Verdana" w:hAnsi="Verdana" w:cs="Arial"/>
          <w:sz w:val="20"/>
        </w:rPr>
        <w:t>22</w:t>
      </w:r>
      <w:r w:rsidRPr="00B17CAF">
        <w:rPr>
          <w:rFonts w:ascii="Verdana" w:hAnsi="Verdana" w:cs="Arial"/>
          <w:sz w:val="20"/>
        </w:rPr>
        <w:t>.</w:t>
      </w:r>
      <w:r w:rsidR="003E704A" w:rsidRPr="00B17CAF">
        <w:rPr>
          <w:rFonts w:ascii="Verdana" w:hAnsi="Verdana" w:cs="Arial"/>
          <w:sz w:val="20"/>
        </w:rPr>
        <w:t>537</w:t>
      </w:r>
      <w:r w:rsidRPr="00B17CAF">
        <w:rPr>
          <w:rFonts w:ascii="Verdana" w:hAnsi="Verdana" w:cs="Arial"/>
          <w:sz w:val="20"/>
        </w:rPr>
        <w:t xml:space="preserve"> asuntos civiles, de los que resolvieron 21.</w:t>
      </w:r>
      <w:r w:rsidR="003E704A" w:rsidRPr="00B17CAF">
        <w:rPr>
          <w:rFonts w:ascii="Verdana" w:hAnsi="Verdana" w:cs="Arial"/>
          <w:sz w:val="20"/>
        </w:rPr>
        <w:t>635</w:t>
      </w:r>
      <w:r w:rsidRPr="00B17CAF">
        <w:rPr>
          <w:rFonts w:ascii="Verdana" w:hAnsi="Verdana" w:cs="Arial"/>
          <w:sz w:val="20"/>
        </w:rPr>
        <w:t>. Se incoaron un total de 3</w:t>
      </w:r>
      <w:r w:rsidR="004F1DF1" w:rsidRPr="00B17CAF">
        <w:rPr>
          <w:rFonts w:ascii="Verdana" w:hAnsi="Verdana" w:cs="Arial"/>
          <w:sz w:val="20"/>
        </w:rPr>
        <w:t>8</w:t>
      </w:r>
      <w:r w:rsidRPr="00B17CAF">
        <w:rPr>
          <w:rFonts w:ascii="Verdana" w:hAnsi="Verdana" w:cs="Arial"/>
          <w:sz w:val="20"/>
        </w:rPr>
        <w:t>.</w:t>
      </w:r>
      <w:r w:rsidR="004F1DF1" w:rsidRPr="00B17CAF">
        <w:rPr>
          <w:rFonts w:ascii="Verdana" w:hAnsi="Verdana" w:cs="Arial"/>
          <w:sz w:val="20"/>
        </w:rPr>
        <w:t>501</w:t>
      </w:r>
      <w:r w:rsidRPr="00B17CAF">
        <w:rPr>
          <w:rFonts w:ascii="Verdana" w:hAnsi="Verdana" w:cs="Arial"/>
          <w:sz w:val="20"/>
        </w:rPr>
        <w:t xml:space="preserve"> órdenes de protección y medi</w:t>
      </w:r>
      <w:r w:rsidR="00AE3B18" w:rsidRPr="00B17CAF">
        <w:rPr>
          <w:rFonts w:ascii="Verdana" w:hAnsi="Verdana" w:cs="Arial"/>
          <w:sz w:val="20"/>
        </w:rPr>
        <w:t>d</w:t>
      </w:r>
      <w:r w:rsidRPr="00B17CAF">
        <w:rPr>
          <w:rFonts w:ascii="Verdana" w:hAnsi="Verdana" w:cs="Arial"/>
          <w:sz w:val="20"/>
        </w:rPr>
        <w:t xml:space="preserve">as de los artículos 544 bis y ter (un </w:t>
      </w:r>
      <w:r w:rsidR="004F1DF1" w:rsidRPr="00B17CAF">
        <w:rPr>
          <w:rFonts w:ascii="Verdana" w:hAnsi="Verdana" w:cs="Arial"/>
          <w:sz w:val="20"/>
        </w:rPr>
        <w:t>1</w:t>
      </w:r>
      <w:r w:rsidRPr="00B17CAF">
        <w:rPr>
          <w:rFonts w:ascii="Verdana" w:hAnsi="Verdana" w:cs="Arial"/>
          <w:sz w:val="20"/>
        </w:rPr>
        <w:t>,</w:t>
      </w:r>
      <w:r w:rsidR="004F1DF1" w:rsidRPr="00B17CAF">
        <w:rPr>
          <w:rFonts w:ascii="Verdana" w:hAnsi="Verdana" w:cs="Arial"/>
          <w:sz w:val="20"/>
        </w:rPr>
        <w:t>4</w:t>
      </w:r>
      <w:r w:rsidRPr="00B17CAF">
        <w:rPr>
          <w:rFonts w:ascii="Verdana" w:hAnsi="Verdana" w:cs="Arial"/>
          <w:sz w:val="20"/>
        </w:rPr>
        <w:t>% más que en 201</w:t>
      </w:r>
      <w:r w:rsidR="004F1DF1" w:rsidRPr="00B17CAF">
        <w:rPr>
          <w:rFonts w:ascii="Verdana" w:hAnsi="Verdana" w:cs="Arial"/>
          <w:sz w:val="20"/>
        </w:rPr>
        <w:t>6</w:t>
      </w:r>
      <w:r w:rsidRPr="00B17CAF">
        <w:rPr>
          <w:rFonts w:ascii="Verdana" w:hAnsi="Verdana" w:cs="Arial"/>
          <w:sz w:val="20"/>
        </w:rPr>
        <w:t xml:space="preserve">). De ellas, se </w:t>
      </w:r>
      <w:r w:rsidR="004F1DF1" w:rsidRPr="00B17CAF">
        <w:rPr>
          <w:rFonts w:ascii="Verdana" w:hAnsi="Verdana" w:cs="Arial"/>
          <w:sz w:val="20"/>
        </w:rPr>
        <w:t xml:space="preserve">inadmitieron 802, se </w:t>
      </w:r>
      <w:r w:rsidRPr="00B17CAF">
        <w:rPr>
          <w:rFonts w:ascii="Verdana" w:hAnsi="Verdana" w:cs="Arial"/>
          <w:sz w:val="20"/>
        </w:rPr>
        <w:t xml:space="preserve">adoptaron </w:t>
      </w:r>
      <w:r w:rsidR="004F1DF1" w:rsidRPr="00B17CAF">
        <w:rPr>
          <w:rFonts w:ascii="Verdana" w:hAnsi="Verdana" w:cs="Arial"/>
          <w:sz w:val="20"/>
        </w:rPr>
        <w:t>26</w:t>
      </w:r>
      <w:r w:rsidRPr="00B17CAF">
        <w:rPr>
          <w:rFonts w:ascii="Verdana" w:hAnsi="Verdana" w:cs="Arial"/>
          <w:sz w:val="20"/>
        </w:rPr>
        <w:t>.</w:t>
      </w:r>
      <w:r w:rsidR="004F1DF1" w:rsidRPr="00B17CAF">
        <w:rPr>
          <w:rFonts w:ascii="Verdana" w:hAnsi="Verdana" w:cs="Arial"/>
          <w:sz w:val="20"/>
        </w:rPr>
        <w:t>044</w:t>
      </w:r>
      <w:r w:rsidRPr="00B17CAF">
        <w:rPr>
          <w:rFonts w:ascii="Verdana" w:hAnsi="Verdana" w:cs="Arial"/>
          <w:sz w:val="20"/>
        </w:rPr>
        <w:t xml:space="preserve"> (el </w:t>
      </w:r>
      <w:r w:rsidR="004F1DF1" w:rsidRPr="00B17CAF">
        <w:rPr>
          <w:rFonts w:ascii="Verdana" w:hAnsi="Verdana" w:cs="Arial"/>
          <w:sz w:val="20"/>
        </w:rPr>
        <w:t>67</w:t>
      </w:r>
      <w:r w:rsidRPr="00B17CAF">
        <w:rPr>
          <w:rFonts w:ascii="Verdana" w:hAnsi="Verdana" w:cs="Arial"/>
          <w:sz w:val="20"/>
        </w:rPr>
        <w:t>,</w:t>
      </w:r>
      <w:r w:rsidR="004F1DF1" w:rsidRPr="00B17CAF">
        <w:rPr>
          <w:rFonts w:ascii="Verdana" w:hAnsi="Verdana" w:cs="Arial"/>
          <w:sz w:val="20"/>
        </w:rPr>
        <w:t>6</w:t>
      </w:r>
      <w:r w:rsidRPr="00B17CAF">
        <w:rPr>
          <w:rFonts w:ascii="Verdana" w:hAnsi="Verdana" w:cs="Arial"/>
          <w:sz w:val="20"/>
        </w:rPr>
        <w:t>% de las incoadas</w:t>
      </w:r>
      <w:r w:rsidR="004F1DF1" w:rsidRPr="00B17CAF">
        <w:rPr>
          <w:rFonts w:ascii="Verdana" w:hAnsi="Verdana" w:cs="Arial"/>
          <w:sz w:val="20"/>
        </w:rPr>
        <w:t>)</w:t>
      </w:r>
      <w:r w:rsidRPr="00B17CAF">
        <w:rPr>
          <w:rFonts w:ascii="Verdana" w:hAnsi="Verdana" w:cs="Arial"/>
          <w:sz w:val="20"/>
        </w:rPr>
        <w:t>; se denegaron 1</w:t>
      </w:r>
      <w:r w:rsidR="004F1DF1" w:rsidRPr="00B17CAF">
        <w:rPr>
          <w:rFonts w:ascii="Verdana" w:hAnsi="Verdana" w:cs="Arial"/>
          <w:sz w:val="20"/>
        </w:rPr>
        <w:t>1</w:t>
      </w:r>
      <w:r w:rsidRPr="00B17CAF">
        <w:rPr>
          <w:rFonts w:ascii="Verdana" w:hAnsi="Verdana" w:cs="Arial"/>
          <w:sz w:val="20"/>
        </w:rPr>
        <w:t>.</w:t>
      </w:r>
      <w:r w:rsidR="004F1DF1" w:rsidRPr="00B17CAF">
        <w:rPr>
          <w:rFonts w:ascii="Verdana" w:hAnsi="Verdana" w:cs="Arial"/>
          <w:sz w:val="20"/>
        </w:rPr>
        <w:t>645,</w:t>
      </w:r>
      <w:r w:rsidRPr="00B17CAF">
        <w:rPr>
          <w:rFonts w:ascii="Verdana" w:hAnsi="Verdana" w:cs="Arial"/>
          <w:sz w:val="20"/>
        </w:rPr>
        <w:t xml:space="preserve"> con la siguiente distribución según las características de la víctima y el denunciado</w:t>
      </w:r>
      <w:r w:rsidR="00DF66D1" w:rsidRPr="00B17CAF">
        <w:rPr>
          <w:rFonts w:ascii="Verdana" w:hAnsi="Verdana" w:cs="Arial"/>
          <w:sz w:val="20"/>
        </w:rPr>
        <w:t>:</w:t>
      </w:r>
    </w:p>
    <w:tbl>
      <w:tblPr>
        <w:tblW w:w="9208" w:type="dxa"/>
        <w:jc w:val="center"/>
        <w:tblInd w:w="55" w:type="dxa"/>
        <w:tblCellMar>
          <w:left w:w="70" w:type="dxa"/>
          <w:right w:w="70" w:type="dxa"/>
        </w:tblCellMar>
        <w:tblLook w:val="0000" w:firstRow="0" w:lastRow="0" w:firstColumn="0" w:lastColumn="0" w:noHBand="0" w:noVBand="0"/>
      </w:tblPr>
      <w:tblGrid>
        <w:gridCol w:w="1324"/>
        <w:gridCol w:w="1360"/>
        <w:gridCol w:w="1360"/>
        <w:gridCol w:w="1320"/>
        <w:gridCol w:w="1320"/>
        <w:gridCol w:w="1200"/>
        <w:gridCol w:w="1324"/>
      </w:tblGrid>
      <w:tr w:rsidR="00433902" w:rsidRPr="00B17CAF" w:rsidTr="007967E0">
        <w:trPr>
          <w:trHeight w:val="270"/>
          <w:jc w:val="center"/>
        </w:trPr>
        <w:tc>
          <w:tcPr>
            <w:tcW w:w="1324" w:type="dxa"/>
            <w:vMerge w:val="restart"/>
            <w:tcBorders>
              <w:top w:val="single" w:sz="8" w:space="0" w:color="auto"/>
              <w:left w:val="nil"/>
              <w:bottom w:val="single" w:sz="8" w:space="0" w:color="000000"/>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Nº Ordenes protección y medidas del 544 bis y ter</w:t>
            </w:r>
          </w:p>
        </w:tc>
        <w:tc>
          <w:tcPr>
            <w:tcW w:w="5360" w:type="dxa"/>
            <w:gridSpan w:val="4"/>
            <w:tcBorders>
              <w:top w:val="single" w:sz="8" w:space="0" w:color="auto"/>
              <w:left w:val="nil"/>
              <w:bottom w:val="single" w:sz="8" w:space="0" w:color="auto"/>
              <w:right w:val="nil"/>
            </w:tcBorders>
            <w:shd w:val="clear" w:color="auto" w:fill="auto"/>
            <w:noWrap/>
            <w:vAlign w:val="bottom"/>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Víctima</w:t>
            </w:r>
          </w:p>
        </w:tc>
        <w:tc>
          <w:tcPr>
            <w:tcW w:w="2524" w:type="dxa"/>
            <w:gridSpan w:val="2"/>
            <w:tcBorders>
              <w:top w:val="single" w:sz="8" w:space="0" w:color="auto"/>
              <w:left w:val="nil"/>
              <w:bottom w:val="single" w:sz="8" w:space="0" w:color="auto"/>
              <w:right w:val="nil"/>
            </w:tcBorders>
            <w:shd w:val="clear" w:color="auto" w:fill="auto"/>
            <w:noWrap/>
            <w:vAlign w:val="bottom"/>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Denunciado</w:t>
            </w:r>
          </w:p>
        </w:tc>
      </w:tr>
      <w:tr w:rsidR="00433902" w:rsidRPr="00B17CAF" w:rsidTr="007967E0">
        <w:trPr>
          <w:trHeight w:val="915"/>
          <w:jc w:val="center"/>
        </w:trPr>
        <w:tc>
          <w:tcPr>
            <w:tcW w:w="1324" w:type="dxa"/>
            <w:vMerge/>
            <w:tcBorders>
              <w:top w:val="single" w:sz="8" w:space="0" w:color="auto"/>
              <w:left w:val="nil"/>
              <w:bottom w:val="single" w:sz="8" w:space="0" w:color="000000"/>
              <w:right w:val="nil"/>
            </w:tcBorders>
            <w:vAlign w:val="center"/>
          </w:tcPr>
          <w:p w:rsidR="00433902" w:rsidRPr="00B17CAF" w:rsidRDefault="00433902" w:rsidP="007967E0">
            <w:pPr>
              <w:rPr>
                <w:rFonts w:ascii="Verdana" w:hAnsi="Verdana" w:cs="Arial"/>
                <w:b/>
                <w:bCs/>
                <w:color w:val="000080"/>
                <w:sz w:val="18"/>
                <w:szCs w:val="18"/>
              </w:rPr>
            </w:pPr>
          </w:p>
        </w:tc>
        <w:tc>
          <w:tcPr>
            <w:tcW w:w="1360"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 xml:space="preserve"> Mujer española mayor de  edad</w:t>
            </w:r>
          </w:p>
        </w:tc>
        <w:tc>
          <w:tcPr>
            <w:tcW w:w="1360"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 xml:space="preserve"> Mujer española menor de  edad</w:t>
            </w:r>
          </w:p>
        </w:tc>
        <w:tc>
          <w:tcPr>
            <w:tcW w:w="1320"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 xml:space="preserve"> Mujer extranjera mayor de  edad</w:t>
            </w:r>
          </w:p>
        </w:tc>
        <w:tc>
          <w:tcPr>
            <w:tcW w:w="1320"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 xml:space="preserve"> Mujer extranjera menor de  edad</w:t>
            </w:r>
          </w:p>
        </w:tc>
        <w:tc>
          <w:tcPr>
            <w:tcW w:w="1200"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Hombre español</w:t>
            </w:r>
          </w:p>
        </w:tc>
        <w:tc>
          <w:tcPr>
            <w:tcW w:w="1324" w:type="dxa"/>
            <w:tcBorders>
              <w:top w:val="nil"/>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color w:val="000080"/>
                <w:sz w:val="18"/>
                <w:szCs w:val="18"/>
              </w:rPr>
            </w:pPr>
            <w:r w:rsidRPr="00B17CAF">
              <w:rPr>
                <w:rFonts w:ascii="Verdana" w:hAnsi="Verdana" w:cs="Arial"/>
                <w:b/>
                <w:bCs/>
                <w:color w:val="000080"/>
                <w:sz w:val="18"/>
                <w:szCs w:val="18"/>
              </w:rPr>
              <w:t>Hombre extranjero</w:t>
            </w:r>
          </w:p>
        </w:tc>
      </w:tr>
      <w:tr w:rsidR="00433902" w:rsidRPr="007A6EA4" w:rsidTr="007967E0">
        <w:trPr>
          <w:trHeight w:val="270"/>
          <w:jc w:val="center"/>
        </w:trPr>
        <w:tc>
          <w:tcPr>
            <w:tcW w:w="1324" w:type="dxa"/>
            <w:tcBorders>
              <w:top w:val="nil"/>
              <w:left w:val="nil"/>
              <w:bottom w:val="single" w:sz="8" w:space="0" w:color="auto"/>
              <w:right w:val="nil"/>
            </w:tcBorders>
            <w:shd w:val="clear" w:color="auto" w:fill="auto"/>
            <w:noWrap/>
            <w:vAlign w:val="center"/>
          </w:tcPr>
          <w:p w:rsidR="00433902" w:rsidRPr="00B17CAF" w:rsidRDefault="00433902" w:rsidP="003E704A">
            <w:pPr>
              <w:jc w:val="center"/>
              <w:rPr>
                <w:rFonts w:ascii="Verdana" w:hAnsi="Verdana" w:cs="Calibri"/>
                <w:sz w:val="20"/>
                <w:szCs w:val="20"/>
              </w:rPr>
            </w:pPr>
            <w:r w:rsidRPr="00B17CAF">
              <w:rPr>
                <w:rFonts w:ascii="Verdana" w:hAnsi="Verdana" w:cs="Calibri"/>
                <w:sz w:val="20"/>
                <w:szCs w:val="20"/>
              </w:rPr>
              <w:t>3</w:t>
            </w:r>
            <w:r w:rsidR="003E704A" w:rsidRPr="00B17CAF">
              <w:rPr>
                <w:rFonts w:ascii="Verdana" w:hAnsi="Verdana" w:cs="Calibri"/>
                <w:sz w:val="20"/>
                <w:szCs w:val="20"/>
              </w:rPr>
              <w:t>8</w:t>
            </w:r>
            <w:r w:rsidRPr="00B17CAF">
              <w:rPr>
                <w:rFonts w:ascii="Verdana" w:hAnsi="Verdana" w:cs="Calibri"/>
                <w:sz w:val="20"/>
                <w:szCs w:val="20"/>
              </w:rPr>
              <w:t>.</w:t>
            </w:r>
            <w:r w:rsidR="003E704A" w:rsidRPr="00B17CAF">
              <w:rPr>
                <w:rFonts w:ascii="Verdana" w:hAnsi="Verdana" w:cs="Calibri"/>
                <w:sz w:val="20"/>
                <w:szCs w:val="20"/>
              </w:rPr>
              <w:t>501</w:t>
            </w:r>
          </w:p>
        </w:tc>
        <w:tc>
          <w:tcPr>
            <w:tcW w:w="1360" w:type="dxa"/>
            <w:tcBorders>
              <w:top w:val="nil"/>
              <w:left w:val="nil"/>
              <w:bottom w:val="single" w:sz="8" w:space="0" w:color="auto"/>
              <w:right w:val="nil"/>
            </w:tcBorders>
            <w:shd w:val="clear" w:color="auto" w:fill="auto"/>
            <w:noWrap/>
            <w:vAlign w:val="center"/>
          </w:tcPr>
          <w:p w:rsidR="00433902" w:rsidRPr="00B17CAF" w:rsidRDefault="00433902" w:rsidP="003E704A">
            <w:pPr>
              <w:jc w:val="center"/>
              <w:rPr>
                <w:rFonts w:ascii="Verdana" w:hAnsi="Verdana" w:cs="Calibri"/>
                <w:sz w:val="20"/>
                <w:szCs w:val="20"/>
              </w:rPr>
            </w:pPr>
            <w:r w:rsidRPr="00B17CAF">
              <w:rPr>
                <w:rFonts w:ascii="Verdana" w:hAnsi="Verdana" w:cs="Calibri"/>
                <w:sz w:val="20"/>
                <w:szCs w:val="20"/>
              </w:rPr>
              <w:t>26.</w:t>
            </w:r>
            <w:r w:rsidR="003E704A" w:rsidRPr="00B17CAF">
              <w:rPr>
                <w:rFonts w:ascii="Verdana" w:hAnsi="Verdana" w:cs="Calibri"/>
                <w:sz w:val="20"/>
                <w:szCs w:val="20"/>
              </w:rPr>
              <w:t>573</w:t>
            </w:r>
          </w:p>
        </w:tc>
        <w:tc>
          <w:tcPr>
            <w:tcW w:w="1360" w:type="dxa"/>
            <w:tcBorders>
              <w:top w:val="nil"/>
              <w:left w:val="nil"/>
              <w:bottom w:val="single" w:sz="8" w:space="0" w:color="auto"/>
              <w:right w:val="nil"/>
            </w:tcBorders>
            <w:shd w:val="clear" w:color="auto" w:fill="auto"/>
            <w:noWrap/>
            <w:vAlign w:val="center"/>
          </w:tcPr>
          <w:p w:rsidR="00433902" w:rsidRPr="00B17CAF" w:rsidRDefault="00433902" w:rsidP="003E704A">
            <w:pPr>
              <w:jc w:val="center"/>
              <w:rPr>
                <w:rFonts w:ascii="Verdana" w:hAnsi="Verdana" w:cs="Calibri"/>
                <w:sz w:val="20"/>
                <w:szCs w:val="20"/>
              </w:rPr>
            </w:pPr>
            <w:r w:rsidRPr="00B17CAF">
              <w:rPr>
                <w:rFonts w:ascii="Verdana" w:hAnsi="Verdana" w:cs="Calibri"/>
                <w:sz w:val="20"/>
                <w:szCs w:val="20"/>
              </w:rPr>
              <w:t>6</w:t>
            </w:r>
            <w:r w:rsidR="003E704A" w:rsidRPr="00B17CAF">
              <w:rPr>
                <w:rFonts w:ascii="Verdana" w:hAnsi="Verdana" w:cs="Calibri"/>
                <w:sz w:val="20"/>
                <w:szCs w:val="20"/>
              </w:rPr>
              <w:t>65</w:t>
            </w:r>
          </w:p>
        </w:tc>
        <w:tc>
          <w:tcPr>
            <w:tcW w:w="1320" w:type="dxa"/>
            <w:tcBorders>
              <w:top w:val="nil"/>
              <w:left w:val="nil"/>
              <w:bottom w:val="single" w:sz="8" w:space="0" w:color="auto"/>
              <w:right w:val="nil"/>
            </w:tcBorders>
            <w:shd w:val="clear" w:color="auto" w:fill="auto"/>
            <w:noWrap/>
            <w:vAlign w:val="center"/>
          </w:tcPr>
          <w:p w:rsidR="00433902" w:rsidRPr="00B17CAF" w:rsidRDefault="00433902" w:rsidP="005D7657">
            <w:pPr>
              <w:jc w:val="center"/>
              <w:rPr>
                <w:rFonts w:ascii="Verdana" w:hAnsi="Verdana" w:cs="Calibri"/>
                <w:sz w:val="20"/>
                <w:szCs w:val="20"/>
              </w:rPr>
            </w:pPr>
            <w:r w:rsidRPr="00B17CAF">
              <w:rPr>
                <w:rFonts w:ascii="Verdana" w:hAnsi="Verdana" w:cs="Calibri"/>
                <w:sz w:val="20"/>
                <w:szCs w:val="20"/>
              </w:rPr>
              <w:t>1</w:t>
            </w:r>
            <w:r w:rsidR="005D7657" w:rsidRPr="00B17CAF">
              <w:rPr>
                <w:rFonts w:ascii="Verdana" w:hAnsi="Verdana" w:cs="Calibri"/>
                <w:sz w:val="20"/>
                <w:szCs w:val="20"/>
              </w:rPr>
              <w:t>1</w:t>
            </w:r>
            <w:r w:rsidRPr="00B17CAF">
              <w:rPr>
                <w:rFonts w:ascii="Verdana" w:hAnsi="Verdana" w:cs="Calibri"/>
                <w:sz w:val="20"/>
                <w:szCs w:val="20"/>
              </w:rPr>
              <w:t>.</w:t>
            </w:r>
            <w:r w:rsidR="005D7657" w:rsidRPr="00B17CAF">
              <w:rPr>
                <w:rFonts w:ascii="Verdana" w:hAnsi="Verdana" w:cs="Calibri"/>
                <w:sz w:val="20"/>
                <w:szCs w:val="20"/>
              </w:rPr>
              <w:t>061</w:t>
            </w:r>
          </w:p>
        </w:tc>
        <w:tc>
          <w:tcPr>
            <w:tcW w:w="1320" w:type="dxa"/>
            <w:tcBorders>
              <w:top w:val="nil"/>
              <w:left w:val="nil"/>
              <w:bottom w:val="single" w:sz="8" w:space="0" w:color="auto"/>
              <w:right w:val="nil"/>
            </w:tcBorders>
            <w:shd w:val="clear" w:color="auto" w:fill="auto"/>
            <w:noWrap/>
            <w:vAlign w:val="center"/>
          </w:tcPr>
          <w:p w:rsidR="00433902" w:rsidRPr="00B17CAF" w:rsidRDefault="005D7657" w:rsidP="005D7657">
            <w:pPr>
              <w:jc w:val="center"/>
              <w:rPr>
                <w:rFonts w:ascii="Verdana" w:hAnsi="Verdana" w:cs="Calibri"/>
                <w:sz w:val="20"/>
                <w:szCs w:val="20"/>
              </w:rPr>
            </w:pPr>
            <w:r w:rsidRPr="00B17CAF">
              <w:rPr>
                <w:rFonts w:ascii="Verdana" w:hAnsi="Verdana" w:cs="Calibri"/>
                <w:sz w:val="20"/>
                <w:szCs w:val="20"/>
              </w:rPr>
              <w:t>202</w:t>
            </w:r>
          </w:p>
        </w:tc>
        <w:tc>
          <w:tcPr>
            <w:tcW w:w="1200" w:type="dxa"/>
            <w:tcBorders>
              <w:top w:val="nil"/>
              <w:left w:val="nil"/>
              <w:bottom w:val="single" w:sz="8" w:space="0" w:color="auto"/>
              <w:right w:val="nil"/>
            </w:tcBorders>
            <w:shd w:val="clear" w:color="auto" w:fill="auto"/>
            <w:noWrap/>
            <w:vAlign w:val="center"/>
          </w:tcPr>
          <w:p w:rsidR="00433902" w:rsidRPr="00B17CAF" w:rsidRDefault="00433902" w:rsidP="005D7657">
            <w:pPr>
              <w:jc w:val="center"/>
              <w:rPr>
                <w:rFonts w:ascii="Verdana" w:hAnsi="Verdana" w:cs="Calibri"/>
                <w:sz w:val="20"/>
                <w:szCs w:val="20"/>
              </w:rPr>
            </w:pPr>
            <w:r w:rsidRPr="00B17CAF">
              <w:rPr>
                <w:rFonts w:ascii="Verdana" w:hAnsi="Verdana" w:cs="Calibri"/>
                <w:sz w:val="20"/>
                <w:szCs w:val="20"/>
              </w:rPr>
              <w:t>2</w:t>
            </w:r>
            <w:r w:rsidR="005D7657" w:rsidRPr="00B17CAF">
              <w:rPr>
                <w:rFonts w:ascii="Verdana" w:hAnsi="Verdana" w:cs="Calibri"/>
                <w:sz w:val="20"/>
                <w:szCs w:val="20"/>
              </w:rPr>
              <w:t>7</w:t>
            </w:r>
            <w:r w:rsidRPr="00B17CAF">
              <w:rPr>
                <w:rFonts w:ascii="Verdana" w:hAnsi="Verdana" w:cs="Calibri"/>
                <w:sz w:val="20"/>
                <w:szCs w:val="20"/>
              </w:rPr>
              <w:t>.</w:t>
            </w:r>
            <w:r w:rsidR="005D7657" w:rsidRPr="00B17CAF">
              <w:rPr>
                <w:rFonts w:ascii="Verdana" w:hAnsi="Verdana" w:cs="Calibri"/>
                <w:sz w:val="20"/>
                <w:szCs w:val="20"/>
              </w:rPr>
              <w:t>024</w:t>
            </w:r>
          </w:p>
        </w:tc>
        <w:tc>
          <w:tcPr>
            <w:tcW w:w="1324" w:type="dxa"/>
            <w:tcBorders>
              <w:top w:val="nil"/>
              <w:left w:val="nil"/>
              <w:bottom w:val="single" w:sz="8" w:space="0" w:color="auto"/>
              <w:right w:val="nil"/>
            </w:tcBorders>
            <w:shd w:val="clear" w:color="auto" w:fill="auto"/>
            <w:noWrap/>
            <w:vAlign w:val="center"/>
          </w:tcPr>
          <w:p w:rsidR="00433902" w:rsidRPr="00B17CAF" w:rsidRDefault="00433902" w:rsidP="005D7657">
            <w:pPr>
              <w:jc w:val="center"/>
              <w:rPr>
                <w:rFonts w:ascii="Verdana" w:hAnsi="Verdana" w:cs="Calibri"/>
                <w:sz w:val="20"/>
                <w:szCs w:val="20"/>
              </w:rPr>
            </w:pPr>
            <w:r w:rsidRPr="00B17CAF">
              <w:rPr>
                <w:rFonts w:ascii="Verdana" w:hAnsi="Verdana" w:cs="Calibri"/>
                <w:sz w:val="20"/>
                <w:szCs w:val="20"/>
              </w:rPr>
              <w:t>11.</w:t>
            </w:r>
            <w:r w:rsidR="005D7657" w:rsidRPr="00B17CAF">
              <w:rPr>
                <w:rFonts w:ascii="Verdana" w:hAnsi="Verdana" w:cs="Calibri"/>
                <w:sz w:val="20"/>
                <w:szCs w:val="20"/>
              </w:rPr>
              <w:t>477</w:t>
            </w:r>
          </w:p>
        </w:tc>
      </w:tr>
    </w:tbl>
    <w:p w:rsidR="00433902" w:rsidRDefault="00433902" w:rsidP="00433902">
      <w:pPr>
        <w:spacing w:before="120" w:after="120"/>
        <w:ind w:firstLine="357"/>
        <w:jc w:val="both"/>
        <w:rPr>
          <w:rFonts w:ascii="Verdana" w:hAnsi="Verdana" w:cs="Arial"/>
          <w:sz w:val="20"/>
        </w:rPr>
      </w:pPr>
    </w:p>
    <w:p w:rsidR="00433902" w:rsidRPr="007A6EA4" w:rsidRDefault="00433902" w:rsidP="00433902">
      <w:pPr>
        <w:spacing w:before="120" w:after="120"/>
        <w:ind w:firstLine="357"/>
        <w:jc w:val="both"/>
        <w:rPr>
          <w:rFonts w:ascii="Verdana" w:hAnsi="Verdana" w:cs="Arial"/>
          <w:sz w:val="20"/>
        </w:rPr>
      </w:pPr>
      <w:r w:rsidRPr="007A6EA4">
        <w:rPr>
          <w:rFonts w:ascii="Verdana" w:hAnsi="Verdana" w:cs="Arial"/>
          <w:sz w:val="20"/>
        </w:rPr>
        <w:t>Y según su presentación:</w:t>
      </w:r>
    </w:p>
    <w:tbl>
      <w:tblPr>
        <w:tblW w:w="7090" w:type="dxa"/>
        <w:jc w:val="center"/>
        <w:tblInd w:w="55" w:type="dxa"/>
        <w:tblCellMar>
          <w:left w:w="70" w:type="dxa"/>
          <w:right w:w="70" w:type="dxa"/>
        </w:tblCellMar>
        <w:tblLook w:val="04A0" w:firstRow="1" w:lastRow="0" w:firstColumn="1" w:lastColumn="0" w:noHBand="0" w:noVBand="1"/>
      </w:tblPr>
      <w:tblGrid>
        <w:gridCol w:w="1533"/>
        <w:gridCol w:w="1475"/>
        <w:gridCol w:w="1279"/>
        <w:gridCol w:w="1137"/>
        <w:gridCol w:w="1666"/>
      </w:tblGrid>
      <w:tr w:rsidR="00433902" w:rsidRPr="007A6EA4" w:rsidTr="007967E0">
        <w:trPr>
          <w:trHeight w:val="915"/>
          <w:jc w:val="center"/>
        </w:trPr>
        <w:tc>
          <w:tcPr>
            <w:tcW w:w="1533"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18"/>
                <w:szCs w:val="18"/>
              </w:rPr>
            </w:pPr>
            <w:r w:rsidRPr="007A6EA4">
              <w:rPr>
                <w:rFonts w:ascii="Verdana" w:hAnsi="Verdana" w:cs="Calibri"/>
                <w:b/>
                <w:bCs/>
                <w:color w:val="000080"/>
                <w:sz w:val="18"/>
                <w:szCs w:val="18"/>
              </w:rPr>
              <w:t>A instancia de la víctima/s</w:t>
            </w:r>
          </w:p>
        </w:tc>
        <w:tc>
          <w:tcPr>
            <w:tcW w:w="1475"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18"/>
                <w:szCs w:val="18"/>
              </w:rPr>
            </w:pPr>
            <w:r w:rsidRPr="007A6EA4">
              <w:rPr>
                <w:rFonts w:ascii="Verdana" w:hAnsi="Verdana" w:cs="Calibri"/>
                <w:b/>
                <w:bCs/>
                <w:color w:val="000080"/>
                <w:sz w:val="18"/>
                <w:szCs w:val="18"/>
              </w:rPr>
              <w:t>A instancia de otras personas</w:t>
            </w:r>
          </w:p>
        </w:tc>
        <w:tc>
          <w:tcPr>
            <w:tcW w:w="1279"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18"/>
                <w:szCs w:val="18"/>
              </w:rPr>
            </w:pPr>
            <w:r w:rsidRPr="007A6EA4">
              <w:rPr>
                <w:rFonts w:ascii="Verdana" w:hAnsi="Verdana" w:cs="Calibri"/>
                <w:b/>
                <w:bCs/>
                <w:color w:val="000080"/>
                <w:sz w:val="18"/>
                <w:szCs w:val="18"/>
              </w:rPr>
              <w:t>A instancia del Minist. Fiscal</w:t>
            </w:r>
          </w:p>
        </w:tc>
        <w:tc>
          <w:tcPr>
            <w:tcW w:w="1137"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18"/>
                <w:szCs w:val="18"/>
              </w:rPr>
            </w:pPr>
            <w:r w:rsidRPr="007A6EA4">
              <w:rPr>
                <w:rFonts w:ascii="Verdana" w:hAnsi="Verdana" w:cs="Calibri"/>
                <w:b/>
                <w:bCs/>
                <w:color w:val="000080"/>
                <w:sz w:val="18"/>
                <w:szCs w:val="18"/>
              </w:rPr>
              <w:t>De oficio</w:t>
            </w:r>
          </w:p>
        </w:tc>
        <w:tc>
          <w:tcPr>
            <w:tcW w:w="1666"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18"/>
                <w:szCs w:val="18"/>
              </w:rPr>
            </w:pPr>
            <w:r w:rsidRPr="007A6EA4">
              <w:rPr>
                <w:rFonts w:ascii="Verdana" w:hAnsi="Verdana" w:cs="Calibri"/>
                <w:b/>
                <w:bCs/>
                <w:color w:val="000080"/>
                <w:sz w:val="18"/>
                <w:szCs w:val="18"/>
              </w:rPr>
              <w:t>A instancia de la Administración</w:t>
            </w:r>
          </w:p>
        </w:tc>
      </w:tr>
      <w:tr w:rsidR="00433902" w:rsidRPr="00B17CAF" w:rsidTr="007967E0">
        <w:trPr>
          <w:trHeight w:val="315"/>
          <w:jc w:val="center"/>
        </w:trPr>
        <w:tc>
          <w:tcPr>
            <w:tcW w:w="1533" w:type="dxa"/>
            <w:tcBorders>
              <w:top w:val="nil"/>
              <w:left w:val="nil"/>
              <w:bottom w:val="single" w:sz="8" w:space="0" w:color="auto"/>
              <w:right w:val="nil"/>
            </w:tcBorders>
            <w:shd w:val="clear" w:color="auto" w:fill="auto"/>
            <w:noWrap/>
            <w:vAlign w:val="center"/>
            <w:hideMark/>
          </w:tcPr>
          <w:p w:rsidR="00433902" w:rsidRPr="00B17CAF" w:rsidRDefault="00433902" w:rsidP="00DF66D1">
            <w:pPr>
              <w:jc w:val="center"/>
              <w:rPr>
                <w:rFonts w:ascii="Verdana" w:hAnsi="Verdana" w:cs="Calibri"/>
                <w:color w:val="000000"/>
                <w:sz w:val="20"/>
                <w:szCs w:val="20"/>
              </w:rPr>
            </w:pPr>
            <w:r w:rsidRPr="00B17CAF">
              <w:rPr>
                <w:rFonts w:ascii="Verdana" w:hAnsi="Verdana" w:cs="Calibri"/>
                <w:color w:val="000000"/>
                <w:sz w:val="20"/>
                <w:szCs w:val="20"/>
              </w:rPr>
              <w:t>93,</w:t>
            </w:r>
            <w:r w:rsidR="00DF66D1" w:rsidRPr="00B17CAF">
              <w:rPr>
                <w:rFonts w:ascii="Verdana" w:hAnsi="Verdana" w:cs="Calibri"/>
                <w:color w:val="000000"/>
                <w:sz w:val="20"/>
                <w:szCs w:val="20"/>
              </w:rPr>
              <w:t>6</w:t>
            </w:r>
            <w:r w:rsidRPr="00B17CAF">
              <w:rPr>
                <w:rFonts w:ascii="Verdana" w:hAnsi="Verdana" w:cs="Calibri"/>
                <w:color w:val="000000"/>
                <w:sz w:val="20"/>
                <w:szCs w:val="20"/>
              </w:rPr>
              <w:t>%</w:t>
            </w:r>
          </w:p>
        </w:tc>
        <w:tc>
          <w:tcPr>
            <w:tcW w:w="1475" w:type="dxa"/>
            <w:tcBorders>
              <w:top w:val="nil"/>
              <w:left w:val="nil"/>
              <w:bottom w:val="single" w:sz="8" w:space="0" w:color="auto"/>
              <w:right w:val="nil"/>
            </w:tcBorders>
            <w:shd w:val="clear" w:color="auto" w:fill="auto"/>
            <w:noWrap/>
            <w:vAlign w:val="center"/>
            <w:hideMark/>
          </w:tcPr>
          <w:p w:rsidR="00433902" w:rsidRPr="00B17CAF" w:rsidRDefault="00433902" w:rsidP="007967E0">
            <w:pPr>
              <w:jc w:val="center"/>
              <w:rPr>
                <w:rFonts w:ascii="Verdana" w:hAnsi="Verdana" w:cs="Calibri"/>
                <w:color w:val="000000"/>
                <w:sz w:val="20"/>
                <w:szCs w:val="20"/>
              </w:rPr>
            </w:pPr>
            <w:r w:rsidRPr="00B17CAF">
              <w:rPr>
                <w:rFonts w:ascii="Verdana" w:hAnsi="Verdana" w:cs="Calibri"/>
                <w:color w:val="000000"/>
                <w:sz w:val="20"/>
                <w:szCs w:val="20"/>
              </w:rPr>
              <w:t>0,3%</w:t>
            </w:r>
          </w:p>
        </w:tc>
        <w:tc>
          <w:tcPr>
            <w:tcW w:w="1279" w:type="dxa"/>
            <w:tcBorders>
              <w:top w:val="nil"/>
              <w:left w:val="nil"/>
              <w:bottom w:val="single" w:sz="8" w:space="0" w:color="auto"/>
              <w:right w:val="nil"/>
            </w:tcBorders>
            <w:shd w:val="clear" w:color="auto" w:fill="auto"/>
            <w:noWrap/>
            <w:vAlign w:val="center"/>
            <w:hideMark/>
          </w:tcPr>
          <w:p w:rsidR="00433902" w:rsidRPr="00B17CAF" w:rsidRDefault="00433902" w:rsidP="00DF66D1">
            <w:pPr>
              <w:jc w:val="center"/>
              <w:rPr>
                <w:rFonts w:ascii="Verdana" w:hAnsi="Verdana" w:cs="Calibri"/>
                <w:color w:val="000000"/>
                <w:sz w:val="20"/>
                <w:szCs w:val="20"/>
              </w:rPr>
            </w:pPr>
            <w:r w:rsidRPr="00B17CAF">
              <w:rPr>
                <w:rFonts w:ascii="Verdana" w:hAnsi="Verdana" w:cs="Calibri"/>
                <w:color w:val="000000"/>
                <w:sz w:val="20"/>
                <w:szCs w:val="20"/>
              </w:rPr>
              <w:t>4,</w:t>
            </w:r>
            <w:r w:rsidR="00DF66D1" w:rsidRPr="00B17CAF">
              <w:rPr>
                <w:rFonts w:ascii="Verdana" w:hAnsi="Verdana" w:cs="Calibri"/>
                <w:color w:val="000000"/>
                <w:sz w:val="20"/>
                <w:szCs w:val="20"/>
              </w:rPr>
              <w:t>3</w:t>
            </w:r>
            <w:r w:rsidRPr="00B17CAF">
              <w:rPr>
                <w:rFonts w:ascii="Verdana" w:hAnsi="Verdana" w:cs="Calibri"/>
                <w:color w:val="000000"/>
                <w:sz w:val="20"/>
                <w:szCs w:val="20"/>
              </w:rPr>
              <w:t>%</w:t>
            </w:r>
          </w:p>
        </w:tc>
        <w:tc>
          <w:tcPr>
            <w:tcW w:w="1137" w:type="dxa"/>
            <w:tcBorders>
              <w:top w:val="nil"/>
              <w:left w:val="nil"/>
              <w:bottom w:val="single" w:sz="8" w:space="0" w:color="auto"/>
              <w:right w:val="nil"/>
            </w:tcBorders>
            <w:shd w:val="clear" w:color="auto" w:fill="auto"/>
            <w:noWrap/>
            <w:vAlign w:val="center"/>
            <w:hideMark/>
          </w:tcPr>
          <w:p w:rsidR="00433902" w:rsidRPr="00B17CAF" w:rsidRDefault="00433902" w:rsidP="00DF66D1">
            <w:pPr>
              <w:jc w:val="center"/>
              <w:rPr>
                <w:rFonts w:ascii="Verdana" w:hAnsi="Verdana" w:cs="Calibri"/>
                <w:color w:val="000000"/>
                <w:sz w:val="20"/>
                <w:szCs w:val="20"/>
              </w:rPr>
            </w:pPr>
            <w:r w:rsidRPr="00B17CAF">
              <w:rPr>
                <w:rFonts w:ascii="Verdana" w:hAnsi="Verdana" w:cs="Calibri"/>
                <w:color w:val="000000"/>
                <w:sz w:val="20"/>
                <w:szCs w:val="20"/>
              </w:rPr>
              <w:t>1,</w:t>
            </w:r>
            <w:r w:rsidR="00DF66D1" w:rsidRPr="00B17CAF">
              <w:rPr>
                <w:rFonts w:ascii="Verdana" w:hAnsi="Verdana" w:cs="Calibri"/>
                <w:color w:val="000000"/>
                <w:sz w:val="20"/>
                <w:szCs w:val="20"/>
              </w:rPr>
              <w:t>6</w:t>
            </w:r>
            <w:r w:rsidRPr="00B17CAF">
              <w:rPr>
                <w:rFonts w:ascii="Verdana" w:hAnsi="Verdana" w:cs="Calibri"/>
                <w:color w:val="000000"/>
                <w:sz w:val="20"/>
                <w:szCs w:val="20"/>
              </w:rPr>
              <w:t>%</w:t>
            </w:r>
          </w:p>
        </w:tc>
        <w:tc>
          <w:tcPr>
            <w:tcW w:w="1666" w:type="dxa"/>
            <w:tcBorders>
              <w:top w:val="nil"/>
              <w:left w:val="nil"/>
              <w:bottom w:val="single" w:sz="8" w:space="0" w:color="auto"/>
              <w:right w:val="nil"/>
            </w:tcBorders>
            <w:shd w:val="clear" w:color="auto" w:fill="auto"/>
            <w:noWrap/>
            <w:vAlign w:val="center"/>
            <w:hideMark/>
          </w:tcPr>
          <w:p w:rsidR="00433902" w:rsidRPr="00B17CAF" w:rsidRDefault="00433902" w:rsidP="00DF66D1">
            <w:pPr>
              <w:jc w:val="center"/>
              <w:rPr>
                <w:rFonts w:ascii="Verdana" w:hAnsi="Verdana" w:cs="Calibri"/>
                <w:color w:val="000000"/>
                <w:sz w:val="20"/>
                <w:szCs w:val="20"/>
              </w:rPr>
            </w:pPr>
            <w:r w:rsidRPr="00B17CAF">
              <w:rPr>
                <w:rFonts w:ascii="Verdana" w:hAnsi="Verdana" w:cs="Calibri"/>
                <w:color w:val="000000"/>
                <w:sz w:val="20"/>
                <w:szCs w:val="20"/>
              </w:rPr>
              <w:t>0,</w:t>
            </w:r>
            <w:r w:rsidR="00DF66D1" w:rsidRPr="00B17CAF">
              <w:rPr>
                <w:rFonts w:ascii="Verdana" w:hAnsi="Verdana" w:cs="Calibri"/>
                <w:color w:val="000000"/>
                <w:sz w:val="20"/>
                <w:szCs w:val="20"/>
              </w:rPr>
              <w:t>2</w:t>
            </w:r>
            <w:r w:rsidRPr="00B17CAF">
              <w:rPr>
                <w:rFonts w:ascii="Verdana" w:hAnsi="Verdana" w:cs="Calibri"/>
                <w:color w:val="000000"/>
                <w:sz w:val="20"/>
                <w:szCs w:val="20"/>
              </w:rPr>
              <w:t>%</w:t>
            </w:r>
          </w:p>
        </w:tc>
      </w:tr>
    </w:tbl>
    <w:p w:rsidR="00433902" w:rsidRPr="00B17CAF" w:rsidRDefault="00433902" w:rsidP="00433902">
      <w:pPr>
        <w:spacing w:before="120" w:after="120"/>
        <w:ind w:firstLine="357"/>
        <w:jc w:val="both"/>
        <w:rPr>
          <w:rFonts w:ascii="Verdana" w:hAnsi="Verdana" w:cs="Arial"/>
          <w:sz w:val="20"/>
        </w:rPr>
      </w:pPr>
      <w:r w:rsidRPr="00B17CAF">
        <w:rPr>
          <w:rFonts w:ascii="Verdana" w:hAnsi="Verdana" w:cs="Arial"/>
          <w:sz w:val="20"/>
        </w:rPr>
        <w:t xml:space="preserve">  El porcentaje de </w:t>
      </w:r>
      <w:r w:rsidRPr="00B17CAF">
        <w:rPr>
          <w:rFonts w:ascii="Verdana" w:hAnsi="Verdana" w:cs="Arial"/>
          <w:b/>
          <w:sz w:val="20"/>
        </w:rPr>
        <w:t>juicios de faltas resueltos como rápidos</w:t>
      </w:r>
      <w:r w:rsidRPr="00B17CAF">
        <w:rPr>
          <w:rFonts w:ascii="Verdana" w:hAnsi="Verdana" w:cs="Arial"/>
          <w:sz w:val="20"/>
        </w:rPr>
        <w:t xml:space="preserve">, considerados conjuntamente los celebrados en los juzgados de instrucción, primera instancia e instrucción y violencia contra la mujer, ha sido del </w:t>
      </w:r>
      <w:r w:rsidR="00027B3E" w:rsidRPr="00B17CAF">
        <w:rPr>
          <w:rFonts w:ascii="Verdana" w:hAnsi="Verdana" w:cs="Arial"/>
          <w:sz w:val="20"/>
        </w:rPr>
        <w:t>2,7</w:t>
      </w:r>
      <w:r w:rsidRPr="00B17CAF">
        <w:rPr>
          <w:rFonts w:ascii="Verdana" w:hAnsi="Verdana" w:cs="Arial"/>
          <w:sz w:val="20"/>
        </w:rPr>
        <w:t>%</w:t>
      </w:r>
      <w:r w:rsidR="00027B3E" w:rsidRPr="00B17CAF">
        <w:rPr>
          <w:rFonts w:ascii="Verdana" w:hAnsi="Verdana" w:cs="Arial"/>
          <w:sz w:val="20"/>
        </w:rPr>
        <w:t>, aunque en 2017 sólo terminaron ya 4.462 juicios de faltas</w:t>
      </w:r>
      <w:r w:rsidRPr="00B17CAF">
        <w:rPr>
          <w:rFonts w:ascii="Verdana" w:hAnsi="Verdana" w:cs="Arial"/>
          <w:sz w:val="20"/>
        </w:rPr>
        <w:t>. Por su parte, para los juicios por delitos leves, el porcentaje de los resueltos como enjuiciamiento rápido e inmediato ha sido del 18,</w:t>
      </w:r>
      <w:r w:rsidR="00027B3E" w:rsidRPr="00B17CAF">
        <w:rPr>
          <w:rFonts w:ascii="Verdana" w:hAnsi="Verdana" w:cs="Arial"/>
          <w:sz w:val="20"/>
        </w:rPr>
        <w:t>3</w:t>
      </w:r>
      <w:r w:rsidRPr="00B17CAF">
        <w:rPr>
          <w:rFonts w:ascii="Verdana" w:hAnsi="Verdana" w:cs="Arial"/>
          <w:sz w:val="20"/>
        </w:rPr>
        <w:t xml:space="preserve">%. El porcentaje de  diligencias urgentes resueltas mediante sentencia de conformidad en el órgano instructor, 49,3%, similar al de </w:t>
      </w:r>
      <w:r w:rsidR="004915A7" w:rsidRPr="00B17CAF">
        <w:rPr>
          <w:rFonts w:ascii="Verdana" w:hAnsi="Verdana" w:cs="Arial"/>
          <w:sz w:val="20"/>
        </w:rPr>
        <w:t>los años anteriores</w:t>
      </w:r>
      <w:r w:rsidRPr="00B17CAF">
        <w:rPr>
          <w:rFonts w:ascii="Verdana" w:hAnsi="Verdana" w:cs="Arial"/>
          <w:sz w:val="20"/>
        </w:rPr>
        <w:t>. La situación en cada uno de los tribunales superiores de justicia se muestra en los siguientes cuadros:</w:t>
      </w:r>
    </w:p>
    <w:p w:rsidR="004915A7" w:rsidRPr="00B17CAF" w:rsidRDefault="004915A7" w:rsidP="00433902">
      <w:pPr>
        <w:spacing w:before="120" w:after="120"/>
        <w:ind w:firstLine="357"/>
        <w:jc w:val="both"/>
        <w:rPr>
          <w:rFonts w:ascii="Verdana" w:hAnsi="Verdana" w:cs="Arial"/>
          <w:sz w:val="20"/>
        </w:rPr>
      </w:pPr>
    </w:p>
    <w:tbl>
      <w:tblPr>
        <w:tblW w:w="6600" w:type="dxa"/>
        <w:jc w:val="center"/>
        <w:tblInd w:w="55" w:type="dxa"/>
        <w:tblCellMar>
          <w:left w:w="70" w:type="dxa"/>
          <w:right w:w="70" w:type="dxa"/>
        </w:tblCellMar>
        <w:tblLook w:val="04A0" w:firstRow="1" w:lastRow="0" w:firstColumn="1" w:lastColumn="0" w:noHBand="0" w:noVBand="1"/>
      </w:tblPr>
      <w:tblGrid>
        <w:gridCol w:w="2002"/>
        <w:gridCol w:w="1243"/>
        <w:gridCol w:w="1698"/>
        <w:gridCol w:w="1657"/>
      </w:tblGrid>
      <w:tr w:rsidR="004915A7" w:rsidRPr="00B17CAF" w:rsidTr="004915A7">
        <w:trPr>
          <w:trHeight w:val="1380"/>
          <w:jc w:val="center"/>
        </w:trPr>
        <w:tc>
          <w:tcPr>
            <w:tcW w:w="2040" w:type="dxa"/>
            <w:tcBorders>
              <w:top w:val="nil"/>
              <w:left w:val="nil"/>
              <w:bottom w:val="single" w:sz="8" w:space="0" w:color="auto"/>
              <w:right w:val="nil"/>
            </w:tcBorders>
            <w:shd w:val="clear" w:color="auto" w:fill="auto"/>
            <w:vAlign w:val="center"/>
            <w:hideMark/>
          </w:tcPr>
          <w:p w:rsidR="004915A7" w:rsidRPr="00B17CAF" w:rsidRDefault="004915A7">
            <w:pPr>
              <w:rPr>
                <w:rFonts w:ascii="Verdana" w:hAnsi="Verdana" w:cs="Calibri"/>
                <w:color w:val="000000"/>
                <w:sz w:val="20"/>
                <w:szCs w:val="20"/>
              </w:rPr>
            </w:pPr>
            <w:r w:rsidRPr="00B17CAF">
              <w:rPr>
                <w:rFonts w:ascii="Verdana" w:hAnsi="Verdana" w:cs="Calibri"/>
                <w:color w:val="00000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center"/>
              <w:rPr>
                <w:rFonts w:ascii="Verdana" w:hAnsi="Verdana" w:cs="Calibri"/>
                <w:b/>
                <w:bCs/>
                <w:color w:val="000080"/>
                <w:sz w:val="18"/>
                <w:szCs w:val="18"/>
              </w:rPr>
            </w:pPr>
            <w:r w:rsidRPr="00B17CAF">
              <w:rPr>
                <w:rFonts w:ascii="Verdana" w:hAnsi="Verdana" w:cs="Calibri"/>
                <w:b/>
                <w:bCs/>
                <w:color w:val="000080"/>
                <w:sz w:val="18"/>
                <w:szCs w:val="18"/>
              </w:rPr>
              <w:t>Diligencias urgentes</w:t>
            </w:r>
          </w:p>
        </w:tc>
        <w:tc>
          <w:tcPr>
            <w:tcW w:w="170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center"/>
              <w:rPr>
                <w:rFonts w:ascii="Verdana" w:hAnsi="Verdana" w:cs="Calibri"/>
                <w:b/>
                <w:bCs/>
                <w:color w:val="000080"/>
                <w:sz w:val="18"/>
                <w:szCs w:val="18"/>
              </w:rPr>
            </w:pPr>
            <w:r w:rsidRPr="00B17CAF">
              <w:rPr>
                <w:rFonts w:ascii="Verdana" w:hAnsi="Verdana" w:cs="Calibri"/>
                <w:b/>
                <w:bCs/>
                <w:color w:val="000080"/>
                <w:sz w:val="18"/>
                <w:szCs w:val="18"/>
              </w:rPr>
              <w:t>Conformidades</w:t>
            </w:r>
          </w:p>
        </w:tc>
        <w:tc>
          <w:tcPr>
            <w:tcW w:w="166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center"/>
              <w:rPr>
                <w:rFonts w:ascii="Verdana" w:hAnsi="Verdana" w:cs="Calibri"/>
                <w:b/>
                <w:bCs/>
                <w:color w:val="000080"/>
                <w:sz w:val="18"/>
                <w:szCs w:val="18"/>
              </w:rPr>
            </w:pPr>
            <w:r w:rsidRPr="00B17CAF">
              <w:rPr>
                <w:rFonts w:ascii="Verdana" w:hAnsi="Verdana" w:cs="Calibri"/>
                <w:b/>
                <w:bCs/>
                <w:color w:val="000080"/>
                <w:sz w:val="18"/>
                <w:szCs w:val="18"/>
              </w:rPr>
              <w:t>% de D.U sentenciadas en el juzgado instructor (conformidad)</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Andalucía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40.875</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19.390</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47,4%</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Aragón</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3.663</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1.828</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49,9%</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lastRenderedPageBreak/>
              <w:t>Asturias</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3.512</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2.132</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60,7%</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Baleares</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5.910</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3.325</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56,3%</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Canarias</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14.338</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7.401</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51,6%</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Cantabria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2.502</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1.307</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52,2%</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Castilla y León</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5.649</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3.249</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57,5%</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Castilla-La Mancha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6.837</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3.078</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45,0%</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Cataluña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32.809</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12.566</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38,3%</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Valencia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21.535</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12.191</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56,6%</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Extremadura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2.628</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1.671</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63,6%</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Galicia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8.769</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5.520</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62,9%</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Madrid</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23.557</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9.901</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42,0%</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Murcia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7.995</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4.393</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54,9%</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Navarra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1.612</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1.266</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78,5%</w:t>
            </w:r>
          </w:p>
        </w:tc>
      </w:tr>
      <w:tr w:rsidR="004915A7" w:rsidRPr="00B17CAF" w:rsidTr="004915A7">
        <w:trPr>
          <w:trHeight w:val="300"/>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País Vasco</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6.997</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4.036</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57,7%</w:t>
            </w:r>
          </w:p>
        </w:tc>
      </w:tr>
      <w:tr w:rsidR="004915A7" w:rsidRPr="00B17CAF" w:rsidTr="004915A7">
        <w:trPr>
          <w:trHeight w:val="315"/>
          <w:jc w:val="center"/>
        </w:trPr>
        <w:tc>
          <w:tcPr>
            <w:tcW w:w="2040" w:type="dxa"/>
            <w:tcBorders>
              <w:top w:val="nil"/>
              <w:left w:val="nil"/>
              <w:bottom w:val="nil"/>
              <w:right w:val="nil"/>
            </w:tcBorders>
            <w:shd w:val="clear" w:color="auto" w:fill="auto"/>
            <w:vAlign w:val="center"/>
            <w:hideMark/>
          </w:tcPr>
          <w:p w:rsidR="004915A7" w:rsidRPr="00B17CAF" w:rsidRDefault="004915A7">
            <w:pPr>
              <w:jc w:val="both"/>
              <w:rPr>
                <w:rFonts w:ascii="Verdana" w:hAnsi="Verdana" w:cs="Calibri"/>
                <w:color w:val="000000"/>
                <w:sz w:val="20"/>
                <w:szCs w:val="20"/>
              </w:rPr>
            </w:pPr>
            <w:r w:rsidRPr="00B17CAF">
              <w:rPr>
                <w:rFonts w:ascii="Verdana" w:hAnsi="Verdana" w:cs="Calibri"/>
                <w:color w:val="000000"/>
                <w:sz w:val="20"/>
                <w:szCs w:val="20"/>
              </w:rPr>
              <w:t>La Rioja</w:t>
            </w:r>
          </w:p>
        </w:tc>
        <w:tc>
          <w:tcPr>
            <w:tcW w:w="12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1.358</w:t>
            </w:r>
          </w:p>
        </w:tc>
        <w:tc>
          <w:tcPr>
            <w:tcW w:w="170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683</w:t>
            </w:r>
          </w:p>
        </w:tc>
        <w:tc>
          <w:tcPr>
            <w:tcW w:w="1660" w:type="dxa"/>
            <w:tcBorders>
              <w:top w:val="nil"/>
              <w:left w:val="nil"/>
              <w:bottom w:val="nil"/>
              <w:right w:val="nil"/>
            </w:tcBorders>
            <w:shd w:val="clear" w:color="auto" w:fill="auto"/>
            <w:vAlign w:val="center"/>
            <w:hideMark/>
          </w:tcPr>
          <w:p w:rsidR="004915A7" w:rsidRPr="00B17CAF" w:rsidRDefault="004915A7">
            <w:pPr>
              <w:jc w:val="right"/>
              <w:rPr>
                <w:rFonts w:ascii="Verdana" w:hAnsi="Verdana" w:cs="Calibri"/>
                <w:color w:val="000000"/>
                <w:sz w:val="20"/>
                <w:szCs w:val="20"/>
              </w:rPr>
            </w:pPr>
            <w:r w:rsidRPr="00B17CAF">
              <w:rPr>
                <w:rFonts w:ascii="Verdana" w:hAnsi="Verdana" w:cs="Calibri"/>
                <w:color w:val="000000"/>
                <w:sz w:val="20"/>
                <w:szCs w:val="20"/>
              </w:rPr>
              <w:t>50,3%</w:t>
            </w:r>
          </w:p>
        </w:tc>
      </w:tr>
      <w:tr w:rsidR="004915A7" w:rsidRPr="00B17CAF" w:rsidTr="004915A7">
        <w:trPr>
          <w:trHeight w:val="315"/>
          <w:jc w:val="center"/>
        </w:trPr>
        <w:tc>
          <w:tcPr>
            <w:tcW w:w="2040" w:type="dxa"/>
            <w:tcBorders>
              <w:top w:val="single" w:sz="8" w:space="0" w:color="auto"/>
              <w:left w:val="nil"/>
              <w:bottom w:val="single" w:sz="8" w:space="0" w:color="auto"/>
              <w:right w:val="nil"/>
            </w:tcBorders>
            <w:shd w:val="clear" w:color="auto" w:fill="auto"/>
            <w:vAlign w:val="center"/>
            <w:hideMark/>
          </w:tcPr>
          <w:p w:rsidR="004915A7" w:rsidRPr="00B17CAF" w:rsidRDefault="004915A7">
            <w:pPr>
              <w:rPr>
                <w:rFonts w:ascii="Verdana" w:hAnsi="Verdana" w:cs="Calibri"/>
                <w:b/>
                <w:bCs/>
                <w:color w:val="000080"/>
                <w:sz w:val="20"/>
                <w:szCs w:val="20"/>
              </w:rPr>
            </w:pPr>
            <w:r w:rsidRPr="00B17CAF">
              <w:rPr>
                <w:rFonts w:ascii="Verdana" w:hAnsi="Verdana" w:cs="Calibri"/>
                <w:b/>
                <w:bCs/>
                <w:color w:val="000080"/>
                <w:sz w:val="20"/>
                <w:szCs w:val="20"/>
              </w:rPr>
              <w:t>Total</w:t>
            </w:r>
          </w:p>
        </w:tc>
        <w:tc>
          <w:tcPr>
            <w:tcW w:w="120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right"/>
              <w:rPr>
                <w:rFonts w:ascii="Verdana" w:hAnsi="Verdana" w:cs="Calibri"/>
                <w:b/>
                <w:bCs/>
                <w:color w:val="000080"/>
                <w:sz w:val="20"/>
                <w:szCs w:val="20"/>
              </w:rPr>
            </w:pPr>
            <w:r w:rsidRPr="00B17CAF">
              <w:rPr>
                <w:rFonts w:ascii="Verdana" w:hAnsi="Verdana" w:cs="Calibri"/>
                <w:b/>
                <w:bCs/>
                <w:color w:val="000080"/>
                <w:sz w:val="20"/>
                <w:szCs w:val="20"/>
              </w:rPr>
              <w:t>190.546</w:t>
            </w:r>
          </w:p>
        </w:tc>
        <w:tc>
          <w:tcPr>
            <w:tcW w:w="170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right"/>
              <w:rPr>
                <w:rFonts w:ascii="Verdana" w:hAnsi="Verdana" w:cs="Calibri"/>
                <w:b/>
                <w:bCs/>
                <w:color w:val="000080"/>
                <w:sz w:val="20"/>
                <w:szCs w:val="20"/>
              </w:rPr>
            </w:pPr>
            <w:r w:rsidRPr="00B17CAF">
              <w:rPr>
                <w:rFonts w:ascii="Verdana" w:hAnsi="Verdana" w:cs="Calibri"/>
                <w:b/>
                <w:bCs/>
                <w:color w:val="000080"/>
                <w:sz w:val="20"/>
                <w:szCs w:val="20"/>
              </w:rPr>
              <w:t>93.937</w:t>
            </w:r>
          </w:p>
        </w:tc>
        <w:tc>
          <w:tcPr>
            <w:tcW w:w="1660" w:type="dxa"/>
            <w:tcBorders>
              <w:top w:val="single" w:sz="8" w:space="0" w:color="auto"/>
              <w:left w:val="nil"/>
              <w:bottom w:val="single" w:sz="8" w:space="0" w:color="auto"/>
              <w:right w:val="nil"/>
            </w:tcBorders>
            <w:shd w:val="clear" w:color="auto" w:fill="auto"/>
            <w:vAlign w:val="center"/>
            <w:hideMark/>
          </w:tcPr>
          <w:p w:rsidR="004915A7" w:rsidRPr="00B17CAF" w:rsidRDefault="004915A7">
            <w:pPr>
              <w:jc w:val="right"/>
              <w:rPr>
                <w:rFonts w:ascii="Verdana" w:hAnsi="Verdana" w:cs="Calibri"/>
                <w:b/>
                <w:bCs/>
                <w:color w:val="000080"/>
                <w:sz w:val="20"/>
                <w:szCs w:val="20"/>
              </w:rPr>
            </w:pPr>
            <w:r w:rsidRPr="00B17CAF">
              <w:rPr>
                <w:rFonts w:ascii="Verdana" w:hAnsi="Verdana" w:cs="Calibri"/>
                <w:b/>
                <w:bCs/>
                <w:color w:val="000080"/>
                <w:sz w:val="20"/>
                <w:szCs w:val="20"/>
              </w:rPr>
              <w:t>49,3%</w:t>
            </w:r>
          </w:p>
        </w:tc>
      </w:tr>
    </w:tbl>
    <w:p w:rsidR="004915A7" w:rsidRPr="00B17CAF" w:rsidRDefault="004915A7" w:rsidP="00433902">
      <w:pPr>
        <w:spacing w:before="120" w:after="120"/>
        <w:ind w:firstLine="357"/>
        <w:jc w:val="both"/>
        <w:rPr>
          <w:rFonts w:ascii="Verdana" w:hAnsi="Verdana" w:cs="Arial"/>
          <w:sz w:val="20"/>
        </w:rPr>
      </w:pPr>
    </w:p>
    <w:p w:rsidR="00433902" w:rsidRPr="00B17CAF" w:rsidRDefault="00433902" w:rsidP="00433902">
      <w:pPr>
        <w:spacing w:before="120" w:after="120"/>
        <w:ind w:firstLine="357"/>
        <w:jc w:val="both"/>
        <w:rPr>
          <w:rFonts w:ascii="Verdana" w:hAnsi="Verdana" w:cs="Arial"/>
          <w:sz w:val="20"/>
        </w:rPr>
      </w:pPr>
    </w:p>
    <w:tbl>
      <w:tblPr>
        <w:tblW w:w="6500" w:type="dxa"/>
        <w:jc w:val="center"/>
        <w:tblInd w:w="55" w:type="dxa"/>
        <w:tblCellMar>
          <w:left w:w="70" w:type="dxa"/>
          <w:right w:w="70" w:type="dxa"/>
        </w:tblCellMar>
        <w:tblLook w:val="04A0" w:firstRow="1" w:lastRow="0" w:firstColumn="1" w:lastColumn="0" w:noHBand="0" w:noVBand="1"/>
      </w:tblPr>
      <w:tblGrid>
        <w:gridCol w:w="2620"/>
        <w:gridCol w:w="1200"/>
        <w:gridCol w:w="1200"/>
        <w:gridCol w:w="1480"/>
      </w:tblGrid>
      <w:tr w:rsidR="00027B3E" w:rsidRPr="00B17CAF" w:rsidTr="00027B3E">
        <w:trPr>
          <w:trHeight w:val="1545"/>
          <w:jc w:val="center"/>
        </w:trPr>
        <w:tc>
          <w:tcPr>
            <w:tcW w:w="2620" w:type="dxa"/>
            <w:tcBorders>
              <w:top w:val="nil"/>
              <w:left w:val="nil"/>
              <w:bottom w:val="single" w:sz="8" w:space="0" w:color="auto"/>
              <w:right w:val="nil"/>
            </w:tcBorders>
            <w:shd w:val="clear" w:color="000000" w:fill="FFFFFF"/>
            <w:noWrap/>
            <w:vAlign w:val="center"/>
            <w:hideMark/>
          </w:tcPr>
          <w:p w:rsidR="00027B3E" w:rsidRPr="00B17CAF" w:rsidRDefault="00027B3E">
            <w:pPr>
              <w:rPr>
                <w:rFonts w:ascii="Verdana" w:hAnsi="Verdana" w:cs="Calibri"/>
                <w:color w:val="000080"/>
                <w:sz w:val="20"/>
                <w:szCs w:val="20"/>
              </w:rPr>
            </w:pPr>
            <w:r w:rsidRPr="00B17CAF">
              <w:rPr>
                <w:rFonts w:ascii="Verdana" w:hAnsi="Verdana" w:cs="Calibri"/>
                <w:color w:val="00008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027B3E" w:rsidRPr="00B17CAF" w:rsidRDefault="00027B3E">
            <w:pPr>
              <w:jc w:val="center"/>
              <w:rPr>
                <w:rFonts w:ascii="Verdana" w:hAnsi="Verdana" w:cs="Calibri"/>
                <w:b/>
                <w:bCs/>
                <w:color w:val="000080"/>
                <w:sz w:val="20"/>
                <w:szCs w:val="20"/>
              </w:rPr>
            </w:pPr>
            <w:r w:rsidRPr="00B17CAF">
              <w:rPr>
                <w:rFonts w:ascii="Verdana" w:hAnsi="Verdana" w:cs="Calibri"/>
                <w:b/>
                <w:bCs/>
                <w:color w:val="000080"/>
                <w:sz w:val="20"/>
                <w:szCs w:val="20"/>
              </w:rPr>
              <w:t>J. Delitos leves resueltos</w:t>
            </w:r>
          </w:p>
        </w:tc>
        <w:tc>
          <w:tcPr>
            <w:tcW w:w="1200" w:type="dxa"/>
            <w:tcBorders>
              <w:top w:val="single" w:sz="8" w:space="0" w:color="auto"/>
              <w:left w:val="nil"/>
              <w:bottom w:val="single" w:sz="8" w:space="0" w:color="auto"/>
              <w:right w:val="nil"/>
            </w:tcBorders>
            <w:shd w:val="clear" w:color="auto" w:fill="auto"/>
            <w:vAlign w:val="center"/>
            <w:hideMark/>
          </w:tcPr>
          <w:p w:rsidR="00027B3E" w:rsidRPr="00B17CAF" w:rsidRDefault="00027B3E">
            <w:pPr>
              <w:jc w:val="center"/>
              <w:rPr>
                <w:rFonts w:ascii="Verdana" w:hAnsi="Verdana" w:cs="Calibri"/>
                <w:b/>
                <w:bCs/>
                <w:color w:val="000080"/>
                <w:sz w:val="20"/>
                <w:szCs w:val="20"/>
              </w:rPr>
            </w:pPr>
            <w:r w:rsidRPr="00B17CAF">
              <w:rPr>
                <w:rFonts w:ascii="Verdana" w:hAnsi="Verdana" w:cs="Calibri"/>
                <w:b/>
                <w:bCs/>
                <w:color w:val="000080"/>
                <w:sz w:val="20"/>
                <w:szCs w:val="20"/>
              </w:rPr>
              <w:t>J. Delitos leves  resueltos como rápidos</w:t>
            </w:r>
          </w:p>
        </w:tc>
        <w:tc>
          <w:tcPr>
            <w:tcW w:w="1480" w:type="dxa"/>
            <w:tcBorders>
              <w:top w:val="single" w:sz="8" w:space="0" w:color="auto"/>
              <w:left w:val="nil"/>
              <w:bottom w:val="single" w:sz="8" w:space="0" w:color="auto"/>
              <w:right w:val="nil"/>
            </w:tcBorders>
            <w:shd w:val="clear" w:color="auto" w:fill="auto"/>
            <w:vAlign w:val="center"/>
            <w:hideMark/>
          </w:tcPr>
          <w:p w:rsidR="00027B3E" w:rsidRPr="00B17CAF" w:rsidRDefault="00027B3E">
            <w:pPr>
              <w:jc w:val="center"/>
              <w:rPr>
                <w:rFonts w:ascii="Verdana" w:hAnsi="Verdana" w:cs="Calibri"/>
                <w:b/>
                <w:bCs/>
                <w:color w:val="000080"/>
                <w:sz w:val="20"/>
                <w:szCs w:val="20"/>
              </w:rPr>
            </w:pPr>
            <w:r w:rsidRPr="00B17CAF">
              <w:rPr>
                <w:rFonts w:ascii="Verdana" w:hAnsi="Verdana" w:cs="Calibri"/>
                <w:b/>
                <w:bCs/>
                <w:color w:val="000080"/>
                <w:sz w:val="20"/>
                <w:szCs w:val="20"/>
              </w:rPr>
              <w:t>Porcentaje de J. Delitos leves resueltos como rápidos</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Andalucía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82.439</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22.762</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27,6%</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Aragón</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11.274</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3.050</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27,1%</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Asturias</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6.514</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1174</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18,0%</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Baleares</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11.243</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1.156</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10,3%</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Canarias</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24.888</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5.397</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21,7%</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Cantabria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4.886</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1247</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25,5%</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Castilla y León</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15.124</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1.366</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9,0%</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Castilla-La Mancha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16.067</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1.799</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11,2%</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Cataluña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87.820</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18.287</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20,8%</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Valencia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45.799</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6.757</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14,8%</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Extremadura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5.658</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963</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17,0%</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Galicia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18.437</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1.346</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7,3%</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Madrid</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79.120</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13.803</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17,4%</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Murcia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11.911</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1.639</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13,8%</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Navarra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2.976</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353</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11,9%</w:t>
            </w:r>
          </w:p>
        </w:tc>
      </w:tr>
      <w:tr w:rsidR="00027B3E" w:rsidRPr="00B17CAF" w:rsidTr="00027B3E">
        <w:trPr>
          <w:trHeight w:val="300"/>
          <w:jc w:val="center"/>
        </w:trPr>
        <w:tc>
          <w:tcPr>
            <w:tcW w:w="2620" w:type="dxa"/>
            <w:tcBorders>
              <w:top w:val="nil"/>
              <w:left w:val="nil"/>
              <w:bottom w:val="nil"/>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País Vasco</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21.633</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3.256</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15,1%</w:t>
            </w:r>
          </w:p>
        </w:tc>
      </w:tr>
      <w:tr w:rsidR="00027B3E" w:rsidRPr="00B17CAF" w:rsidTr="00027B3E">
        <w:trPr>
          <w:trHeight w:val="315"/>
          <w:jc w:val="center"/>
        </w:trPr>
        <w:tc>
          <w:tcPr>
            <w:tcW w:w="2620" w:type="dxa"/>
            <w:tcBorders>
              <w:top w:val="nil"/>
              <w:left w:val="nil"/>
              <w:bottom w:val="single" w:sz="8" w:space="0" w:color="auto"/>
              <w:right w:val="nil"/>
            </w:tcBorders>
            <w:shd w:val="clear" w:color="auto" w:fill="auto"/>
            <w:vAlign w:val="center"/>
            <w:hideMark/>
          </w:tcPr>
          <w:p w:rsidR="00027B3E" w:rsidRPr="00B17CAF" w:rsidRDefault="00027B3E">
            <w:pPr>
              <w:jc w:val="both"/>
              <w:rPr>
                <w:rFonts w:ascii="Verdana" w:hAnsi="Verdana" w:cs="Calibri"/>
                <w:color w:val="000000"/>
                <w:sz w:val="20"/>
                <w:szCs w:val="20"/>
              </w:rPr>
            </w:pPr>
            <w:r w:rsidRPr="00B17CAF">
              <w:rPr>
                <w:rFonts w:ascii="Verdana" w:hAnsi="Verdana" w:cs="Calibri"/>
                <w:color w:val="000000"/>
                <w:sz w:val="20"/>
                <w:szCs w:val="20"/>
              </w:rPr>
              <w:t>La Rioja</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1.924</w:t>
            </w:r>
          </w:p>
        </w:tc>
        <w:tc>
          <w:tcPr>
            <w:tcW w:w="120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611</w:t>
            </w:r>
          </w:p>
        </w:tc>
        <w:tc>
          <w:tcPr>
            <w:tcW w:w="1480" w:type="dxa"/>
            <w:tcBorders>
              <w:top w:val="nil"/>
              <w:left w:val="nil"/>
              <w:bottom w:val="nil"/>
              <w:right w:val="nil"/>
            </w:tcBorders>
            <w:shd w:val="clear" w:color="auto" w:fill="auto"/>
            <w:noWrap/>
            <w:vAlign w:val="center"/>
            <w:hideMark/>
          </w:tcPr>
          <w:p w:rsidR="00027B3E" w:rsidRPr="00B17CAF" w:rsidRDefault="00027B3E">
            <w:pPr>
              <w:jc w:val="right"/>
              <w:rPr>
                <w:rFonts w:ascii="Verdana" w:hAnsi="Verdana" w:cs="Calibri"/>
                <w:color w:val="000000"/>
                <w:sz w:val="20"/>
                <w:szCs w:val="20"/>
              </w:rPr>
            </w:pPr>
            <w:r w:rsidRPr="00B17CAF">
              <w:rPr>
                <w:rFonts w:ascii="Verdana" w:hAnsi="Verdana" w:cs="Calibri"/>
                <w:color w:val="000000"/>
                <w:sz w:val="20"/>
                <w:szCs w:val="20"/>
              </w:rPr>
              <w:t>31,8%</w:t>
            </w:r>
          </w:p>
        </w:tc>
      </w:tr>
      <w:tr w:rsidR="00027B3E" w:rsidTr="00027B3E">
        <w:trPr>
          <w:trHeight w:val="315"/>
          <w:jc w:val="center"/>
        </w:trPr>
        <w:tc>
          <w:tcPr>
            <w:tcW w:w="2620" w:type="dxa"/>
            <w:tcBorders>
              <w:top w:val="nil"/>
              <w:left w:val="nil"/>
              <w:bottom w:val="single" w:sz="8" w:space="0" w:color="auto"/>
              <w:right w:val="nil"/>
            </w:tcBorders>
            <w:shd w:val="clear" w:color="auto" w:fill="auto"/>
            <w:noWrap/>
            <w:vAlign w:val="center"/>
            <w:hideMark/>
          </w:tcPr>
          <w:p w:rsidR="00027B3E" w:rsidRPr="00B17CAF" w:rsidRDefault="00027B3E">
            <w:pPr>
              <w:rPr>
                <w:rFonts w:ascii="Verdana" w:hAnsi="Verdana" w:cs="Calibri"/>
                <w:b/>
                <w:bCs/>
                <w:color w:val="000080"/>
                <w:sz w:val="20"/>
                <w:szCs w:val="20"/>
              </w:rPr>
            </w:pPr>
            <w:r w:rsidRPr="00B17CAF">
              <w:rPr>
                <w:rFonts w:ascii="Verdana" w:hAnsi="Verdana" w:cs="Calibri"/>
                <w:b/>
                <w:bCs/>
                <w:color w:val="000080"/>
                <w:sz w:val="20"/>
                <w:szCs w:val="20"/>
              </w:rPr>
              <w:t>Total</w:t>
            </w:r>
          </w:p>
        </w:tc>
        <w:tc>
          <w:tcPr>
            <w:tcW w:w="1200" w:type="dxa"/>
            <w:tcBorders>
              <w:top w:val="single" w:sz="8" w:space="0" w:color="auto"/>
              <w:left w:val="nil"/>
              <w:bottom w:val="single" w:sz="8" w:space="0" w:color="auto"/>
              <w:right w:val="nil"/>
            </w:tcBorders>
            <w:shd w:val="clear" w:color="auto" w:fill="auto"/>
            <w:noWrap/>
            <w:vAlign w:val="center"/>
            <w:hideMark/>
          </w:tcPr>
          <w:p w:rsidR="00027B3E" w:rsidRPr="00B17CAF" w:rsidRDefault="00027B3E">
            <w:pPr>
              <w:jc w:val="right"/>
              <w:rPr>
                <w:rFonts w:ascii="Verdana" w:hAnsi="Verdana" w:cs="Calibri"/>
                <w:b/>
                <w:bCs/>
                <w:color w:val="000080"/>
                <w:sz w:val="20"/>
                <w:szCs w:val="20"/>
              </w:rPr>
            </w:pPr>
            <w:r w:rsidRPr="00B17CAF">
              <w:rPr>
                <w:rFonts w:ascii="Verdana" w:hAnsi="Verdana" w:cs="Calibri"/>
                <w:b/>
                <w:bCs/>
                <w:color w:val="000080"/>
                <w:sz w:val="20"/>
                <w:szCs w:val="20"/>
              </w:rPr>
              <w:t>447.713</w:t>
            </w:r>
          </w:p>
        </w:tc>
        <w:tc>
          <w:tcPr>
            <w:tcW w:w="1200" w:type="dxa"/>
            <w:tcBorders>
              <w:top w:val="single" w:sz="8" w:space="0" w:color="auto"/>
              <w:left w:val="nil"/>
              <w:bottom w:val="single" w:sz="8" w:space="0" w:color="auto"/>
              <w:right w:val="nil"/>
            </w:tcBorders>
            <w:shd w:val="clear" w:color="auto" w:fill="auto"/>
            <w:noWrap/>
            <w:vAlign w:val="center"/>
            <w:hideMark/>
          </w:tcPr>
          <w:p w:rsidR="00027B3E" w:rsidRPr="00B17CAF" w:rsidRDefault="00027B3E">
            <w:pPr>
              <w:jc w:val="right"/>
              <w:rPr>
                <w:rFonts w:ascii="Verdana" w:hAnsi="Verdana" w:cs="Calibri"/>
                <w:b/>
                <w:bCs/>
                <w:color w:val="000080"/>
                <w:sz w:val="20"/>
                <w:szCs w:val="20"/>
              </w:rPr>
            </w:pPr>
            <w:r w:rsidRPr="00B17CAF">
              <w:rPr>
                <w:rFonts w:ascii="Verdana" w:hAnsi="Verdana" w:cs="Calibri"/>
                <w:b/>
                <w:bCs/>
                <w:color w:val="000080"/>
                <w:sz w:val="20"/>
                <w:szCs w:val="20"/>
              </w:rPr>
              <w:t>81.880</w:t>
            </w:r>
          </w:p>
        </w:tc>
        <w:tc>
          <w:tcPr>
            <w:tcW w:w="1480" w:type="dxa"/>
            <w:tcBorders>
              <w:top w:val="single" w:sz="8" w:space="0" w:color="auto"/>
              <w:left w:val="nil"/>
              <w:bottom w:val="single" w:sz="8" w:space="0" w:color="auto"/>
              <w:right w:val="nil"/>
            </w:tcBorders>
            <w:shd w:val="clear" w:color="auto" w:fill="auto"/>
            <w:noWrap/>
            <w:vAlign w:val="center"/>
            <w:hideMark/>
          </w:tcPr>
          <w:p w:rsidR="00027B3E" w:rsidRDefault="00027B3E">
            <w:pPr>
              <w:jc w:val="right"/>
              <w:rPr>
                <w:rFonts w:ascii="Verdana" w:hAnsi="Verdana" w:cs="Calibri"/>
                <w:b/>
                <w:bCs/>
                <w:color w:val="000080"/>
                <w:sz w:val="20"/>
                <w:szCs w:val="20"/>
              </w:rPr>
            </w:pPr>
            <w:r w:rsidRPr="00B17CAF">
              <w:rPr>
                <w:rFonts w:ascii="Verdana" w:hAnsi="Verdana" w:cs="Calibri"/>
                <w:b/>
                <w:bCs/>
                <w:color w:val="000080"/>
                <w:sz w:val="20"/>
                <w:szCs w:val="20"/>
              </w:rPr>
              <w:t>18,3%</w:t>
            </w:r>
          </w:p>
        </w:tc>
      </w:tr>
    </w:tbl>
    <w:p w:rsidR="00433902" w:rsidRDefault="00433902" w:rsidP="00433902">
      <w:pPr>
        <w:spacing w:before="120" w:after="120"/>
        <w:ind w:firstLine="357"/>
        <w:jc w:val="both"/>
        <w:rPr>
          <w:rFonts w:ascii="Verdana" w:hAnsi="Verdana" w:cs="Arial"/>
          <w:sz w:val="20"/>
        </w:rPr>
      </w:pPr>
    </w:p>
    <w:p w:rsidR="00433902" w:rsidRDefault="00433902" w:rsidP="00433902">
      <w:pPr>
        <w:spacing w:before="120" w:after="120"/>
        <w:ind w:firstLine="357"/>
        <w:jc w:val="both"/>
        <w:rPr>
          <w:rFonts w:ascii="Verdana" w:hAnsi="Verdana" w:cs="Arial"/>
          <w:sz w:val="20"/>
        </w:rPr>
      </w:pPr>
      <w:r w:rsidRPr="007A6EA4">
        <w:rPr>
          <w:rFonts w:ascii="Verdana" w:hAnsi="Verdana" w:cs="Arial"/>
          <w:sz w:val="20"/>
        </w:rPr>
        <w:t>La evolución en los años de vigencia de los juicios rápidos del porcentaje de juicios de faltas, y desde 2015 de juicios sobre delitos leves, resueltos como rápidos ha sido:</w:t>
      </w:r>
    </w:p>
    <w:p w:rsidR="00433902" w:rsidRPr="007A6EA4" w:rsidRDefault="00433902" w:rsidP="00433902">
      <w:pPr>
        <w:spacing w:before="120" w:after="120"/>
        <w:ind w:firstLine="357"/>
        <w:jc w:val="both"/>
        <w:rPr>
          <w:rFonts w:ascii="Verdana" w:hAnsi="Verdana" w:cs="Arial"/>
          <w:sz w:val="20"/>
        </w:rPr>
      </w:pPr>
    </w:p>
    <w:p w:rsidR="00433902" w:rsidRPr="007A6EA4" w:rsidRDefault="00CE2C11" w:rsidP="00433902">
      <w:pPr>
        <w:spacing w:before="120" w:after="120"/>
        <w:ind w:firstLine="357"/>
        <w:jc w:val="center"/>
        <w:rPr>
          <w:rFonts w:ascii="Verdana" w:hAnsi="Verdana" w:cs="Arial"/>
          <w:sz w:val="20"/>
        </w:rPr>
      </w:pPr>
      <w:r>
        <w:rPr>
          <w:noProof/>
          <w:lang w:val="es-ES"/>
        </w:rPr>
        <w:drawing>
          <wp:inline distT="0" distB="0" distL="0" distR="0" wp14:anchorId="0FB4461A" wp14:editId="11F21935">
            <wp:extent cx="5549265" cy="2611120"/>
            <wp:effectExtent l="0" t="0" r="13335" b="177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33902" w:rsidRPr="007A6EA4" w:rsidRDefault="00433902" w:rsidP="00433902">
      <w:pPr>
        <w:spacing w:before="120" w:after="120"/>
        <w:ind w:firstLine="357"/>
        <w:jc w:val="both"/>
        <w:rPr>
          <w:rFonts w:ascii="Verdana" w:hAnsi="Verdana" w:cs="Arial"/>
          <w:sz w:val="20"/>
        </w:rPr>
      </w:pPr>
    </w:p>
    <w:p w:rsidR="00433902" w:rsidRPr="00B17CAF" w:rsidRDefault="00433902" w:rsidP="00433902">
      <w:pPr>
        <w:spacing w:before="120" w:after="120"/>
        <w:ind w:firstLine="357"/>
        <w:jc w:val="both"/>
        <w:rPr>
          <w:rFonts w:ascii="Verdana" w:hAnsi="Verdana" w:cs="Arial"/>
          <w:sz w:val="20"/>
        </w:rPr>
      </w:pPr>
      <w:r w:rsidRPr="00B17CAF">
        <w:rPr>
          <w:rFonts w:ascii="Verdana" w:hAnsi="Verdana" w:cs="Arial"/>
          <w:sz w:val="20"/>
        </w:rPr>
        <w:t xml:space="preserve">El número de </w:t>
      </w:r>
      <w:r w:rsidRPr="00B17CAF">
        <w:rPr>
          <w:rFonts w:ascii="Verdana" w:hAnsi="Verdana" w:cs="Arial"/>
          <w:b/>
          <w:sz w:val="20"/>
        </w:rPr>
        <w:t>causas con preso provisional</w:t>
      </w:r>
      <w:r w:rsidRPr="00B17CAF">
        <w:rPr>
          <w:rFonts w:ascii="Verdana" w:hAnsi="Verdana" w:cs="Arial"/>
          <w:sz w:val="20"/>
        </w:rPr>
        <w:t xml:space="preserve"> al f</w:t>
      </w:r>
      <w:r w:rsidR="003C657B" w:rsidRPr="00B17CAF">
        <w:rPr>
          <w:rFonts w:ascii="Verdana" w:hAnsi="Verdana" w:cs="Arial"/>
          <w:sz w:val="20"/>
        </w:rPr>
        <w:t>inal de 2017 ha aumentado un 6,1</w:t>
      </w:r>
      <w:r w:rsidRPr="00B17CAF">
        <w:rPr>
          <w:rFonts w:ascii="Verdana" w:hAnsi="Verdana" w:cs="Arial"/>
          <w:sz w:val="20"/>
        </w:rPr>
        <w:t>%  respecto al final de</w:t>
      </w:r>
      <w:r w:rsidR="003C657B" w:rsidRPr="00B17CAF">
        <w:rPr>
          <w:rFonts w:ascii="Verdana" w:hAnsi="Verdana" w:cs="Arial"/>
          <w:sz w:val="20"/>
        </w:rPr>
        <w:t>l año 2016</w:t>
      </w:r>
      <w:r w:rsidRPr="00B17CAF">
        <w:rPr>
          <w:rFonts w:ascii="Verdana" w:hAnsi="Verdana" w:cs="Arial"/>
          <w:sz w:val="20"/>
        </w:rPr>
        <w:t xml:space="preserve">. </w:t>
      </w:r>
    </w:p>
    <w:p w:rsidR="00E72871" w:rsidRPr="00B17CAF" w:rsidRDefault="00E72871" w:rsidP="00433902">
      <w:pPr>
        <w:spacing w:before="120" w:after="120"/>
        <w:ind w:firstLine="357"/>
        <w:jc w:val="both"/>
        <w:rPr>
          <w:rFonts w:ascii="Verdana" w:hAnsi="Verdana" w:cs="Arial"/>
          <w:sz w:val="20"/>
        </w:rPr>
      </w:pPr>
    </w:p>
    <w:p w:rsidR="00433902" w:rsidRPr="00B17CAF" w:rsidRDefault="00433902" w:rsidP="00433902">
      <w:pPr>
        <w:spacing w:before="120" w:after="120"/>
        <w:ind w:firstLine="357"/>
        <w:jc w:val="both"/>
        <w:rPr>
          <w:rFonts w:ascii="Verdana" w:hAnsi="Verdana" w:cs="Arial"/>
          <w:sz w:val="20"/>
        </w:rPr>
      </w:pPr>
      <w:r w:rsidRPr="00B17CAF">
        <w:rPr>
          <w:rFonts w:ascii="Verdana" w:hAnsi="Verdana" w:cs="Arial"/>
          <w:sz w:val="20"/>
        </w:rPr>
        <w:t xml:space="preserve"> </w:t>
      </w:r>
    </w:p>
    <w:tbl>
      <w:tblPr>
        <w:tblW w:w="4420" w:type="dxa"/>
        <w:jc w:val="center"/>
        <w:tblInd w:w="55" w:type="dxa"/>
        <w:tblCellMar>
          <w:left w:w="70" w:type="dxa"/>
          <w:right w:w="70" w:type="dxa"/>
        </w:tblCellMar>
        <w:tblLook w:val="04A0" w:firstRow="1" w:lastRow="0" w:firstColumn="1" w:lastColumn="0" w:noHBand="0" w:noVBand="1"/>
      </w:tblPr>
      <w:tblGrid>
        <w:gridCol w:w="3220"/>
        <w:gridCol w:w="1200"/>
      </w:tblGrid>
      <w:tr w:rsidR="003C657B" w:rsidRPr="00B17CAF" w:rsidTr="003C657B">
        <w:trPr>
          <w:trHeight w:val="510"/>
          <w:jc w:val="center"/>
        </w:trPr>
        <w:tc>
          <w:tcPr>
            <w:tcW w:w="3220" w:type="dxa"/>
            <w:tcBorders>
              <w:top w:val="single" w:sz="8" w:space="0" w:color="auto"/>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Jdos Instrucción y  1ª Inst. e Instrucción</w:t>
            </w:r>
          </w:p>
        </w:tc>
        <w:tc>
          <w:tcPr>
            <w:tcW w:w="1200" w:type="dxa"/>
            <w:tcBorders>
              <w:top w:val="single" w:sz="8" w:space="0" w:color="auto"/>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3.025</w:t>
            </w:r>
          </w:p>
        </w:tc>
      </w:tr>
      <w:tr w:rsidR="003C657B" w:rsidRPr="00B17CAF" w:rsidTr="003C657B">
        <w:trPr>
          <w:trHeight w:val="315"/>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Jdos. Violencia contra la Mujer</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431</w:t>
            </w:r>
          </w:p>
        </w:tc>
      </w:tr>
      <w:tr w:rsidR="003C657B" w:rsidRPr="00B17CAF" w:rsidTr="003C657B">
        <w:trPr>
          <w:trHeight w:val="315"/>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 xml:space="preserve">Audiencias Provinciales </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1.306</w:t>
            </w:r>
          </w:p>
        </w:tc>
      </w:tr>
      <w:tr w:rsidR="003C657B" w:rsidRPr="00B17CAF" w:rsidTr="003C657B">
        <w:trPr>
          <w:trHeight w:val="300"/>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Juzgados Penales</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714</w:t>
            </w:r>
          </w:p>
        </w:tc>
      </w:tr>
      <w:tr w:rsidR="003C657B" w:rsidRPr="00B17CAF" w:rsidTr="003C657B">
        <w:trPr>
          <w:trHeight w:val="300"/>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Juzgado Central de Instrucción</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151</w:t>
            </w:r>
          </w:p>
        </w:tc>
      </w:tr>
      <w:tr w:rsidR="003C657B" w:rsidRPr="00B17CAF" w:rsidTr="003C657B">
        <w:trPr>
          <w:trHeight w:val="300"/>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Juzgado Central de lo Penal</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0</w:t>
            </w:r>
          </w:p>
        </w:tc>
      </w:tr>
      <w:tr w:rsidR="003C657B" w:rsidRPr="00B17CAF" w:rsidTr="003C657B">
        <w:trPr>
          <w:trHeight w:val="525"/>
          <w:jc w:val="center"/>
        </w:trPr>
        <w:tc>
          <w:tcPr>
            <w:tcW w:w="3220" w:type="dxa"/>
            <w:tcBorders>
              <w:top w:val="nil"/>
              <w:left w:val="nil"/>
              <w:bottom w:val="nil"/>
              <w:right w:val="nil"/>
            </w:tcBorders>
            <w:shd w:val="clear" w:color="auto" w:fill="auto"/>
            <w:vAlign w:val="center"/>
            <w:hideMark/>
          </w:tcPr>
          <w:p w:rsidR="003C657B" w:rsidRPr="00B17CAF" w:rsidRDefault="003C657B">
            <w:pPr>
              <w:rPr>
                <w:rFonts w:ascii="Verdana" w:hAnsi="Verdana" w:cs="Calibri"/>
                <w:color w:val="000000"/>
                <w:sz w:val="20"/>
                <w:szCs w:val="20"/>
              </w:rPr>
            </w:pPr>
            <w:r w:rsidRPr="00B17CAF">
              <w:rPr>
                <w:rFonts w:ascii="Verdana" w:hAnsi="Verdana" w:cs="Arial"/>
                <w:color w:val="000000"/>
                <w:sz w:val="20"/>
                <w:szCs w:val="20"/>
              </w:rPr>
              <w:t>Sala de lo Penal de la Audiencia Nacional</w:t>
            </w:r>
          </w:p>
        </w:tc>
        <w:tc>
          <w:tcPr>
            <w:tcW w:w="1200" w:type="dxa"/>
            <w:tcBorders>
              <w:top w:val="nil"/>
              <w:left w:val="nil"/>
              <w:bottom w:val="nil"/>
              <w:right w:val="nil"/>
            </w:tcBorders>
            <w:shd w:val="clear" w:color="auto" w:fill="auto"/>
            <w:vAlign w:val="center"/>
            <w:hideMark/>
          </w:tcPr>
          <w:p w:rsidR="003C657B" w:rsidRPr="00B17CAF" w:rsidRDefault="003C657B">
            <w:pPr>
              <w:jc w:val="right"/>
              <w:rPr>
                <w:rFonts w:ascii="Verdana" w:hAnsi="Verdana" w:cs="Calibri"/>
                <w:color w:val="000000"/>
                <w:sz w:val="20"/>
                <w:szCs w:val="20"/>
              </w:rPr>
            </w:pPr>
            <w:r w:rsidRPr="00B17CAF">
              <w:rPr>
                <w:rFonts w:ascii="Verdana" w:hAnsi="Verdana" w:cs="Calibri"/>
                <w:color w:val="000000"/>
                <w:sz w:val="20"/>
                <w:szCs w:val="20"/>
              </w:rPr>
              <w:t>202</w:t>
            </w:r>
          </w:p>
        </w:tc>
      </w:tr>
      <w:tr w:rsidR="003C657B" w:rsidRPr="00B17CAF" w:rsidTr="003C657B">
        <w:trPr>
          <w:trHeight w:val="315"/>
          <w:jc w:val="center"/>
        </w:trPr>
        <w:tc>
          <w:tcPr>
            <w:tcW w:w="3220" w:type="dxa"/>
            <w:tcBorders>
              <w:top w:val="single" w:sz="8" w:space="0" w:color="auto"/>
              <w:left w:val="nil"/>
              <w:bottom w:val="single" w:sz="8" w:space="0" w:color="auto"/>
              <w:right w:val="nil"/>
            </w:tcBorders>
            <w:shd w:val="clear" w:color="auto" w:fill="auto"/>
            <w:vAlign w:val="center"/>
            <w:hideMark/>
          </w:tcPr>
          <w:p w:rsidR="003C657B" w:rsidRPr="00B17CAF" w:rsidRDefault="003C657B">
            <w:pPr>
              <w:rPr>
                <w:rFonts w:ascii="Verdana" w:hAnsi="Verdana" w:cs="Calibri"/>
                <w:b/>
                <w:bCs/>
                <w:color w:val="000000"/>
                <w:sz w:val="20"/>
                <w:szCs w:val="20"/>
              </w:rPr>
            </w:pPr>
            <w:r w:rsidRPr="00B17CAF">
              <w:rPr>
                <w:rFonts w:ascii="Verdana" w:hAnsi="Verdana" w:cs="Arial"/>
                <w:b/>
                <w:bCs/>
                <w:color w:val="000000"/>
                <w:sz w:val="20"/>
                <w:szCs w:val="20"/>
              </w:rPr>
              <w:t>Total</w:t>
            </w:r>
          </w:p>
        </w:tc>
        <w:tc>
          <w:tcPr>
            <w:tcW w:w="1200" w:type="dxa"/>
            <w:tcBorders>
              <w:top w:val="single" w:sz="8" w:space="0" w:color="auto"/>
              <w:left w:val="nil"/>
              <w:bottom w:val="single" w:sz="8" w:space="0" w:color="auto"/>
              <w:right w:val="nil"/>
            </w:tcBorders>
            <w:shd w:val="clear" w:color="auto" w:fill="auto"/>
            <w:vAlign w:val="center"/>
            <w:hideMark/>
          </w:tcPr>
          <w:p w:rsidR="003C657B" w:rsidRPr="00B17CAF" w:rsidRDefault="003C657B">
            <w:pPr>
              <w:jc w:val="right"/>
              <w:rPr>
                <w:rFonts w:ascii="Verdana" w:hAnsi="Verdana" w:cs="Calibri"/>
                <w:b/>
                <w:bCs/>
                <w:color w:val="000000"/>
                <w:sz w:val="20"/>
                <w:szCs w:val="20"/>
              </w:rPr>
            </w:pPr>
            <w:r w:rsidRPr="00B17CAF">
              <w:rPr>
                <w:rFonts w:ascii="Verdana" w:hAnsi="Verdana" w:cs="Arial"/>
                <w:b/>
                <w:bCs/>
                <w:color w:val="000000"/>
                <w:sz w:val="20"/>
                <w:szCs w:val="20"/>
              </w:rPr>
              <w:t>5.829</w:t>
            </w:r>
          </w:p>
        </w:tc>
      </w:tr>
    </w:tbl>
    <w:p w:rsidR="00433902" w:rsidRPr="00B17CAF" w:rsidRDefault="00433902" w:rsidP="00433902">
      <w:pPr>
        <w:spacing w:before="120" w:after="120"/>
        <w:ind w:firstLine="357"/>
        <w:jc w:val="both"/>
        <w:rPr>
          <w:rFonts w:ascii="Verdana" w:hAnsi="Verdana" w:cs="Arial"/>
          <w:sz w:val="20"/>
        </w:rPr>
      </w:pPr>
    </w:p>
    <w:p w:rsidR="00433902" w:rsidRPr="00B17CAF" w:rsidRDefault="00433902" w:rsidP="00433902">
      <w:pPr>
        <w:spacing w:before="120" w:after="120"/>
        <w:ind w:firstLine="357"/>
        <w:jc w:val="both"/>
        <w:rPr>
          <w:rFonts w:ascii="Verdana" w:hAnsi="Verdana" w:cs="Arial"/>
          <w:sz w:val="20"/>
        </w:rPr>
      </w:pPr>
      <w:r w:rsidRPr="00B17CAF">
        <w:rPr>
          <w:rFonts w:ascii="Verdana" w:hAnsi="Verdana" w:cs="Arial"/>
          <w:sz w:val="20"/>
        </w:rPr>
        <w:t xml:space="preserve">Dentro de los asuntos que conoce la jurisdicción Penal, es de interés destacar los de la Ley del Jurado.  Los </w:t>
      </w:r>
      <w:r w:rsidRPr="00B17CAF">
        <w:rPr>
          <w:rFonts w:ascii="Verdana" w:hAnsi="Verdana" w:cs="Arial"/>
          <w:b/>
          <w:sz w:val="20"/>
        </w:rPr>
        <w:t>procedimientos elevados a vista del jurado</w:t>
      </w:r>
      <w:r w:rsidRPr="00B17CAF">
        <w:rPr>
          <w:rFonts w:ascii="Verdana" w:hAnsi="Verdana" w:cs="Arial"/>
          <w:sz w:val="20"/>
        </w:rPr>
        <w:t xml:space="preserve"> han sido:</w:t>
      </w:r>
    </w:p>
    <w:p w:rsidR="00433902" w:rsidRPr="00B17CAF" w:rsidRDefault="00433902" w:rsidP="00433902">
      <w:pPr>
        <w:spacing w:before="120" w:after="120"/>
        <w:ind w:firstLine="357"/>
        <w:jc w:val="both"/>
        <w:rPr>
          <w:rFonts w:ascii="Verdana" w:hAnsi="Verdana" w:cs="Arial"/>
          <w:sz w:val="20"/>
        </w:rPr>
      </w:pPr>
    </w:p>
    <w:tbl>
      <w:tblPr>
        <w:tblW w:w="8541" w:type="dxa"/>
        <w:jc w:val="center"/>
        <w:tblCellMar>
          <w:left w:w="70" w:type="dxa"/>
          <w:right w:w="70" w:type="dxa"/>
        </w:tblCellMar>
        <w:tblLook w:val="0000" w:firstRow="0" w:lastRow="0" w:firstColumn="0" w:lastColumn="0" w:noHBand="0" w:noVBand="0"/>
      </w:tblPr>
      <w:tblGrid>
        <w:gridCol w:w="4263"/>
        <w:gridCol w:w="289"/>
        <w:gridCol w:w="934"/>
        <w:gridCol w:w="289"/>
        <w:gridCol w:w="1094"/>
        <w:gridCol w:w="289"/>
        <w:gridCol w:w="1326"/>
        <w:gridCol w:w="57"/>
      </w:tblGrid>
      <w:tr w:rsidR="00433902" w:rsidRPr="00B17CAF" w:rsidTr="007967E0">
        <w:trPr>
          <w:trHeight w:val="480"/>
          <w:jc w:val="center"/>
        </w:trPr>
        <w:tc>
          <w:tcPr>
            <w:tcW w:w="4552" w:type="dxa"/>
            <w:gridSpan w:val="2"/>
            <w:tcBorders>
              <w:top w:val="single" w:sz="8" w:space="0" w:color="auto"/>
              <w:left w:val="nil"/>
              <w:bottom w:val="single" w:sz="8" w:space="0" w:color="auto"/>
              <w:right w:val="nil"/>
            </w:tcBorders>
            <w:shd w:val="clear" w:color="auto" w:fill="FFFFFF"/>
            <w:noWrap/>
            <w:vAlign w:val="center"/>
          </w:tcPr>
          <w:p w:rsidR="00433902" w:rsidRPr="00B17CAF" w:rsidRDefault="00433902" w:rsidP="007967E0">
            <w:pPr>
              <w:rPr>
                <w:rFonts w:ascii="Verdana" w:hAnsi="Verdana" w:cs="Arial"/>
                <w:sz w:val="20"/>
                <w:szCs w:val="20"/>
              </w:rPr>
            </w:pPr>
            <w:r w:rsidRPr="00B17CAF">
              <w:rPr>
                <w:rFonts w:ascii="Verdana" w:hAnsi="Verdana" w:cs="Arial"/>
                <w:sz w:val="20"/>
                <w:szCs w:val="20"/>
              </w:rPr>
              <w:t> </w:t>
            </w:r>
          </w:p>
        </w:tc>
        <w:tc>
          <w:tcPr>
            <w:tcW w:w="1223" w:type="dxa"/>
            <w:gridSpan w:val="2"/>
            <w:tcBorders>
              <w:top w:val="single" w:sz="8" w:space="0" w:color="auto"/>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sz w:val="18"/>
                <w:szCs w:val="18"/>
              </w:rPr>
            </w:pPr>
            <w:r w:rsidRPr="00B17CAF">
              <w:rPr>
                <w:rFonts w:ascii="Verdana" w:hAnsi="Verdana" w:cs="Arial"/>
                <w:b/>
                <w:bCs/>
                <w:sz w:val="18"/>
                <w:szCs w:val="18"/>
              </w:rPr>
              <w:t>Causas con preso</w:t>
            </w:r>
          </w:p>
        </w:tc>
        <w:tc>
          <w:tcPr>
            <w:tcW w:w="1383" w:type="dxa"/>
            <w:gridSpan w:val="2"/>
            <w:tcBorders>
              <w:top w:val="single" w:sz="8" w:space="0" w:color="auto"/>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sz w:val="18"/>
                <w:szCs w:val="18"/>
              </w:rPr>
            </w:pPr>
            <w:r w:rsidRPr="00B17CAF">
              <w:rPr>
                <w:rFonts w:ascii="Verdana" w:hAnsi="Verdana" w:cs="Arial"/>
                <w:b/>
                <w:bCs/>
                <w:sz w:val="18"/>
                <w:szCs w:val="18"/>
              </w:rPr>
              <w:t>Causas sin preso</w:t>
            </w:r>
          </w:p>
        </w:tc>
        <w:tc>
          <w:tcPr>
            <w:tcW w:w="1383" w:type="dxa"/>
            <w:gridSpan w:val="2"/>
            <w:tcBorders>
              <w:top w:val="single" w:sz="8" w:space="0" w:color="auto"/>
              <w:left w:val="nil"/>
              <w:bottom w:val="single" w:sz="8" w:space="0" w:color="auto"/>
              <w:right w:val="nil"/>
            </w:tcBorders>
            <w:shd w:val="clear" w:color="auto" w:fill="auto"/>
            <w:vAlign w:val="center"/>
          </w:tcPr>
          <w:p w:rsidR="00433902" w:rsidRPr="00B17CAF" w:rsidRDefault="00433902" w:rsidP="007967E0">
            <w:pPr>
              <w:jc w:val="center"/>
              <w:rPr>
                <w:rFonts w:ascii="Verdana" w:hAnsi="Verdana" w:cs="Arial"/>
                <w:b/>
                <w:bCs/>
                <w:sz w:val="18"/>
                <w:szCs w:val="18"/>
              </w:rPr>
            </w:pPr>
            <w:r w:rsidRPr="00B17CAF">
              <w:rPr>
                <w:rFonts w:ascii="Verdana" w:hAnsi="Verdana" w:cs="Arial"/>
                <w:b/>
                <w:bCs/>
                <w:sz w:val="18"/>
                <w:szCs w:val="18"/>
              </w:rPr>
              <w:t xml:space="preserve"> TOTAL</w:t>
            </w:r>
          </w:p>
        </w:tc>
      </w:tr>
      <w:tr w:rsidR="00433902" w:rsidRPr="00B17CAF" w:rsidTr="007967E0">
        <w:trPr>
          <w:gridAfter w:val="1"/>
          <w:wAfter w:w="57" w:type="dxa"/>
          <w:trHeight w:val="344"/>
          <w:jc w:val="center"/>
        </w:trPr>
        <w:tc>
          <w:tcPr>
            <w:tcW w:w="4263" w:type="dxa"/>
            <w:tcBorders>
              <w:top w:val="single" w:sz="8" w:space="0" w:color="auto"/>
              <w:left w:val="nil"/>
              <w:bottom w:val="nil"/>
              <w:right w:val="nil"/>
            </w:tcBorders>
            <w:shd w:val="clear" w:color="auto" w:fill="auto"/>
            <w:noWrap/>
            <w:vAlign w:val="center"/>
          </w:tcPr>
          <w:p w:rsidR="00433902" w:rsidRPr="00B17CAF" w:rsidRDefault="00433902" w:rsidP="007967E0">
            <w:pPr>
              <w:rPr>
                <w:rFonts w:ascii="Verdana" w:hAnsi="Verdana" w:cs="Arial"/>
                <w:sz w:val="20"/>
                <w:szCs w:val="20"/>
              </w:rPr>
            </w:pPr>
            <w:r w:rsidRPr="00B17CAF">
              <w:rPr>
                <w:rFonts w:ascii="Verdana" w:hAnsi="Verdana" w:cs="Arial"/>
                <w:sz w:val="20"/>
                <w:szCs w:val="20"/>
              </w:rPr>
              <w:t xml:space="preserve">Jdos. Instrucción y 1ª Inst. e Instrucción                        </w:t>
            </w:r>
          </w:p>
        </w:tc>
        <w:tc>
          <w:tcPr>
            <w:tcW w:w="1223" w:type="dxa"/>
            <w:gridSpan w:val="2"/>
            <w:tcBorders>
              <w:top w:val="nil"/>
              <w:left w:val="nil"/>
              <w:bottom w:val="nil"/>
              <w:right w:val="nil"/>
            </w:tcBorders>
            <w:shd w:val="clear" w:color="auto" w:fill="auto"/>
            <w:noWrap/>
            <w:vAlign w:val="center"/>
          </w:tcPr>
          <w:p w:rsidR="00433902" w:rsidRPr="00B17CAF" w:rsidRDefault="00721F29" w:rsidP="007967E0">
            <w:pPr>
              <w:jc w:val="right"/>
              <w:rPr>
                <w:rFonts w:ascii="Verdana" w:hAnsi="Verdana" w:cs="Arial"/>
                <w:sz w:val="20"/>
                <w:szCs w:val="20"/>
              </w:rPr>
            </w:pPr>
            <w:r w:rsidRPr="00B17CAF">
              <w:rPr>
                <w:rFonts w:ascii="Verdana" w:hAnsi="Verdana" w:cs="Arial"/>
                <w:sz w:val="20"/>
                <w:szCs w:val="20"/>
              </w:rPr>
              <w:t>116</w:t>
            </w:r>
          </w:p>
        </w:tc>
        <w:tc>
          <w:tcPr>
            <w:tcW w:w="1383" w:type="dxa"/>
            <w:gridSpan w:val="2"/>
            <w:tcBorders>
              <w:top w:val="nil"/>
              <w:left w:val="nil"/>
              <w:bottom w:val="nil"/>
              <w:right w:val="nil"/>
            </w:tcBorders>
            <w:shd w:val="clear" w:color="auto" w:fill="auto"/>
            <w:noWrap/>
            <w:vAlign w:val="center"/>
          </w:tcPr>
          <w:p w:rsidR="00433902" w:rsidRPr="00B17CAF" w:rsidRDefault="00433902" w:rsidP="00721F29">
            <w:pPr>
              <w:jc w:val="right"/>
              <w:rPr>
                <w:rFonts w:ascii="Verdana" w:hAnsi="Verdana" w:cs="Arial"/>
                <w:sz w:val="20"/>
                <w:szCs w:val="20"/>
              </w:rPr>
            </w:pPr>
            <w:r w:rsidRPr="00B17CAF">
              <w:rPr>
                <w:rFonts w:ascii="Verdana" w:hAnsi="Verdana" w:cs="Arial"/>
                <w:sz w:val="20"/>
                <w:szCs w:val="20"/>
              </w:rPr>
              <w:t>1</w:t>
            </w:r>
            <w:r w:rsidR="00721F29" w:rsidRPr="00B17CAF">
              <w:rPr>
                <w:rFonts w:ascii="Verdana" w:hAnsi="Verdana" w:cs="Arial"/>
                <w:sz w:val="20"/>
                <w:szCs w:val="20"/>
              </w:rPr>
              <w:t>2</w:t>
            </w:r>
            <w:r w:rsidRPr="00B17CAF">
              <w:rPr>
                <w:rFonts w:ascii="Verdana" w:hAnsi="Verdana" w:cs="Arial"/>
                <w:sz w:val="20"/>
                <w:szCs w:val="20"/>
              </w:rPr>
              <w:t>3</w:t>
            </w:r>
          </w:p>
        </w:tc>
        <w:tc>
          <w:tcPr>
            <w:tcW w:w="1615" w:type="dxa"/>
            <w:gridSpan w:val="2"/>
            <w:tcBorders>
              <w:top w:val="nil"/>
              <w:left w:val="nil"/>
              <w:bottom w:val="nil"/>
              <w:right w:val="nil"/>
            </w:tcBorders>
            <w:shd w:val="clear" w:color="auto" w:fill="auto"/>
            <w:noWrap/>
            <w:vAlign w:val="center"/>
          </w:tcPr>
          <w:p w:rsidR="00433902" w:rsidRPr="00B17CAF" w:rsidRDefault="00721F29" w:rsidP="007967E0">
            <w:pPr>
              <w:ind w:right="315"/>
              <w:jc w:val="right"/>
              <w:rPr>
                <w:rFonts w:ascii="Verdana" w:hAnsi="Verdana" w:cs="Arial"/>
                <w:sz w:val="20"/>
                <w:szCs w:val="20"/>
              </w:rPr>
            </w:pPr>
            <w:r w:rsidRPr="00B17CAF">
              <w:rPr>
                <w:rFonts w:ascii="Verdana" w:hAnsi="Verdana" w:cs="Arial"/>
                <w:sz w:val="20"/>
                <w:szCs w:val="20"/>
              </w:rPr>
              <w:t>239</w:t>
            </w:r>
          </w:p>
        </w:tc>
      </w:tr>
      <w:tr w:rsidR="00433902" w:rsidRPr="00B17CAF" w:rsidTr="007967E0">
        <w:trPr>
          <w:gridAfter w:val="1"/>
          <w:wAfter w:w="57" w:type="dxa"/>
          <w:trHeight w:val="261"/>
          <w:jc w:val="center"/>
        </w:trPr>
        <w:tc>
          <w:tcPr>
            <w:tcW w:w="4263" w:type="dxa"/>
            <w:tcBorders>
              <w:top w:val="nil"/>
              <w:left w:val="nil"/>
              <w:bottom w:val="nil"/>
              <w:right w:val="nil"/>
            </w:tcBorders>
            <w:shd w:val="clear" w:color="auto" w:fill="auto"/>
            <w:vAlign w:val="center"/>
          </w:tcPr>
          <w:p w:rsidR="00433902" w:rsidRPr="00B17CAF" w:rsidRDefault="00433902" w:rsidP="007967E0">
            <w:pPr>
              <w:jc w:val="both"/>
              <w:rPr>
                <w:rFonts w:ascii="Verdana" w:hAnsi="Verdana" w:cs="Arial"/>
                <w:sz w:val="20"/>
                <w:szCs w:val="20"/>
              </w:rPr>
            </w:pPr>
            <w:r w:rsidRPr="00B17CAF">
              <w:rPr>
                <w:rFonts w:ascii="Verdana" w:hAnsi="Verdana" w:cs="Arial"/>
                <w:sz w:val="20"/>
                <w:szCs w:val="20"/>
              </w:rPr>
              <w:t>Juzgados Violencia contra la Mujer</w:t>
            </w:r>
          </w:p>
        </w:tc>
        <w:tc>
          <w:tcPr>
            <w:tcW w:w="1223" w:type="dxa"/>
            <w:gridSpan w:val="2"/>
            <w:tcBorders>
              <w:top w:val="nil"/>
              <w:left w:val="nil"/>
              <w:bottom w:val="nil"/>
              <w:right w:val="nil"/>
            </w:tcBorders>
            <w:shd w:val="clear" w:color="auto" w:fill="auto"/>
            <w:noWrap/>
            <w:vAlign w:val="center"/>
          </w:tcPr>
          <w:p w:rsidR="00433902" w:rsidRPr="00B17CAF" w:rsidRDefault="00721F29" w:rsidP="007967E0">
            <w:pPr>
              <w:jc w:val="right"/>
              <w:rPr>
                <w:rFonts w:ascii="Verdana" w:hAnsi="Verdana" w:cs="Arial"/>
                <w:sz w:val="20"/>
                <w:szCs w:val="20"/>
              </w:rPr>
            </w:pPr>
            <w:r w:rsidRPr="00B17CAF">
              <w:rPr>
                <w:rFonts w:ascii="Verdana" w:hAnsi="Verdana" w:cs="Arial"/>
                <w:sz w:val="20"/>
                <w:szCs w:val="20"/>
              </w:rPr>
              <w:t>27</w:t>
            </w:r>
          </w:p>
        </w:tc>
        <w:tc>
          <w:tcPr>
            <w:tcW w:w="1383" w:type="dxa"/>
            <w:gridSpan w:val="2"/>
            <w:tcBorders>
              <w:top w:val="nil"/>
              <w:left w:val="nil"/>
              <w:bottom w:val="nil"/>
              <w:right w:val="nil"/>
            </w:tcBorders>
            <w:shd w:val="clear" w:color="auto" w:fill="auto"/>
            <w:noWrap/>
            <w:vAlign w:val="center"/>
          </w:tcPr>
          <w:p w:rsidR="00433902" w:rsidRPr="00B17CAF" w:rsidRDefault="00721F29" w:rsidP="00721F29">
            <w:pPr>
              <w:jc w:val="right"/>
              <w:rPr>
                <w:rFonts w:ascii="Verdana" w:hAnsi="Verdana" w:cs="Arial"/>
                <w:sz w:val="20"/>
                <w:szCs w:val="20"/>
              </w:rPr>
            </w:pPr>
            <w:r w:rsidRPr="00B17CAF">
              <w:rPr>
                <w:rFonts w:ascii="Verdana" w:hAnsi="Verdana" w:cs="Arial"/>
                <w:sz w:val="20"/>
                <w:szCs w:val="20"/>
              </w:rPr>
              <w:t>6</w:t>
            </w:r>
          </w:p>
        </w:tc>
        <w:tc>
          <w:tcPr>
            <w:tcW w:w="1615" w:type="dxa"/>
            <w:gridSpan w:val="2"/>
            <w:tcBorders>
              <w:top w:val="nil"/>
              <w:left w:val="nil"/>
              <w:bottom w:val="nil"/>
              <w:right w:val="nil"/>
            </w:tcBorders>
            <w:shd w:val="clear" w:color="auto" w:fill="auto"/>
            <w:noWrap/>
            <w:vAlign w:val="center"/>
          </w:tcPr>
          <w:p w:rsidR="00433902" w:rsidRPr="00B17CAF" w:rsidRDefault="00433902" w:rsidP="00721F29">
            <w:pPr>
              <w:ind w:right="315"/>
              <w:jc w:val="right"/>
              <w:rPr>
                <w:rFonts w:ascii="Verdana" w:hAnsi="Verdana" w:cs="Arial"/>
                <w:sz w:val="20"/>
                <w:szCs w:val="20"/>
              </w:rPr>
            </w:pPr>
            <w:r w:rsidRPr="00B17CAF">
              <w:rPr>
                <w:rFonts w:ascii="Verdana" w:hAnsi="Verdana" w:cs="Arial"/>
                <w:sz w:val="20"/>
                <w:szCs w:val="20"/>
              </w:rPr>
              <w:t>3</w:t>
            </w:r>
            <w:r w:rsidR="00721F29" w:rsidRPr="00B17CAF">
              <w:rPr>
                <w:rFonts w:ascii="Verdana" w:hAnsi="Verdana" w:cs="Arial"/>
                <w:sz w:val="20"/>
                <w:szCs w:val="20"/>
              </w:rPr>
              <w:t>3</w:t>
            </w:r>
          </w:p>
        </w:tc>
      </w:tr>
      <w:tr w:rsidR="00433902" w:rsidRPr="00B17CAF" w:rsidTr="007967E0">
        <w:trPr>
          <w:gridAfter w:val="1"/>
          <w:wAfter w:w="57" w:type="dxa"/>
          <w:trHeight w:val="261"/>
          <w:jc w:val="center"/>
        </w:trPr>
        <w:tc>
          <w:tcPr>
            <w:tcW w:w="4263" w:type="dxa"/>
            <w:tcBorders>
              <w:top w:val="single" w:sz="8" w:space="0" w:color="auto"/>
              <w:left w:val="nil"/>
              <w:bottom w:val="single" w:sz="8" w:space="0" w:color="auto"/>
              <w:right w:val="nil"/>
            </w:tcBorders>
            <w:shd w:val="clear" w:color="auto" w:fill="auto"/>
            <w:noWrap/>
            <w:vAlign w:val="center"/>
          </w:tcPr>
          <w:p w:rsidR="00433902" w:rsidRPr="00B17CAF" w:rsidRDefault="00433902" w:rsidP="007967E0">
            <w:pPr>
              <w:rPr>
                <w:rFonts w:ascii="Verdana" w:hAnsi="Verdana" w:cs="Arial"/>
                <w:b/>
                <w:bCs/>
                <w:sz w:val="20"/>
                <w:szCs w:val="20"/>
              </w:rPr>
            </w:pPr>
            <w:r w:rsidRPr="00B17CAF">
              <w:rPr>
                <w:rFonts w:ascii="Verdana" w:hAnsi="Verdana" w:cs="Arial"/>
                <w:b/>
                <w:bCs/>
                <w:sz w:val="20"/>
                <w:szCs w:val="20"/>
              </w:rPr>
              <w:t>Total</w:t>
            </w:r>
          </w:p>
        </w:tc>
        <w:tc>
          <w:tcPr>
            <w:tcW w:w="1223" w:type="dxa"/>
            <w:gridSpan w:val="2"/>
            <w:tcBorders>
              <w:top w:val="single" w:sz="8" w:space="0" w:color="auto"/>
              <w:left w:val="nil"/>
              <w:bottom w:val="single" w:sz="8" w:space="0" w:color="auto"/>
              <w:right w:val="nil"/>
            </w:tcBorders>
            <w:shd w:val="clear" w:color="auto" w:fill="auto"/>
            <w:noWrap/>
            <w:vAlign w:val="center"/>
          </w:tcPr>
          <w:p w:rsidR="00433902" w:rsidRPr="00B17CAF" w:rsidRDefault="00433902" w:rsidP="007967E0">
            <w:pPr>
              <w:jc w:val="right"/>
              <w:rPr>
                <w:rFonts w:ascii="Verdana" w:hAnsi="Verdana" w:cs="Arial"/>
                <w:b/>
                <w:bCs/>
                <w:sz w:val="20"/>
                <w:szCs w:val="20"/>
              </w:rPr>
            </w:pPr>
            <w:r w:rsidRPr="00B17CAF">
              <w:rPr>
                <w:rFonts w:ascii="Verdana" w:hAnsi="Verdana" w:cs="Arial"/>
                <w:b/>
                <w:bCs/>
                <w:sz w:val="20"/>
              </w:rPr>
              <w:t>14</w:t>
            </w:r>
            <w:r w:rsidR="00721F29" w:rsidRPr="00B17CAF">
              <w:rPr>
                <w:rFonts w:ascii="Verdana" w:hAnsi="Verdana" w:cs="Arial"/>
                <w:b/>
                <w:bCs/>
                <w:sz w:val="20"/>
              </w:rPr>
              <w:t>3</w:t>
            </w:r>
          </w:p>
        </w:tc>
        <w:tc>
          <w:tcPr>
            <w:tcW w:w="1383" w:type="dxa"/>
            <w:gridSpan w:val="2"/>
            <w:tcBorders>
              <w:top w:val="single" w:sz="8" w:space="0" w:color="auto"/>
              <w:left w:val="nil"/>
              <w:bottom w:val="single" w:sz="8" w:space="0" w:color="auto"/>
              <w:right w:val="nil"/>
            </w:tcBorders>
            <w:shd w:val="clear" w:color="auto" w:fill="auto"/>
            <w:noWrap/>
            <w:vAlign w:val="center"/>
          </w:tcPr>
          <w:p w:rsidR="00433902" w:rsidRPr="00B17CAF" w:rsidRDefault="00433902" w:rsidP="00721F29">
            <w:pPr>
              <w:jc w:val="right"/>
              <w:rPr>
                <w:rFonts w:ascii="Verdana" w:hAnsi="Verdana" w:cs="Arial"/>
                <w:b/>
                <w:bCs/>
                <w:sz w:val="20"/>
                <w:szCs w:val="20"/>
              </w:rPr>
            </w:pPr>
            <w:r w:rsidRPr="00B17CAF">
              <w:rPr>
                <w:rFonts w:ascii="Verdana" w:hAnsi="Verdana" w:cs="Arial"/>
                <w:b/>
                <w:bCs/>
                <w:sz w:val="20"/>
              </w:rPr>
              <w:t>1</w:t>
            </w:r>
            <w:r w:rsidR="00721F29" w:rsidRPr="00B17CAF">
              <w:rPr>
                <w:rFonts w:ascii="Verdana" w:hAnsi="Verdana" w:cs="Arial"/>
                <w:b/>
                <w:bCs/>
                <w:sz w:val="20"/>
              </w:rPr>
              <w:t>29</w:t>
            </w:r>
          </w:p>
        </w:tc>
        <w:tc>
          <w:tcPr>
            <w:tcW w:w="1615" w:type="dxa"/>
            <w:gridSpan w:val="2"/>
            <w:tcBorders>
              <w:top w:val="single" w:sz="8" w:space="0" w:color="auto"/>
              <w:left w:val="nil"/>
              <w:bottom w:val="single" w:sz="8" w:space="0" w:color="auto"/>
              <w:right w:val="nil"/>
            </w:tcBorders>
            <w:shd w:val="clear" w:color="auto" w:fill="auto"/>
            <w:noWrap/>
            <w:vAlign w:val="center"/>
          </w:tcPr>
          <w:p w:rsidR="00433902" w:rsidRPr="00B17CAF" w:rsidRDefault="00721F29" w:rsidP="007967E0">
            <w:pPr>
              <w:ind w:right="315"/>
              <w:jc w:val="right"/>
              <w:rPr>
                <w:rFonts w:ascii="Verdana" w:hAnsi="Verdana" w:cs="Arial"/>
                <w:b/>
                <w:bCs/>
                <w:sz w:val="20"/>
                <w:szCs w:val="20"/>
              </w:rPr>
            </w:pPr>
            <w:r w:rsidRPr="00B17CAF">
              <w:rPr>
                <w:rFonts w:ascii="Verdana" w:hAnsi="Verdana" w:cs="Arial"/>
                <w:b/>
                <w:bCs/>
                <w:sz w:val="20"/>
              </w:rPr>
              <w:t>272</w:t>
            </w:r>
          </w:p>
        </w:tc>
      </w:tr>
    </w:tbl>
    <w:p w:rsidR="00433902" w:rsidRPr="007A6EA4" w:rsidRDefault="00433902" w:rsidP="00433902">
      <w:pPr>
        <w:spacing w:before="120" w:after="120"/>
        <w:ind w:firstLine="357"/>
        <w:jc w:val="both"/>
        <w:rPr>
          <w:rFonts w:ascii="Verdana" w:hAnsi="Verdana" w:cs="Arial"/>
          <w:sz w:val="20"/>
        </w:rPr>
      </w:pPr>
      <w:r w:rsidRPr="00B17CAF">
        <w:rPr>
          <w:rFonts w:ascii="Verdana" w:hAnsi="Verdana" w:cs="Arial"/>
          <w:sz w:val="20"/>
        </w:rPr>
        <w:t>Se observa un</w:t>
      </w:r>
      <w:r w:rsidR="00721F29" w:rsidRPr="00B17CAF">
        <w:rPr>
          <w:rFonts w:ascii="Verdana" w:hAnsi="Verdana" w:cs="Arial"/>
          <w:sz w:val="20"/>
        </w:rPr>
        <w:t>a disminución</w:t>
      </w:r>
      <w:r w:rsidRPr="00B17CAF">
        <w:rPr>
          <w:rFonts w:ascii="Verdana" w:hAnsi="Verdana" w:cs="Arial"/>
          <w:sz w:val="20"/>
        </w:rPr>
        <w:t xml:space="preserve"> del 1</w:t>
      </w:r>
      <w:r w:rsidR="00721F29" w:rsidRPr="00B17CAF">
        <w:rPr>
          <w:rFonts w:ascii="Verdana" w:hAnsi="Verdana" w:cs="Arial"/>
          <w:sz w:val="20"/>
        </w:rPr>
        <w:t>6</w:t>
      </w:r>
      <w:r w:rsidRPr="00B17CAF">
        <w:rPr>
          <w:rFonts w:ascii="Verdana" w:hAnsi="Verdana" w:cs="Arial"/>
          <w:sz w:val="20"/>
        </w:rPr>
        <w:t>,</w:t>
      </w:r>
      <w:r w:rsidR="00721F29" w:rsidRPr="00B17CAF">
        <w:rPr>
          <w:rFonts w:ascii="Verdana" w:hAnsi="Verdana" w:cs="Arial"/>
          <w:sz w:val="20"/>
        </w:rPr>
        <w:t>3</w:t>
      </w:r>
      <w:r w:rsidRPr="00B17CAF">
        <w:rPr>
          <w:rFonts w:ascii="Verdana" w:hAnsi="Verdana" w:cs="Arial"/>
          <w:sz w:val="20"/>
        </w:rPr>
        <w:t>% respecto</w:t>
      </w:r>
      <w:r w:rsidRPr="007A6EA4">
        <w:rPr>
          <w:rFonts w:ascii="Verdana" w:hAnsi="Verdana" w:cs="Arial"/>
          <w:sz w:val="20"/>
        </w:rPr>
        <w:t xml:space="preserve"> a los elevados en 201</w:t>
      </w:r>
      <w:r w:rsidR="00721F29">
        <w:rPr>
          <w:rFonts w:ascii="Verdana" w:hAnsi="Verdana" w:cs="Arial"/>
          <w:sz w:val="20"/>
        </w:rPr>
        <w:t>6</w:t>
      </w:r>
      <w:r w:rsidRPr="007A6EA4">
        <w:rPr>
          <w:rFonts w:ascii="Verdana" w:hAnsi="Verdana" w:cs="Arial"/>
          <w:sz w:val="20"/>
        </w:rPr>
        <w:t xml:space="preserve">.  </w:t>
      </w:r>
    </w:p>
    <w:p w:rsidR="00433902" w:rsidRPr="007A6EA4" w:rsidRDefault="00433902" w:rsidP="00433902">
      <w:pPr>
        <w:spacing w:before="120" w:after="120"/>
        <w:ind w:firstLine="357"/>
        <w:jc w:val="both"/>
        <w:rPr>
          <w:rFonts w:ascii="Verdana" w:hAnsi="Verdana" w:cs="Arial"/>
          <w:sz w:val="20"/>
        </w:rPr>
      </w:pPr>
    </w:p>
    <w:p w:rsidR="00433902" w:rsidRDefault="00433902" w:rsidP="00433902">
      <w:pPr>
        <w:spacing w:before="120" w:after="120"/>
        <w:ind w:firstLine="357"/>
        <w:jc w:val="both"/>
        <w:rPr>
          <w:rFonts w:ascii="Verdana" w:hAnsi="Verdana" w:cs="Arial"/>
          <w:sz w:val="20"/>
        </w:rPr>
      </w:pPr>
      <w:r w:rsidRPr="00B17CAF">
        <w:rPr>
          <w:rFonts w:ascii="Verdana" w:hAnsi="Verdana" w:cs="Arial"/>
          <w:sz w:val="20"/>
        </w:rPr>
        <w:t>Las ejecutorias en esta jurisdicción se resumen en el siguiente cuadro:</w:t>
      </w:r>
    </w:p>
    <w:p w:rsidR="00AE3B18" w:rsidRDefault="00AE3B18" w:rsidP="00433902">
      <w:pPr>
        <w:spacing w:before="120" w:after="120"/>
        <w:ind w:firstLine="357"/>
        <w:jc w:val="both"/>
        <w:rPr>
          <w:rFonts w:ascii="Verdana" w:hAnsi="Verdana" w:cs="Arial"/>
          <w:sz w:val="20"/>
        </w:rPr>
      </w:pPr>
    </w:p>
    <w:p w:rsidR="00AE3B18" w:rsidRPr="007A6EA4" w:rsidRDefault="00AE3B18" w:rsidP="00433902">
      <w:pPr>
        <w:spacing w:before="120" w:after="120"/>
        <w:ind w:firstLine="357"/>
        <w:jc w:val="both"/>
        <w:rPr>
          <w:rFonts w:ascii="Verdana" w:hAnsi="Verdana" w:cs="Arial"/>
          <w:sz w:val="20"/>
        </w:rPr>
      </w:pPr>
    </w:p>
    <w:tbl>
      <w:tblPr>
        <w:tblW w:w="6900" w:type="dxa"/>
        <w:jc w:val="center"/>
        <w:tblInd w:w="55" w:type="dxa"/>
        <w:tblCellMar>
          <w:left w:w="70" w:type="dxa"/>
          <w:right w:w="70" w:type="dxa"/>
        </w:tblCellMar>
        <w:tblLook w:val="04A0" w:firstRow="1" w:lastRow="0" w:firstColumn="1" w:lastColumn="0" w:noHBand="0" w:noVBand="1"/>
      </w:tblPr>
      <w:tblGrid>
        <w:gridCol w:w="3000"/>
        <w:gridCol w:w="1420"/>
        <w:gridCol w:w="1240"/>
        <w:gridCol w:w="1240"/>
      </w:tblGrid>
      <w:tr w:rsidR="006978F1" w:rsidTr="001947C2">
        <w:trPr>
          <w:trHeight w:val="300"/>
          <w:jc w:val="center"/>
        </w:trPr>
        <w:tc>
          <w:tcPr>
            <w:tcW w:w="3000" w:type="dxa"/>
            <w:vMerge w:val="restart"/>
            <w:tcBorders>
              <w:top w:val="single" w:sz="8" w:space="0" w:color="auto"/>
              <w:left w:val="nil"/>
              <w:bottom w:val="nil"/>
              <w:right w:val="nil"/>
            </w:tcBorders>
            <w:shd w:val="clear" w:color="000000" w:fill="FFFFFF"/>
            <w:noWrap/>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lastRenderedPageBreak/>
              <w:t> </w:t>
            </w:r>
          </w:p>
        </w:tc>
        <w:tc>
          <w:tcPr>
            <w:tcW w:w="3900" w:type="dxa"/>
            <w:gridSpan w:val="3"/>
            <w:vMerge w:val="restart"/>
            <w:tcBorders>
              <w:top w:val="single" w:sz="8" w:space="0" w:color="auto"/>
              <w:left w:val="nil"/>
              <w:bottom w:val="single" w:sz="8" w:space="0" w:color="000000"/>
              <w:right w:val="nil"/>
            </w:tcBorders>
            <w:shd w:val="clear" w:color="auto" w:fill="auto"/>
            <w:vAlign w:val="center"/>
            <w:hideMark/>
          </w:tcPr>
          <w:p w:rsidR="006978F1" w:rsidRDefault="006978F1">
            <w:pPr>
              <w:jc w:val="center"/>
              <w:rPr>
                <w:rFonts w:ascii="Verdana" w:hAnsi="Verdana" w:cs="Calibri"/>
                <w:b/>
                <w:bCs/>
                <w:color w:val="000000"/>
                <w:sz w:val="20"/>
                <w:szCs w:val="20"/>
              </w:rPr>
            </w:pPr>
            <w:r>
              <w:rPr>
                <w:rFonts w:ascii="Verdana" w:hAnsi="Verdana" w:cs="Calibri"/>
                <w:b/>
                <w:bCs/>
                <w:color w:val="000000"/>
                <w:sz w:val="20"/>
                <w:szCs w:val="20"/>
              </w:rPr>
              <w:t>Ejecución de Sentencias</w:t>
            </w:r>
          </w:p>
        </w:tc>
      </w:tr>
      <w:tr w:rsidR="006978F1" w:rsidTr="001947C2">
        <w:trPr>
          <w:trHeight w:val="315"/>
          <w:jc w:val="center"/>
        </w:trPr>
        <w:tc>
          <w:tcPr>
            <w:tcW w:w="3000" w:type="dxa"/>
            <w:vMerge/>
            <w:tcBorders>
              <w:top w:val="single" w:sz="8" w:space="0" w:color="auto"/>
              <w:left w:val="nil"/>
              <w:bottom w:val="nil"/>
              <w:right w:val="nil"/>
            </w:tcBorders>
            <w:vAlign w:val="center"/>
            <w:hideMark/>
          </w:tcPr>
          <w:p w:rsidR="006978F1" w:rsidRDefault="006978F1">
            <w:pPr>
              <w:rPr>
                <w:rFonts w:ascii="Verdana" w:hAnsi="Verdana" w:cs="Calibri"/>
                <w:color w:val="000000"/>
                <w:sz w:val="20"/>
                <w:szCs w:val="20"/>
              </w:rPr>
            </w:pPr>
          </w:p>
        </w:tc>
        <w:tc>
          <w:tcPr>
            <w:tcW w:w="3900" w:type="dxa"/>
            <w:gridSpan w:val="3"/>
            <w:vMerge/>
            <w:tcBorders>
              <w:top w:val="single" w:sz="8" w:space="0" w:color="auto"/>
              <w:left w:val="nil"/>
              <w:bottom w:val="single" w:sz="8" w:space="0" w:color="000000"/>
              <w:right w:val="nil"/>
            </w:tcBorders>
            <w:vAlign w:val="center"/>
            <w:hideMark/>
          </w:tcPr>
          <w:p w:rsidR="006978F1" w:rsidRDefault="006978F1">
            <w:pPr>
              <w:rPr>
                <w:rFonts w:ascii="Verdana" w:hAnsi="Verdana" w:cs="Calibri"/>
                <w:b/>
                <w:bCs/>
                <w:color w:val="000000"/>
                <w:sz w:val="20"/>
                <w:szCs w:val="20"/>
              </w:rPr>
            </w:pPr>
          </w:p>
        </w:tc>
      </w:tr>
      <w:tr w:rsidR="006978F1" w:rsidTr="001947C2">
        <w:trPr>
          <w:trHeight w:val="690"/>
          <w:jc w:val="center"/>
        </w:trPr>
        <w:tc>
          <w:tcPr>
            <w:tcW w:w="3000" w:type="dxa"/>
            <w:tcBorders>
              <w:top w:val="nil"/>
              <w:left w:val="nil"/>
              <w:bottom w:val="single" w:sz="8" w:space="0" w:color="auto"/>
              <w:right w:val="nil"/>
            </w:tcBorders>
            <w:shd w:val="clear" w:color="auto" w:fill="auto"/>
            <w:vAlign w:val="center"/>
            <w:hideMark/>
          </w:tcPr>
          <w:p w:rsidR="006978F1" w:rsidRDefault="006978F1">
            <w:pPr>
              <w:jc w:val="center"/>
              <w:rPr>
                <w:rFonts w:ascii="Verdana" w:hAnsi="Verdana" w:cs="Calibri"/>
                <w:b/>
                <w:bCs/>
                <w:color w:val="000000"/>
                <w:sz w:val="18"/>
                <w:szCs w:val="18"/>
              </w:rPr>
            </w:pPr>
            <w:r>
              <w:rPr>
                <w:rFonts w:ascii="Verdana" w:hAnsi="Verdana" w:cs="Calibri"/>
                <w:b/>
                <w:bCs/>
                <w:color w:val="000000"/>
                <w:sz w:val="18"/>
                <w:szCs w:val="18"/>
              </w:rPr>
              <w:t> </w:t>
            </w:r>
          </w:p>
        </w:tc>
        <w:tc>
          <w:tcPr>
            <w:tcW w:w="1420" w:type="dxa"/>
            <w:tcBorders>
              <w:top w:val="nil"/>
              <w:left w:val="nil"/>
              <w:bottom w:val="single" w:sz="8" w:space="0" w:color="auto"/>
              <w:right w:val="nil"/>
            </w:tcBorders>
            <w:shd w:val="clear" w:color="auto" w:fill="auto"/>
            <w:vAlign w:val="center"/>
            <w:hideMark/>
          </w:tcPr>
          <w:p w:rsidR="006978F1" w:rsidRDefault="006978F1">
            <w:pPr>
              <w:jc w:val="center"/>
              <w:rPr>
                <w:rFonts w:ascii="Verdana" w:hAnsi="Verdana" w:cs="Calibri"/>
                <w:b/>
                <w:bCs/>
                <w:color w:val="000000"/>
                <w:sz w:val="18"/>
                <w:szCs w:val="18"/>
              </w:rPr>
            </w:pPr>
            <w:r>
              <w:rPr>
                <w:rFonts w:ascii="Verdana" w:hAnsi="Verdana" w:cs="Calibri"/>
                <w:b/>
                <w:bCs/>
                <w:color w:val="000000"/>
                <w:sz w:val="18"/>
                <w:szCs w:val="18"/>
              </w:rPr>
              <w:t xml:space="preserve">Registradas </w:t>
            </w:r>
          </w:p>
        </w:tc>
        <w:tc>
          <w:tcPr>
            <w:tcW w:w="1240" w:type="dxa"/>
            <w:tcBorders>
              <w:top w:val="nil"/>
              <w:left w:val="nil"/>
              <w:bottom w:val="single" w:sz="8" w:space="0" w:color="auto"/>
              <w:right w:val="nil"/>
            </w:tcBorders>
            <w:shd w:val="clear" w:color="auto" w:fill="auto"/>
            <w:vAlign w:val="center"/>
            <w:hideMark/>
          </w:tcPr>
          <w:p w:rsidR="006978F1" w:rsidRDefault="006978F1">
            <w:pPr>
              <w:jc w:val="center"/>
              <w:rPr>
                <w:rFonts w:ascii="Verdana" w:hAnsi="Verdana" w:cs="Calibri"/>
                <w:b/>
                <w:bCs/>
                <w:color w:val="000000"/>
                <w:sz w:val="18"/>
                <w:szCs w:val="18"/>
              </w:rPr>
            </w:pPr>
            <w:r>
              <w:rPr>
                <w:rFonts w:ascii="Verdana" w:hAnsi="Verdana" w:cs="Calibri"/>
                <w:b/>
                <w:bCs/>
                <w:color w:val="000000"/>
                <w:sz w:val="18"/>
                <w:szCs w:val="18"/>
              </w:rPr>
              <w:t>Resueltas</w:t>
            </w:r>
          </w:p>
        </w:tc>
        <w:tc>
          <w:tcPr>
            <w:tcW w:w="1240" w:type="dxa"/>
            <w:tcBorders>
              <w:top w:val="nil"/>
              <w:left w:val="nil"/>
              <w:bottom w:val="single" w:sz="8" w:space="0" w:color="auto"/>
              <w:right w:val="nil"/>
            </w:tcBorders>
            <w:shd w:val="clear" w:color="auto" w:fill="auto"/>
            <w:vAlign w:val="center"/>
            <w:hideMark/>
          </w:tcPr>
          <w:p w:rsidR="006978F1" w:rsidRDefault="006978F1">
            <w:pPr>
              <w:jc w:val="center"/>
              <w:rPr>
                <w:rFonts w:ascii="Verdana" w:hAnsi="Verdana" w:cs="Calibri"/>
                <w:b/>
                <w:bCs/>
                <w:color w:val="000000"/>
                <w:sz w:val="18"/>
                <w:szCs w:val="18"/>
              </w:rPr>
            </w:pPr>
            <w:r>
              <w:rPr>
                <w:rFonts w:ascii="Verdana" w:hAnsi="Verdana" w:cs="Calibri"/>
                <w:b/>
                <w:bCs/>
                <w:color w:val="000000"/>
                <w:sz w:val="18"/>
                <w:szCs w:val="18"/>
              </w:rPr>
              <w:t>En trámite al final del año</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Jdos. Instrucción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73.699</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76.071</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43.659</w:t>
            </w:r>
          </w:p>
        </w:tc>
      </w:tr>
      <w:tr w:rsidR="006978F1" w:rsidTr="001947C2">
        <w:trPr>
          <w:trHeight w:val="51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Jdos. 1ª Instancia e Instrucción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36.611</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36.112</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38.993</w:t>
            </w:r>
          </w:p>
        </w:tc>
      </w:tr>
      <w:tr w:rsidR="006978F1" w:rsidTr="001947C2">
        <w:trPr>
          <w:trHeight w:val="51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Jdos. Violencia contra la Mujer</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3.510</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3.400</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2.117</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Jdos. de Menores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15.846</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15.502</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15.997</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Jdos. de lo Penal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167.553</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277.360</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218.898</w:t>
            </w:r>
          </w:p>
        </w:tc>
      </w:tr>
      <w:tr w:rsidR="006978F1" w:rsidTr="001947C2">
        <w:trPr>
          <w:trHeight w:val="51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Jdos. de lo Penal de Ejecutorias</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47.808</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92.858</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58.259</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A.P. Secciones Penales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7.003</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18.616</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15.337</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A.P. Secciones Mixtas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787</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1.860</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1.842</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T.S.J. Sala Civil y Penal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12</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 Central de lo Penal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38</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72</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50</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Jdo. Central de Menores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5</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5</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5</w:t>
            </w:r>
          </w:p>
        </w:tc>
      </w:tr>
      <w:tr w:rsidR="006978F1" w:rsidTr="001947C2">
        <w:trPr>
          <w:trHeight w:val="300"/>
          <w:jc w:val="center"/>
        </w:trPr>
        <w:tc>
          <w:tcPr>
            <w:tcW w:w="3000" w:type="dxa"/>
            <w:tcBorders>
              <w:top w:val="nil"/>
              <w:left w:val="nil"/>
              <w:bottom w:val="nil"/>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 xml:space="preserve">A.N. Sala Penal </w:t>
            </w:r>
          </w:p>
        </w:tc>
        <w:tc>
          <w:tcPr>
            <w:tcW w:w="142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217</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208</w:t>
            </w:r>
          </w:p>
        </w:tc>
        <w:tc>
          <w:tcPr>
            <w:tcW w:w="1240" w:type="dxa"/>
            <w:tcBorders>
              <w:top w:val="nil"/>
              <w:left w:val="nil"/>
              <w:bottom w:val="nil"/>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1613</w:t>
            </w:r>
          </w:p>
        </w:tc>
      </w:tr>
      <w:tr w:rsidR="006978F1" w:rsidTr="001947C2">
        <w:trPr>
          <w:trHeight w:val="315"/>
          <w:jc w:val="center"/>
        </w:trPr>
        <w:tc>
          <w:tcPr>
            <w:tcW w:w="3000" w:type="dxa"/>
            <w:tcBorders>
              <w:top w:val="nil"/>
              <w:left w:val="nil"/>
              <w:bottom w:val="single" w:sz="8" w:space="0" w:color="auto"/>
              <w:right w:val="nil"/>
            </w:tcBorders>
            <w:shd w:val="clear" w:color="auto" w:fill="auto"/>
            <w:vAlign w:val="center"/>
            <w:hideMark/>
          </w:tcPr>
          <w:p w:rsidR="006978F1" w:rsidRDefault="006978F1">
            <w:pPr>
              <w:rPr>
                <w:rFonts w:ascii="Verdana" w:hAnsi="Verdana" w:cs="Calibri"/>
                <w:color w:val="000000"/>
                <w:sz w:val="20"/>
                <w:szCs w:val="20"/>
              </w:rPr>
            </w:pPr>
            <w:r>
              <w:rPr>
                <w:rFonts w:ascii="Verdana" w:hAnsi="Verdana" w:cs="Calibri"/>
                <w:color w:val="000000"/>
                <w:sz w:val="20"/>
                <w:szCs w:val="20"/>
              </w:rPr>
              <w:t>Tribunal Supremo: Sala 2ª</w:t>
            </w:r>
          </w:p>
        </w:tc>
        <w:tc>
          <w:tcPr>
            <w:tcW w:w="142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0</w:t>
            </w:r>
          </w:p>
        </w:tc>
        <w:tc>
          <w:tcPr>
            <w:tcW w:w="124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0</w:t>
            </w:r>
          </w:p>
        </w:tc>
        <w:tc>
          <w:tcPr>
            <w:tcW w:w="124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color w:val="000000"/>
                <w:sz w:val="20"/>
                <w:szCs w:val="20"/>
              </w:rPr>
            </w:pPr>
            <w:r>
              <w:rPr>
                <w:rFonts w:ascii="Verdana" w:hAnsi="Verdana" w:cs="Calibri"/>
                <w:color w:val="000000"/>
                <w:sz w:val="20"/>
                <w:szCs w:val="20"/>
              </w:rPr>
              <w:t>3</w:t>
            </w:r>
          </w:p>
        </w:tc>
      </w:tr>
      <w:tr w:rsidR="006978F1" w:rsidTr="001947C2">
        <w:trPr>
          <w:trHeight w:val="315"/>
          <w:jc w:val="center"/>
        </w:trPr>
        <w:tc>
          <w:tcPr>
            <w:tcW w:w="3000" w:type="dxa"/>
            <w:tcBorders>
              <w:top w:val="nil"/>
              <w:left w:val="nil"/>
              <w:bottom w:val="single" w:sz="8" w:space="0" w:color="auto"/>
              <w:right w:val="nil"/>
            </w:tcBorders>
            <w:shd w:val="clear" w:color="auto" w:fill="auto"/>
            <w:vAlign w:val="center"/>
            <w:hideMark/>
          </w:tcPr>
          <w:p w:rsidR="006978F1" w:rsidRDefault="006978F1">
            <w:pPr>
              <w:rPr>
                <w:rFonts w:ascii="Verdana" w:hAnsi="Verdana" w:cs="Calibri"/>
                <w:b/>
                <w:bCs/>
                <w:color w:val="000000"/>
                <w:sz w:val="20"/>
                <w:szCs w:val="20"/>
              </w:rPr>
            </w:pPr>
            <w:r>
              <w:rPr>
                <w:rFonts w:ascii="Verdana" w:hAnsi="Verdana" w:cs="Calibri"/>
                <w:b/>
                <w:bCs/>
                <w:color w:val="000000"/>
                <w:sz w:val="20"/>
                <w:szCs w:val="20"/>
              </w:rPr>
              <w:t>TOTAL</w:t>
            </w:r>
          </w:p>
        </w:tc>
        <w:tc>
          <w:tcPr>
            <w:tcW w:w="142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b/>
                <w:bCs/>
                <w:color w:val="000000"/>
                <w:sz w:val="20"/>
                <w:szCs w:val="20"/>
              </w:rPr>
            </w:pPr>
            <w:r>
              <w:rPr>
                <w:rFonts w:ascii="Verdana" w:hAnsi="Verdana" w:cs="Calibri"/>
                <w:b/>
                <w:bCs/>
                <w:color w:val="000000"/>
                <w:sz w:val="20"/>
                <w:szCs w:val="20"/>
              </w:rPr>
              <w:t>353.080</w:t>
            </w:r>
          </w:p>
        </w:tc>
        <w:tc>
          <w:tcPr>
            <w:tcW w:w="124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b/>
                <w:bCs/>
                <w:color w:val="000000"/>
                <w:sz w:val="20"/>
                <w:szCs w:val="20"/>
              </w:rPr>
            </w:pPr>
            <w:r>
              <w:rPr>
                <w:rFonts w:ascii="Verdana" w:hAnsi="Verdana" w:cs="Calibri"/>
                <w:b/>
                <w:bCs/>
                <w:color w:val="000000"/>
                <w:sz w:val="20"/>
                <w:szCs w:val="20"/>
              </w:rPr>
              <w:t>522.067</w:t>
            </w:r>
          </w:p>
        </w:tc>
        <w:tc>
          <w:tcPr>
            <w:tcW w:w="1240" w:type="dxa"/>
            <w:tcBorders>
              <w:top w:val="nil"/>
              <w:left w:val="nil"/>
              <w:bottom w:val="single" w:sz="8" w:space="0" w:color="auto"/>
              <w:right w:val="nil"/>
            </w:tcBorders>
            <w:shd w:val="clear" w:color="auto" w:fill="auto"/>
            <w:vAlign w:val="center"/>
            <w:hideMark/>
          </w:tcPr>
          <w:p w:rsidR="006978F1" w:rsidRDefault="006978F1">
            <w:pPr>
              <w:jc w:val="right"/>
              <w:rPr>
                <w:rFonts w:ascii="Verdana" w:hAnsi="Verdana" w:cs="Calibri"/>
                <w:b/>
                <w:bCs/>
                <w:color w:val="000000"/>
                <w:sz w:val="20"/>
                <w:szCs w:val="20"/>
              </w:rPr>
            </w:pPr>
            <w:r>
              <w:rPr>
                <w:rFonts w:ascii="Verdana" w:hAnsi="Verdana" w:cs="Calibri"/>
                <w:b/>
                <w:bCs/>
                <w:color w:val="000000"/>
                <w:sz w:val="20"/>
                <w:szCs w:val="20"/>
              </w:rPr>
              <w:t>396.785</w:t>
            </w:r>
          </w:p>
        </w:tc>
      </w:tr>
    </w:tbl>
    <w:p w:rsidR="00433902" w:rsidRPr="003B2749" w:rsidRDefault="00433902" w:rsidP="00433902">
      <w:pPr>
        <w:keepNext/>
        <w:keepLines/>
        <w:spacing w:before="120" w:after="120"/>
        <w:ind w:firstLine="360"/>
        <w:jc w:val="both"/>
        <w:outlineLvl w:val="1"/>
        <w:rPr>
          <w:rFonts w:ascii="Verdana" w:hAnsi="Verdana"/>
          <w:sz w:val="20"/>
        </w:rPr>
      </w:pPr>
      <w:r w:rsidRPr="003B2749">
        <w:rPr>
          <w:rFonts w:ascii="Verdana" w:hAnsi="Verdana"/>
          <w:sz w:val="20"/>
        </w:rPr>
        <w:t xml:space="preserve">Se ha producido una disminución del </w:t>
      </w:r>
      <w:r w:rsidR="001947C2" w:rsidRPr="003B2749">
        <w:rPr>
          <w:rFonts w:ascii="Verdana" w:hAnsi="Verdana"/>
          <w:sz w:val="20"/>
        </w:rPr>
        <w:t>0</w:t>
      </w:r>
      <w:r w:rsidRPr="003B2749">
        <w:rPr>
          <w:rFonts w:ascii="Verdana" w:hAnsi="Verdana"/>
          <w:sz w:val="20"/>
        </w:rPr>
        <w:t>,</w:t>
      </w:r>
      <w:r w:rsidR="001947C2" w:rsidRPr="003B2749">
        <w:rPr>
          <w:rFonts w:ascii="Verdana" w:hAnsi="Verdana"/>
          <w:sz w:val="20"/>
        </w:rPr>
        <w:t>5</w:t>
      </w:r>
      <w:r w:rsidRPr="003B2749">
        <w:rPr>
          <w:rFonts w:ascii="Verdana" w:hAnsi="Verdana"/>
          <w:sz w:val="20"/>
        </w:rPr>
        <w:t xml:space="preserve">% en el número de ejecutorias ingresadas, del </w:t>
      </w:r>
      <w:r w:rsidR="001947C2" w:rsidRPr="003B2749">
        <w:rPr>
          <w:rFonts w:ascii="Verdana" w:hAnsi="Verdana"/>
          <w:sz w:val="20"/>
        </w:rPr>
        <w:t>2</w:t>
      </w:r>
      <w:r w:rsidRPr="003B2749">
        <w:rPr>
          <w:rFonts w:ascii="Verdana" w:hAnsi="Verdana"/>
          <w:sz w:val="20"/>
        </w:rPr>
        <w:t>,</w:t>
      </w:r>
      <w:r w:rsidR="001947C2" w:rsidRPr="003B2749">
        <w:rPr>
          <w:rFonts w:ascii="Verdana" w:hAnsi="Verdana"/>
          <w:sz w:val="20"/>
        </w:rPr>
        <w:t>8</w:t>
      </w:r>
      <w:r w:rsidRPr="003B2749">
        <w:rPr>
          <w:rFonts w:ascii="Verdana" w:hAnsi="Verdana"/>
          <w:sz w:val="20"/>
        </w:rPr>
        <w:t xml:space="preserve">% de las resueltas, y del </w:t>
      </w:r>
      <w:r w:rsidR="001947C2" w:rsidRPr="003B2749">
        <w:rPr>
          <w:rFonts w:ascii="Verdana" w:hAnsi="Verdana"/>
          <w:sz w:val="20"/>
        </w:rPr>
        <w:t>0</w:t>
      </w:r>
      <w:r w:rsidRPr="003B2749">
        <w:rPr>
          <w:rFonts w:ascii="Verdana" w:hAnsi="Verdana"/>
          <w:sz w:val="20"/>
        </w:rPr>
        <w:t>,</w:t>
      </w:r>
      <w:r w:rsidR="001947C2" w:rsidRPr="003B2749">
        <w:rPr>
          <w:rFonts w:ascii="Verdana" w:hAnsi="Verdana"/>
          <w:sz w:val="20"/>
        </w:rPr>
        <w:t>6</w:t>
      </w:r>
      <w:r w:rsidRPr="003B2749">
        <w:rPr>
          <w:rFonts w:ascii="Verdana" w:hAnsi="Verdana"/>
          <w:sz w:val="20"/>
        </w:rPr>
        <w:t>%  en el de ejecutorias en trámite al final de año.</w:t>
      </w:r>
    </w:p>
    <w:p w:rsidR="00433902" w:rsidRPr="003B2749" w:rsidRDefault="00E9630D" w:rsidP="00433902">
      <w:pPr>
        <w:jc w:val="both"/>
        <w:rPr>
          <w:rFonts w:ascii="Arial" w:hAnsi="Arial" w:cs="Arial"/>
        </w:rPr>
      </w:pPr>
      <w:r w:rsidRPr="003B2749">
        <w:rPr>
          <w:rFonts w:ascii="Arial" w:hAnsi="Arial" w:cs="Arial"/>
        </w:rPr>
        <w:t xml:space="preserve"> </w:t>
      </w:r>
    </w:p>
    <w:p w:rsidR="00AF0F8E" w:rsidRPr="003B2749" w:rsidRDefault="00AF0F8E" w:rsidP="00AE3B18">
      <w:pPr>
        <w:keepNext/>
        <w:keepLines/>
        <w:spacing w:before="120" w:after="120"/>
        <w:ind w:firstLine="360"/>
        <w:jc w:val="both"/>
        <w:outlineLvl w:val="1"/>
        <w:rPr>
          <w:rFonts w:ascii="Verdana" w:hAnsi="Verdana"/>
          <w:sz w:val="20"/>
        </w:rPr>
      </w:pPr>
      <w:r w:rsidRPr="003B2749">
        <w:rPr>
          <w:rFonts w:ascii="Verdana" w:hAnsi="Verdana"/>
          <w:sz w:val="20"/>
        </w:rPr>
        <w:t>Respecto a los asuntos de instrucción compleja, el número de los declarados trimestralmente se ha estabilizado:</w:t>
      </w:r>
    </w:p>
    <w:p w:rsidR="00AF0F8E" w:rsidRDefault="00AF0F8E" w:rsidP="00AF0F8E">
      <w:pPr>
        <w:rPr>
          <w:rFonts w:ascii="Verdana" w:hAnsi="Verdana"/>
          <w:sz w:val="20"/>
          <w:highlight w:val="yellow"/>
        </w:rPr>
      </w:pPr>
    </w:p>
    <w:tbl>
      <w:tblPr>
        <w:tblW w:w="10063" w:type="dxa"/>
        <w:jc w:val="center"/>
        <w:tblCellMar>
          <w:left w:w="70" w:type="dxa"/>
          <w:right w:w="70" w:type="dxa"/>
        </w:tblCellMar>
        <w:tblLook w:val="04A0" w:firstRow="1" w:lastRow="0" w:firstColumn="1" w:lastColumn="0" w:noHBand="0" w:noVBand="1"/>
      </w:tblPr>
      <w:tblGrid>
        <w:gridCol w:w="3023"/>
        <w:gridCol w:w="880"/>
        <w:gridCol w:w="880"/>
        <w:gridCol w:w="880"/>
        <w:gridCol w:w="880"/>
        <w:gridCol w:w="880"/>
        <w:gridCol w:w="880"/>
        <w:gridCol w:w="880"/>
        <w:gridCol w:w="880"/>
      </w:tblGrid>
      <w:tr w:rsidR="00AF0F8E" w:rsidTr="006A72D6">
        <w:trPr>
          <w:trHeight w:val="315"/>
          <w:jc w:val="center"/>
        </w:trPr>
        <w:tc>
          <w:tcPr>
            <w:tcW w:w="3023" w:type="dxa"/>
            <w:tcBorders>
              <w:top w:val="nil"/>
              <w:left w:val="nil"/>
              <w:bottom w:val="nil"/>
              <w:right w:val="nil"/>
            </w:tcBorders>
            <w:shd w:val="clear" w:color="auto" w:fill="auto"/>
            <w:noWrap/>
            <w:vAlign w:val="bottom"/>
            <w:hideMark/>
          </w:tcPr>
          <w:p w:rsidR="00AF0F8E" w:rsidRDefault="00AF0F8E">
            <w:pPr>
              <w:rPr>
                <w:rFonts w:ascii="Calibri" w:hAnsi="Calibri" w:cs="Calibri"/>
                <w:color w:val="000000"/>
                <w:sz w:val="22"/>
                <w:szCs w:val="22"/>
              </w:rPr>
            </w:pP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2016 T1</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2016 T2</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2016 T3</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2016 T4</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2017 T1</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2017 T2</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2017 T3</w:t>
            </w:r>
          </w:p>
        </w:tc>
        <w:tc>
          <w:tcPr>
            <w:tcW w:w="880" w:type="dxa"/>
            <w:tcBorders>
              <w:top w:val="single" w:sz="8" w:space="0" w:color="auto"/>
              <w:left w:val="nil"/>
              <w:bottom w:val="single" w:sz="8" w:space="0" w:color="auto"/>
              <w:right w:val="nil"/>
            </w:tcBorders>
            <w:shd w:val="clear" w:color="auto" w:fill="auto"/>
            <w:noWrap/>
            <w:vAlign w:val="center"/>
            <w:hideMark/>
          </w:tcPr>
          <w:p w:rsidR="00AF0F8E" w:rsidRDefault="00AF0F8E">
            <w:pPr>
              <w:jc w:val="center"/>
              <w:rPr>
                <w:rFonts w:ascii="Calibri" w:hAnsi="Calibri" w:cs="Calibri"/>
                <w:color w:val="000000"/>
                <w:sz w:val="22"/>
                <w:szCs w:val="22"/>
              </w:rPr>
            </w:pPr>
            <w:r>
              <w:rPr>
                <w:rFonts w:ascii="Calibri" w:hAnsi="Calibri" w:cs="Calibri"/>
                <w:color w:val="000000"/>
                <w:sz w:val="22"/>
                <w:szCs w:val="22"/>
              </w:rPr>
              <w:t>2017 T4</w:t>
            </w:r>
          </w:p>
        </w:tc>
      </w:tr>
      <w:tr w:rsidR="00AF0F8E" w:rsidTr="006A72D6">
        <w:trPr>
          <w:trHeight w:val="300"/>
          <w:jc w:val="center"/>
        </w:trPr>
        <w:tc>
          <w:tcPr>
            <w:tcW w:w="3023" w:type="dxa"/>
            <w:tcBorders>
              <w:top w:val="single" w:sz="8" w:space="0" w:color="auto"/>
              <w:left w:val="nil"/>
              <w:bottom w:val="nil"/>
              <w:right w:val="nil"/>
            </w:tcBorders>
            <w:shd w:val="clear" w:color="auto" w:fill="auto"/>
            <w:noWrap/>
            <w:vAlign w:val="bottom"/>
            <w:hideMark/>
          </w:tcPr>
          <w:p w:rsidR="00AF0F8E" w:rsidRDefault="00AF0F8E">
            <w:pPr>
              <w:rPr>
                <w:rFonts w:ascii="Verdana" w:hAnsi="Verdana" w:cs="Calibri"/>
                <w:b/>
                <w:bCs/>
                <w:color w:val="16365C"/>
                <w:sz w:val="20"/>
                <w:szCs w:val="20"/>
              </w:rPr>
            </w:pPr>
            <w:r>
              <w:rPr>
                <w:rFonts w:ascii="Verdana" w:hAnsi="Verdana" w:cs="Calibri"/>
                <w:b/>
                <w:bCs/>
                <w:color w:val="16365C"/>
                <w:sz w:val="20"/>
                <w:szCs w:val="20"/>
              </w:rPr>
              <w:t>Jdos. Instrucción y mixtos</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6.912</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35.411</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8.445</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8.646</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8.690</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8.386</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7.040</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7.989</w:t>
            </w:r>
          </w:p>
        </w:tc>
      </w:tr>
      <w:tr w:rsidR="00AF0F8E" w:rsidTr="006A72D6">
        <w:trPr>
          <w:trHeight w:val="300"/>
          <w:jc w:val="center"/>
        </w:trPr>
        <w:tc>
          <w:tcPr>
            <w:tcW w:w="3023" w:type="dxa"/>
            <w:tcBorders>
              <w:top w:val="nil"/>
              <w:left w:val="nil"/>
              <w:bottom w:val="nil"/>
              <w:right w:val="nil"/>
            </w:tcBorders>
            <w:shd w:val="clear" w:color="auto" w:fill="auto"/>
            <w:noWrap/>
            <w:vAlign w:val="bottom"/>
            <w:hideMark/>
          </w:tcPr>
          <w:p w:rsidR="00AF0F8E" w:rsidRDefault="00AF0F8E">
            <w:pPr>
              <w:rPr>
                <w:rFonts w:ascii="Verdana" w:hAnsi="Verdana" w:cs="Calibri"/>
                <w:b/>
                <w:bCs/>
                <w:color w:val="16365C"/>
                <w:sz w:val="20"/>
                <w:szCs w:val="20"/>
              </w:rPr>
            </w:pPr>
            <w:r>
              <w:rPr>
                <w:rFonts w:ascii="Verdana" w:hAnsi="Verdana" w:cs="Calibri"/>
                <w:b/>
                <w:bCs/>
                <w:color w:val="16365C"/>
                <w:sz w:val="20"/>
                <w:szCs w:val="20"/>
              </w:rPr>
              <w:t>Jdos. Violencia contra la mujer</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219</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1.695</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588</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576</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615</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496</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516</w:t>
            </w:r>
          </w:p>
        </w:tc>
        <w:tc>
          <w:tcPr>
            <w:tcW w:w="880" w:type="dxa"/>
            <w:tcBorders>
              <w:top w:val="nil"/>
              <w:left w:val="nil"/>
              <w:bottom w:val="nil"/>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519</w:t>
            </w:r>
          </w:p>
        </w:tc>
      </w:tr>
      <w:tr w:rsidR="00AF0F8E" w:rsidTr="006A72D6">
        <w:trPr>
          <w:trHeight w:val="315"/>
          <w:jc w:val="center"/>
        </w:trPr>
        <w:tc>
          <w:tcPr>
            <w:tcW w:w="3023" w:type="dxa"/>
            <w:tcBorders>
              <w:top w:val="nil"/>
              <w:left w:val="nil"/>
              <w:bottom w:val="single" w:sz="8" w:space="0" w:color="auto"/>
              <w:right w:val="nil"/>
            </w:tcBorders>
            <w:shd w:val="clear" w:color="auto" w:fill="auto"/>
            <w:noWrap/>
            <w:vAlign w:val="bottom"/>
            <w:hideMark/>
          </w:tcPr>
          <w:p w:rsidR="00AF0F8E" w:rsidRDefault="00AF0F8E">
            <w:pPr>
              <w:rPr>
                <w:rFonts w:ascii="Verdana" w:hAnsi="Verdana" w:cs="Calibri"/>
                <w:b/>
                <w:bCs/>
                <w:color w:val="16365C"/>
                <w:sz w:val="20"/>
                <w:szCs w:val="20"/>
              </w:rPr>
            </w:pPr>
            <w:r>
              <w:rPr>
                <w:rFonts w:ascii="Verdana" w:hAnsi="Verdana" w:cs="Calibri"/>
                <w:b/>
                <w:bCs/>
                <w:color w:val="16365C"/>
                <w:sz w:val="20"/>
                <w:szCs w:val="20"/>
              </w:rPr>
              <w:t>Jdos. Centrales de instrucción</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169</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171</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69</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21</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35</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26</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14</w:t>
            </w:r>
          </w:p>
        </w:tc>
        <w:tc>
          <w:tcPr>
            <w:tcW w:w="880" w:type="dxa"/>
            <w:tcBorders>
              <w:top w:val="nil"/>
              <w:left w:val="nil"/>
              <w:bottom w:val="single" w:sz="8" w:space="0" w:color="auto"/>
              <w:right w:val="nil"/>
            </w:tcBorders>
            <w:shd w:val="clear" w:color="auto" w:fill="auto"/>
            <w:noWrap/>
            <w:vAlign w:val="center"/>
            <w:hideMark/>
          </w:tcPr>
          <w:p w:rsidR="00AF0F8E" w:rsidRDefault="00AF0F8E">
            <w:pPr>
              <w:jc w:val="right"/>
              <w:rPr>
                <w:rFonts w:ascii="Verdana" w:hAnsi="Verdana" w:cs="Calibri"/>
                <w:color w:val="000000"/>
                <w:sz w:val="20"/>
                <w:szCs w:val="20"/>
              </w:rPr>
            </w:pPr>
            <w:r>
              <w:rPr>
                <w:rFonts w:ascii="Verdana" w:hAnsi="Verdana" w:cs="Calibri"/>
                <w:color w:val="000000"/>
                <w:sz w:val="20"/>
                <w:szCs w:val="20"/>
              </w:rPr>
              <w:t>35</w:t>
            </w:r>
          </w:p>
        </w:tc>
      </w:tr>
    </w:tbl>
    <w:p w:rsidR="00AF0F8E" w:rsidRDefault="00AF0F8E" w:rsidP="00AF0F8E">
      <w:pPr>
        <w:rPr>
          <w:rFonts w:ascii="Verdana" w:hAnsi="Verdana"/>
          <w:sz w:val="20"/>
          <w:highlight w:val="yellow"/>
        </w:rPr>
      </w:pPr>
    </w:p>
    <w:p w:rsidR="00AF0F8E" w:rsidRDefault="00AF0F8E" w:rsidP="00AF0F8E">
      <w:pPr>
        <w:rPr>
          <w:rFonts w:ascii="Verdana" w:hAnsi="Verdana"/>
          <w:sz w:val="20"/>
          <w:highlight w:val="yellow"/>
        </w:rPr>
      </w:pPr>
    </w:p>
    <w:p w:rsidR="00AF0F8E" w:rsidRPr="00AF0F8E" w:rsidRDefault="00AF0F8E" w:rsidP="00AF0F8E">
      <w:pPr>
        <w:jc w:val="center"/>
        <w:rPr>
          <w:rFonts w:ascii="Verdana" w:hAnsi="Verdana"/>
          <w:sz w:val="20"/>
          <w:highlight w:val="yellow"/>
        </w:rPr>
      </w:pPr>
      <w:r>
        <w:rPr>
          <w:noProof/>
          <w:lang w:val="es-ES"/>
        </w:rPr>
        <w:lastRenderedPageBreak/>
        <w:drawing>
          <wp:inline distT="0" distB="0" distL="0" distR="0" wp14:anchorId="0FBDBDDB" wp14:editId="7D29257D">
            <wp:extent cx="4943476" cy="2743200"/>
            <wp:effectExtent l="0" t="0" r="9525" b="1905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F0F8E" w:rsidRDefault="00AF0F8E" w:rsidP="00433902">
      <w:pPr>
        <w:keepNext/>
        <w:keepLines/>
        <w:spacing w:before="120" w:after="120"/>
        <w:ind w:firstLine="360"/>
        <w:jc w:val="both"/>
        <w:outlineLvl w:val="1"/>
        <w:rPr>
          <w:rFonts w:ascii="Verdana" w:hAnsi="Verdana"/>
          <w:sz w:val="20"/>
        </w:rPr>
      </w:pPr>
    </w:p>
    <w:p w:rsidR="00AF0F8E" w:rsidRDefault="00AF0F8E" w:rsidP="00AF0F8E">
      <w:pPr>
        <w:keepNext/>
        <w:keepLines/>
        <w:spacing w:before="120" w:after="120"/>
        <w:ind w:firstLine="360"/>
        <w:jc w:val="center"/>
        <w:outlineLvl w:val="1"/>
        <w:rPr>
          <w:rFonts w:ascii="Verdana" w:hAnsi="Verdana"/>
          <w:sz w:val="20"/>
        </w:rPr>
      </w:pPr>
      <w:r>
        <w:rPr>
          <w:noProof/>
          <w:lang w:val="es-ES"/>
        </w:rPr>
        <w:drawing>
          <wp:inline distT="0" distB="0" distL="0" distR="0" wp14:anchorId="2E902FB0" wp14:editId="6C822F67">
            <wp:extent cx="4572000" cy="2743200"/>
            <wp:effectExtent l="0" t="0" r="19050" b="1905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F0F8E" w:rsidRDefault="00AF0F8E" w:rsidP="00433902">
      <w:pPr>
        <w:keepNext/>
        <w:keepLines/>
        <w:spacing w:before="120" w:after="120"/>
        <w:ind w:firstLine="360"/>
        <w:jc w:val="both"/>
        <w:outlineLvl w:val="1"/>
        <w:rPr>
          <w:rFonts w:ascii="Verdana" w:hAnsi="Verdana"/>
          <w:sz w:val="20"/>
        </w:rPr>
      </w:pPr>
    </w:p>
    <w:p w:rsidR="00216A07" w:rsidRDefault="00216A07" w:rsidP="00433902">
      <w:pPr>
        <w:keepNext/>
        <w:keepLines/>
        <w:spacing w:before="120" w:after="120"/>
        <w:ind w:firstLine="360"/>
        <w:jc w:val="both"/>
        <w:outlineLvl w:val="1"/>
        <w:rPr>
          <w:rFonts w:ascii="Verdana" w:hAnsi="Verdana"/>
          <w:sz w:val="20"/>
        </w:rPr>
      </w:pPr>
      <w:r>
        <w:rPr>
          <w:rFonts w:ascii="Verdana" w:hAnsi="Verdana"/>
          <w:sz w:val="20"/>
        </w:rPr>
        <w:t xml:space="preserve">En los juzgados de instrucción y de primera </w:t>
      </w:r>
      <w:r w:rsidR="00FC38D0">
        <w:rPr>
          <w:rFonts w:ascii="Verdana" w:hAnsi="Verdana"/>
          <w:sz w:val="20"/>
        </w:rPr>
        <w:t>instancia</w:t>
      </w:r>
      <w:r>
        <w:rPr>
          <w:rFonts w:ascii="Verdana" w:hAnsi="Verdana"/>
          <w:sz w:val="20"/>
        </w:rPr>
        <w:t xml:space="preserve"> e instrucción, el movimiento de los asuntos de</w:t>
      </w:r>
      <w:r w:rsidR="000915CF">
        <w:rPr>
          <w:rFonts w:ascii="Verdana" w:hAnsi="Verdana"/>
          <w:sz w:val="20"/>
        </w:rPr>
        <w:t xml:space="preserve"> </w:t>
      </w:r>
      <w:r>
        <w:rPr>
          <w:rFonts w:ascii="Verdana" w:hAnsi="Verdana"/>
          <w:sz w:val="20"/>
        </w:rPr>
        <w:t>in</w:t>
      </w:r>
      <w:r w:rsidR="000915CF">
        <w:rPr>
          <w:rFonts w:ascii="Verdana" w:hAnsi="Verdana"/>
          <w:sz w:val="20"/>
        </w:rPr>
        <w:t>s</w:t>
      </w:r>
      <w:r>
        <w:rPr>
          <w:rFonts w:ascii="Verdana" w:hAnsi="Verdana"/>
          <w:sz w:val="20"/>
        </w:rPr>
        <w:t>trucción compleja y su peso respecto</w:t>
      </w:r>
      <w:r w:rsidR="000915CF">
        <w:rPr>
          <w:rFonts w:ascii="Verdana" w:hAnsi="Verdana"/>
          <w:sz w:val="20"/>
        </w:rPr>
        <w:t xml:space="preserve"> </w:t>
      </w:r>
      <w:r>
        <w:rPr>
          <w:rFonts w:ascii="Verdana" w:hAnsi="Verdana"/>
          <w:sz w:val="20"/>
        </w:rPr>
        <w:t>al total de sumarios y diligencias previas pendient</w:t>
      </w:r>
      <w:r w:rsidR="000915CF">
        <w:rPr>
          <w:rFonts w:ascii="Verdana" w:hAnsi="Verdana"/>
          <w:sz w:val="20"/>
        </w:rPr>
        <w:t>e</w:t>
      </w:r>
      <w:r>
        <w:rPr>
          <w:rFonts w:ascii="Verdana" w:hAnsi="Verdana"/>
          <w:sz w:val="20"/>
        </w:rPr>
        <w:t>s a final de año lo resume el siguiente cuadro:</w:t>
      </w:r>
    </w:p>
    <w:tbl>
      <w:tblPr>
        <w:tblW w:w="7640" w:type="dxa"/>
        <w:jc w:val="center"/>
        <w:tblInd w:w="55" w:type="dxa"/>
        <w:tblCellMar>
          <w:left w:w="70" w:type="dxa"/>
          <w:right w:w="70" w:type="dxa"/>
        </w:tblCellMar>
        <w:tblLook w:val="04A0" w:firstRow="1" w:lastRow="0" w:firstColumn="1" w:lastColumn="0" w:noHBand="0" w:noVBand="1"/>
      </w:tblPr>
      <w:tblGrid>
        <w:gridCol w:w="2225"/>
        <w:gridCol w:w="1255"/>
        <w:gridCol w:w="1188"/>
        <w:gridCol w:w="1234"/>
        <w:gridCol w:w="1835"/>
      </w:tblGrid>
      <w:tr w:rsidR="00216A07" w:rsidTr="00216A07">
        <w:trPr>
          <w:trHeight w:val="1560"/>
          <w:jc w:val="center"/>
        </w:trPr>
        <w:tc>
          <w:tcPr>
            <w:tcW w:w="2225" w:type="dxa"/>
            <w:tcBorders>
              <w:top w:val="nil"/>
              <w:left w:val="nil"/>
              <w:bottom w:val="nil"/>
              <w:right w:val="nil"/>
            </w:tcBorders>
            <w:shd w:val="clear" w:color="auto" w:fill="auto"/>
            <w:noWrap/>
            <w:vAlign w:val="bottom"/>
            <w:hideMark/>
          </w:tcPr>
          <w:p w:rsidR="00216A07" w:rsidRDefault="00216A07">
            <w:pPr>
              <w:rPr>
                <w:rFonts w:ascii="Calibri" w:hAnsi="Calibri" w:cs="Calibri"/>
                <w:color w:val="000000"/>
                <w:sz w:val="22"/>
                <w:szCs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Ingresados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Resueltos</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Pendientes al finalizar</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 de DP y sumarios pendientes declarados como de instrucción compleja</w:t>
            </w:r>
          </w:p>
        </w:tc>
      </w:tr>
      <w:tr w:rsidR="00216A07" w:rsidTr="00216A07">
        <w:trPr>
          <w:trHeight w:val="300"/>
          <w:jc w:val="center"/>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Andalucía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5.743</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6.197</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5.987</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12,8%</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Aragón</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837</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865</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667</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14,2%</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Asturias</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849</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923</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706</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16,4%</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Illes Balears</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1.130</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1.238</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1.074</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9,6%</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Canarias</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1.330</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1.929</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1.381</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13,3%</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Cantabria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346</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376</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463</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18,3%</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Castilla y León</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2.171</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2.002</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2.481</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17,1%</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lastRenderedPageBreak/>
              <w:t>Castilla-La Mancha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1.295</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1.335</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1.645</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10,6%</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Cataluña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5.163</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6.381</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6.495</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16,1%</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097707">
            <w:pPr>
              <w:rPr>
                <w:rFonts w:ascii="Verdana" w:hAnsi="Verdana" w:cs="Calibri"/>
                <w:color w:val="000000"/>
                <w:sz w:val="20"/>
                <w:szCs w:val="20"/>
              </w:rPr>
            </w:pPr>
            <w:r>
              <w:rPr>
                <w:rFonts w:ascii="Verdana" w:hAnsi="Verdana" w:cs="Calibri"/>
                <w:color w:val="000000"/>
                <w:sz w:val="20"/>
                <w:szCs w:val="20"/>
              </w:rPr>
              <w:t>C.</w:t>
            </w:r>
            <w:r w:rsidR="00216A07">
              <w:rPr>
                <w:rFonts w:ascii="Verdana" w:hAnsi="Verdana" w:cs="Calibri"/>
                <w:color w:val="000000"/>
                <w:sz w:val="20"/>
                <w:szCs w:val="20"/>
              </w:rPr>
              <w:t xml:space="preserve"> Valenciana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3.127</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3.868</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3.411</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12,3%</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Extremadura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417</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497</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514</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8,5%</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Galicia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2.162</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2.173</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2.248</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13,9%</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Madrid</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3.610</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4.491</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3.399</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14,6%</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Murcia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1.327</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1.548</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1.847</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16,3%</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Navarra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304</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314</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155</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9,6%</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País Vasco</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2.123</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2.058</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1.509</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18,6%</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La Rioja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171</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114</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262</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19,2%</w:t>
            </w:r>
          </w:p>
        </w:tc>
      </w:tr>
      <w:tr w:rsidR="00216A07" w:rsidTr="00216A07">
        <w:trPr>
          <w:trHeight w:val="300"/>
          <w:jc w:val="center"/>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b/>
                <w:bCs/>
                <w:color w:val="16365C"/>
                <w:sz w:val="20"/>
                <w:szCs w:val="20"/>
              </w:rPr>
            </w:pPr>
            <w:r>
              <w:rPr>
                <w:rFonts w:ascii="Verdana" w:hAnsi="Verdana" w:cs="Calibri"/>
                <w:b/>
                <w:bCs/>
                <w:color w:val="16365C"/>
                <w:sz w:val="20"/>
                <w:szCs w:val="20"/>
              </w:rPr>
              <w:t>España</w:t>
            </w:r>
          </w:p>
        </w:tc>
        <w:tc>
          <w:tcPr>
            <w:tcW w:w="1197"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32.105</w:t>
            </w:r>
          </w:p>
        </w:tc>
        <w:tc>
          <w:tcPr>
            <w:tcW w:w="1188"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36.309</w:t>
            </w:r>
          </w:p>
        </w:tc>
        <w:tc>
          <w:tcPr>
            <w:tcW w:w="119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34.244</w:t>
            </w:r>
          </w:p>
        </w:tc>
        <w:tc>
          <w:tcPr>
            <w:tcW w:w="1835"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13,9%</w:t>
            </w:r>
          </w:p>
        </w:tc>
      </w:tr>
    </w:tbl>
    <w:p w:rsidR="00216A07" w:rsidRDefault="00216A07" w:rsidP="00433902">
      <w:pPr>
        <w:keepNext/>
        <w:keepLines/>
        <w:spacing w:before="120" w:after="120"/>
        <w:ind w:firstLine="360"/>
        <w:jc w:val="both"/>
        <w:outlineLvl w:val="1"/>
        <w:rPr>
          <w:rFonts w:ascii="Verdana" w:hAnsi="Verdana"/>
          <w:sz w:val="20"/>
        </w:rPr>
      </w:pPr>
    </w:p>
    <w:p w:rsidR="00216A07" w:rsidRDefault="00216A07" w:rsidP="00433902">
      <w:pPr>
        <w:keepNext/>
        <w:keepLines/>
        <w:spacing w:before="120" w:after="120"/>
        <w:ind w:firstLine="360"/>
        <w:jc w:val="both"/>
        <w:outlineLvl w:val="1"/>
        <w:rPr>
          <w:rFonts w:ascii="Verdana" w:hAnsi="Verdana"/>
          <w:sz w:val="20"/>
        </w:rPr>
      </w:pPr>
      <w:r>
        <w:rPr>
          <w:rFonts w:ascii="Verdana" w:hAnsi="Verdana"/>
          <w:sz w:val="20"/>
        </w:rPr>
        <w:t>En los juzgados centrales e instrucción:</w:t>
      </w:r>
    </w:p>
    <w:tbl>
      <w:tblPr>
        <w:tblW w:w="4800" w:type="dxa"/>
        <w:jc w:val="center"/>
        <w:tblInd w:w="55" w:type="dxa"/>
        <w:tblCellMar>
          <w:left w:w="70" w:type="dxa"/>
          <w:right w:w="70" w:type="dxa"/>
        </w:tblCellMar>
        <w:tblLook w:val="04A0" w:firstRow="1" w:lastRow="0" w:firstColumn="1" w:lastColumn="0" w:noHBand="0" w:noVBand="1"/>
      </w:tblPr>
      <w:tblGrid>
        <w:gridCol w:w="1255"/>
        <w:gridCol w:w="1200"/>
        <w:gridCol w:w="1234"/>
        <w:gridCol w:w="1238"/>
      </w:tblGrid>
      <w:tr w:rsidR="00216A07" w:rsidTr="00216A07">
        <w:trPr>
          <w:trHeight w:val="178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Ingresados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Resueltos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Pendientes al finalizar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 de DP y sumarios pendientes declarados como de instrucción compleja</w:t>
            </w:r>
          </w:p>
        </w:tc>
      </w:tr>
      <w:tr w:rsidR="00216A07" w:rsidTr="00216A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110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176</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36,7%</w:t>
            </w:r>
          </w:p>
        </w:tc>
      </w:tr>
    </w:tbl>
    <w:p w:rsidR="00216A07" w:rsidRDefault="00216A07" w:rsidP="00433902">
      <w:pPr>
        <w:keepNext/>
        <w:keepLines/>
        <w:spacing w:before="120" w:after="120"/>
        <w:ind w:firstLine="360"/>
        <w:jc w:val="both"/>
        <w:outlineLvl w:val="1"/>
        <w:rPr>
          <w:rFonts w:ascii="Verdana" w:hAnsi="Verdana"/>
          <w:sz w:val="20"/>
        </w:rPr>
      </w:pPr>
    </w:p>
    <w:p w:rsidR="00AF0F8E" w:rsidRDefault="00216A07" w:rsidP="00433902">
      <w:pPr>
        <w:keepNext/>
        <w:keepLines/>
        <w:spacing w:before="120" w:after="120"/>
        <w:ind w:firstLine="360"/>
        <w:jc w:val="both"/>
        <w:outlineLvl w:val="1"/>
        <w:rPr>
          <w:rFonts w:ascii="Verdana" w:hAnsi="Verdana"/>
          <w:sz w:val="20"/>
        </w:rPr>
      </w:pPr>
      <w:r>
        <w:rPr>
          <w:rFonts w:ascii="Verdana" w:hAnsi="Verdana"/>
          <w:sz w:val="20"/>
        </w:rPr>
        <w:t>Y en los juzgados de violencia contra la mujer:</w:t>
      </w:r>
    </w:p>
    <w:p w:rsidR="00216A07" w:rsidRDefault="00216A07" w:rsidP="00433902">
      <w:pPr>
        <w:keepNext/>
        <w:keepLines/>
        <w:spacing w:before="120" w:after="120"/>
        <w:ind w:firstLine="360"/>
        <w:jc w:val="both"/>
        <w:outlineLvl w:val="1"/>
        <w:rPr>
          <w:rFonts w:ascii="Verdana" w:hAnsi="Verdana"/>
          <w:sz w:val="20"/>
        </w:rPr>
      </w:pPr>
    </w:p>
    <w:tbl>
      <w:tblPr>
        <w:tblW w:w="7780" w:type="dxa"/>
        <w:jc w:val="center"/>
        <w:tblInd w:w="55" w:type="dxa"/>
        <w:tblCellMar>
          <w:left w:w="70" w:type="dxa"/>
          <w:right w:w="70" w:type="dxa"/>
        </w:tblCellMar>
        <w:tblLook w:val="04A0" w:firstRow="1" w:lastRow="0" w:firstColumn="1" w:lastColumn="0" w:noHBand="0" w:noVBand="1"/>
      </w:tblPr>
      <w:tblGrid>
        <w:gridCol w:w="2380"/>
        <w:gridCol w:w="1255"/>
        <w:gridCol w:w="1200"/>
        <w:gridCol w:w="1234"/>
        <w:gridCol w:w="1800"/>
      </w:tblGrid>
      <w:tr w:rsidR="00216A07" w:rsidTr="00216A07">
        <w:trPr>
          <w:trHeight w:val="1560"/>
          <w:jc w:val="center"/>
        </w:trPr>
        <w:tc>
          <w:tcPr>
            <w:tcW w:w="2380" w:type="dxa"/>
            <w:tcBorders>
              <w:top w:val="nil"/>
              <w:left w:val="nil"/>
              <w:bottom w:val="nil"/>
              <w:right w:val="nil"/>
            </w:tcBorders>
            <w:shd w:val="clear" w:color="auto" w:fill="auto"/>
            <w:noWrap/>
            <w:vAlign w:val="bottom"/>
            <w:hideMark/>
          </w:tcPr>
          <w:p w:rsidR="00216A07" w:rsidRDefault="00216A07">
            <w:pPr>
              <w:rPr>
                <w:rFonts w:ascii="Calibri" w:hAnsi="Calibri" w:cs="Calibr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Ingresados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Resueltos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Pendientes al finalizar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16A07" w:rsidRDefault="00216A07">
            <w:pPr>
              <w:jc w:val="center"/>
              <w:rPr>
                <w:rFonts w:ascii="Verdana" w:hAnsi="Verdana" w:cs="Calibri"/>
                <w:color w:val="000000"/>
                <w:sz w:val="20"/>
                <w:szCs w:val="20"/>
              </w:rPr>
            </w:pPr>
            <w:r>
              <w:rPr>
                <w:rFonts w:ascii="Verdana" w:hAnsi="Verdana" w:cs="Calibri"/>
                <w:color w:val="000000"/>
                <w:sz w:val="20"/>
                <w:szCs w:val="20"/>
              </w:rPr>
              <w:t>% de DP y sumarios pendientes declarados como de instrucción compleja</w:t>
            </w:r>
          </w:p>
        </w:tc>
      </w:tr>
      <w:tr w:rsidR="00216A07" w:rsidTr="00216A07">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Andalucía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399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459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374</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8,4%</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Aragón</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44</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33</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31</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4,5%</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Asturias</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65</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51</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31</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6,2%</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Illes Balears</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107</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101</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14,5%</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Canarias</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47</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52</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8,4%</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Cantabria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14</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4,1%</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Castilla y León</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67</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33</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4,8%</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Castilla-La Mancha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70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67</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5,8%</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Cataluña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346</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404</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245</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7,8%</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097707">
            <w:pPr>
              <w:rPr>
                <w:rFonts w:ascii="Verdana" w:hAnsi="Verdana" w:cs="Calibri"/>
                <w:color w:val="000000"/>
                <w:sz w:val="20"/>
                <w:szCs w:val="20"/>
              </w:rPr>
            </w:pPr>
            <w:r>
              <w:rPr>
                <w:rFonts w:ascii="Verdana" w:hAnsi="Verdana" w:cs="Calibri"/>
                <w:color w:val="000000"/>
                <w:sz w:val="20"/>
                <w:szCs w:val="20"/>
              </w:rPr>
              <w:t>C.</w:t>
            </w:r>
            <w:r w:rsidR="00216A07">
              <w:rPr>
                <w:rFonts w:ascii="Verdana" w:hAnsi="Verdana" w:cs="Calibri"/>
                <w:color w:val="000000"/>
                <w:sz w:val="20"/>
                <w:szCs w:val="20"/>
              </w:rPr>
              <w:t xml:space="preserve"> Valenciana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192</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228</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148</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5,2%</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Extremadura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40</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6,2%</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Galicia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121</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160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87</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5,9%</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Madrid</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313</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336</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182</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5,4%</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Murcia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19</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34</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15</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1,9%</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Navarra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17</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21</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1,0%</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t>País Vasco</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280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271</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91</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9,3%</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color w:val="000000"/>
                <w:sz w:val="20"/>
                <w:szCs w:val="20"/>
              </w:rPr>
            </w:pPr>
            <w:r>
              <w:rPr>
                <w:rFonts w:ascii="Verdana" w:hAnsi="Verdana" w:cs="Calibri"/>
                <w:color w:val="000000"/>
                <w:sz w:val="20"/>
                <w:szCs w:val="20"/>
              </w:rPr>
              <w:lastRenderedPageBreak/>
              <w:t>La Rioja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color w:val="000000"/>
                <w:sz w:val="20"/>
                <w:szCs w:val="20"/>
              </w:rPr>
            </w:pPr>
            <w:r>
              <w:rPr>
                <w:rFonts w:ascii="Verdana" w:hAnsi="Verdana" w:cs="Calibri"/>
                <w:color w:val="000000"/>
                <w:sz w:val="20"/>
                <w:szCs w:val="20"/>
              </w:rPr>
              <w:t>0,6%</w:t>
            </w:r>
          </w:p>
        </w:tc>
      </w:tr>
      <w:tr w:rsidR="00216A07" w:rsidTr="00216A0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16A07" w:rsidRDefault="00216A07">
            <w:pPr>
              <w:rPr>
                <w:rFonts w:ascii="Verdana" w:hAnsi="Verdana" w:cs="Calibri"/>
                <w:b/>
                <w:bCs/>
                <w:color w:val="16365C"/>
                <w:sz w:val="20"/>
                <w:szCs w:val="20"/>
              </w:rPr>
            </w:pPr>
            <w:r>
              <w:rPr>
                <w:rFonts w:ascii="Verdana" w:hAnsi="Verdana" w:cs="Calibri"/>
                <w:b/>
                <w:bCs/>
                <w:color w:val="16365C"/>
                <w:sz w:val="20"/>
                <w:szCs w:val="20"/>
              </w:rPr>
              <w:t>España</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2.146</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2.273</w:t>
            </w:r>
          </w:p>
        </w:tc>
        <w:tc>
          <w:tcPr>
            <w:tcW w:w="12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1.508</w:t>
            </w:r>
          </w:p>
        </w:tc>
        <w:tc>
          <w:tcPr>
            <w:tcW w:w="1800" w:type="dxa"/>
            <w:tcBorders>
              <w:top w:val="nil"/>
              <w:left w:val="nil"/>
              <w:bottom w:val="single" w:sz="4" w:space="0" w:color="auto"/>
              <w:right w:val="single" w:sz="4" w:space="0" w:color="auto"/>
            </w:tcBorders>
            <w:shd w:val="clear" w:color="auto" w:fill="auto"/>
            <w:noWrap/>
            <w:vAlign w:val="center"/>
            <w:hideMark/>
          </w:tcPr>
          <w:p w:rsidR="00216A07" w:rsidRDefault="00216A07">
            <w:pPr>
              <w:jc w:val="right"/>
              <w:rPr>
                <w:rFonts w:ascii="Verdana" w:hAnsi="Verdana" w:cs="Calibri"/>
                <w:b/>
                <w:bCs/>
                <w:color w:val="16365C"/>
                <w:sz w:val="20"/>
                <w:szCs w:val="20"/>
              </w:rPr>
            </w:pPr>
            <w:r>
              <w:rPr>
                <w:rFonts w:ascii="Verdana" w:hAnsi="Verdana" w:cs="Calibri"/>
                <w:b/>
                <w:bCs/>
                <w:color w:val="16365C"/>
                <w:sz w:val="20"/>
                <w:szCs w:val="20"/>
              </w:rPr>
              <w:t>6,6%</w:t>
            </w:r>
          </w:p>
        </w:tc>
      </w:tr>
    </w:tbl>
    <w:p w:rsidR="00216A07" w:rsidRDefault="00216A07" w:rsidP="00433902">
      <w:pPr>
        <w:keepNext/>
        <w:keepLines/>
        <w:spacing w:before="120" w:after="120"/>
        <w:ind w:firstLine="360"/>
        <w:jc w:val="both"/>
        <w:outlineLvl w:val="1"/>
        <w:rPr>
          <w:rFonts w:ascii="Verdana" w:hAnsi="Verdana"/>
          <w:sz w:val="20"/>
        </w:rPr>
      </w:pPr>
    </w:p>
    <w:p w:rsidR="00AF0F8E" w:rsidRDefault="00AF0F8E" w:rsidP="00433902">
      <w:pPr>
        <w:keepNext/>
        <w:keepLines/>
        <w:spacing w:before="120" w:after="120"/>
        <w:ind w:firstLine="360"/>
        <w:jc w:val="both"/>
        <w:outlineLvl w:val="1"/>
        <w:rPr>
          <w:rFonts w:ascii="Verdana" w:hAnsi="Verdana"/>
          <w:sz w:val="20"/>
        </w:rPr>
      </w:pPr>
    </w:p>
    <w:p w:rsidR="00433902" w:rsidRDefault="00433902" w:rsidP="00433902">
      <w:pPr>
        <w:keepNext/>
        <w:keepLines/>
        <w:spacing w:before="120" w:after="120"/>
        <w:ind w:firstLine="360"/>
        <w:jc w:val="both"/>
        <w:outlineLvl w:val="1"/>
        <w:rPr>
          <w:rFonts w:ascii="Verdana" w:hAnsi="Verdana"/>
          <w:sz w:val="20"/>
        </w:rPr>
      </w:pPr>
      <w:r w:rsidRPr="007A6EA4">
        <w:rPr>
          <w:rFonts w:ascii="Verdana" w:hAnsi="Verdana"/>
          <w:sz w:val="20"/>
        </w:rPr>
        <w:t xml:space="preserve">En cuanto a la </w:t>
      </w:r>
      <w:r w:rsidRPr="00E72871">
        <w:rPr>
          <w:rFonts w:ascii="Verdana" w:hAnsi="Verdana"/>
          <w:sz w:val="20"/>
        </w:rPr>
        <w:t>cooperación internacional en el ámbito penal</w:t>
      </w:r>
      <w:r w:rsidRPr="007A6EA4">
        <w:rPr>
          <w:rFonts w:ascii="Verdana" w:hAnsi="Verdana"/>
          <w:sz w:val="20"/>
        </w:rPr>
        <w:t>.</w:t>
      </w:r>
    </w:p>
    <w:p w:rsidR="00E72871" w:rsidRDefault="00E72871" w:rsidP="00433902">
      <w:pPr>
        <w:keepNext/>
        <w:keepLines/>
        <w:spacing w:before="120" w:after="120"/>
        <w:ind w:firstLine="360"/>
        <w:jc w:val="both"/>
        <w:outlineLvl w:val="1"/>
        <w:rPr>
          <w:rFonts w:ascii="Verdana" w:hAnsi="Verdana"/>
          <w:sz w:val="20"/>
        </w:rPr>
      </w:pPr>
    </w:p>
    <w:tbl>
      <w:tblPr>
        <w:tblW w:w="5760" w:type="dxa"/>
        <w:jc w:val="center"/>
        <w:tblInd w:w="55" w:type="dxa"/>
        <w:tblCellMar>
          <w:left w:w="70" w:type="dxa"/>
          <w:right w:w="70" w:type="dxa"/>
        </w:tblCellMar>
        <w:tblLook w:val="04A0" w:firstRow="1" w:lastRow="0" w:firstColumn="1" w:lastColumn="0" w:noHBand="0" w:noVBand="1"/>
      </w:tblPr>
      <w:tblGrid>
        <w:gridCol w:w="1823"/>
        <w:gridCol w:w="1678"/>
        <w:gridCol w:w="1038"/>
        <w:gridCol w:w="1221"/>
      </w:tblGrid>
      <w:tr w:rsidR="009877BA" w:rsidRPr="003B2749" w:rsidTr="009877BA">
        <w:trPr>
          <w:trHeight w:val="780"/>
          <w:jc w:val="center"/>
        </w:trPr>
        <w:tc>
          <w:tcPr>
            <w:tcW w:w="3494" w:type="dxa"/>
            <w:gridSpan w:val="2"/>
            <w:tcBorders>
              <w:top w:val="nil"/>
              <w:left w:val="nil"/>
              <w:bottom w:val="single" w:sz="8" w:space="0" w:color="000080"/>
              <w:right w:val="nil"/>
            </w:tcBorders>
            <w:shd w:val="clear" w:color="auto" w:fill="auto"/>
            <w:vAlign w:val="center"/>
            <w:hideMark/>
          </w:tcPr>
          <w:p w:rsidR="009877BA" w:rsidRPr="003B2749" w:rsidRDefault="009877BA">
            <w:pPr>
              <w:jc w:val="center"/>
              <w:rPr>
                <w:rFonts w:ascii="Verdana" w:hAnsi="Verdana" w:cs="Calibri"/>
                <w:b/>
                <w:bCs/>
                <w:color w:val="000080"/>
                <w:sz w:val="20"/>
                <w:szCs w:val="20"/>
              </w:rPr>
            </w:pPr>
            <w:r w:rsidRPr="003B2749">
              <w:rPr>
                <w:rFonts w:ascii="Verdana" w:hAnsi="Verdana" w:cs="Arial"/>
                <w:b/>
                <w:bCs/>
                <w:color w:val="000080"/>
                <w:sz w:val="20"/>
                <w:szCs w:val="20"/>
              </w:rPr>
              <w:t>Despachos penales de auxilio judicial</w:t>
            </w:r>
          </w:p>
        </w:tc>
        <w:tc>
          <w:tcPr>
            <w:tcW w:w="1083" w:type="dxa"/>
            <w:tcBorders>
              <w:top w:val="single" w:sz="8" w:space="0" w:color="000080"/>
              <w:left w:val="nil"/>
              <w:bottom w:val="single" w:sz="8" w:space="0" w:color="000080"/>
              <w:right w:val="nil"/>
            </w:tcBorders>
            <w:shd w:val="clear" w:color="auto" w:fill="auto"/>
            <w:vAlign w:val="center"/>
            <w:hideMark/>
          </w:tcPr>
          <w:p w:rsidR="009877BA" w:rsidRPr="003B2749" w:rsidRDefault="009877BA">
            <w:pPr>
              <w:jc w:val="center"/>
              <w:rPr>
                <w:rFonts w:ascii="Verdana" w:hAnsi="Verdana" w:cs="Calibri"/>
                <w:b/>
                <w:bCs/>
                <w:color w:val="000080"/>
                <w:sz w:val="20"/>
                <w:szCs w:val="20"/>
              </w:rPr>
            </w:pPr>
            <w:r w:rsidRPr="003B2749">
              <w:rPr>
                <w:rFonts w:ascii="Verdana" w:hAnsi="Verdana" w:cs="Arial"/>
                <w:b/>
                <w:bCs/>
                <w:color w:val="000080"/>
                <w:sz w:val="20"/>
                <w:szCs w:val="20"/>
              </w:rPr>
              <w:t>2017</w:t>
            </w:r>
          </w:p>
        </w:tc>
        <w:tc>
          <w:tcPr>
            <w:tcW w:w="1183" w:type="dxa"/>
            <w:tcBorders>
              <w:top w:val="single" w:sz="8" w:space="0" w:color="000080"/>
              <w:left w:val="nil"/>
              <w:bottom w:val="single" w:sz="8" w:space="0" w:color="000080"/>
              <w:right w:val="nil"/>
            </w:tcBorders>
            <w:shd w:val="clear" w:color="auto" w:fill="auto"/>
            <w:vAlign w:val="center"/>
            <w:hideMark/>
          </w:tcPr>
          <w:p w:rsidR="009877BA" w:rsidRPr="003B2749" w:rsidRDefault="009877BA">
            <w:pPr>
              <w:jc w:val="center"/>
              <w:rPr>
                <w:rFonts w:ascii="Verdana" w:hAnsi="Verdana" w:cs="Calibri"/>
                <w:b/>
                <w:bCs/>
                <w:color w:val="000080"/>
                <w:sz w:val="20"/>
                <w:szCs w:val="20"/>
              </w:rPr>
            </w:pPr>
            <w:r w:rsidRPr="003B2749">
              <w:rPr>
                <w:rFonts w:ascii="Verdana" w:hAnsi="Verdana" w:cs="Arial"/>
                <w:b/>
                <w:bCs/>
                <w:color w:val="000080"/>
                <w:sz w:val="20"/>
                <w:szCs w:val="20"/>
              </w:rPr>
              <w:t>Evolución respecto a 2016</w:t>
            </w:r>
          </w:p>
        </w:tc>
      </w:tr>
      <w:tr w:rsidR="009877BA" w:rsidRPr="003B2749" w:rsidTr="009877BA">
        <w:trPr>
          <w:trHeight w:val="765"/>
          <w:jc w:val="center"/>
        </w:trPr>
        <w:tc>
          <w:tcPr>
            <w:tcW w:w="1926" w:type="dxa"/>
            <w:vMerge w:val="restart"/>
            <w:tcBorders>
              <w:top w:val="nil"/>
              <w:left w:val="nil"/>
              <w:bottom w:val="nil"/>
              <w:right w:val="nil"/>
            </w:tcBorders>
            <w:shd w:val="clear" w:color="auto" w:fill="auto"/>
            <w:vAlign w:val="center"/>
            <w:hideMark/>
          </w:tcPr>
          <w:p w:rsidR="009877BA" w:rsidRPr="003B2749" w:rsidRDefault="009877BA">
            <w:pPr>
              <w:rPr>
                <w:rFonts w:ascii="Verdana" w:hAnsi="Verdana" w:cs="Calibri"/>
                <w:b/>
                <w:bCs/>
                <w:color w:val="244061"/>
                <w:sz w:val="20"/>
                <w:szCs w:val="20"/>
              </w:rPr>
            </w:pPr>
            <w:r w:rsidRPr="003B2749">
              <w:rPr>
                <w:rFonts w:ascii="Verdana" w:hAnsi="Verdana" w:cs="Arial"/>
                <w:b/>
                <w:bCs/>
                <w:color w:val="244061"/>
                <w:sz w:val="20"/>
                <w:szCs w:val="20"/>
              </w:rPr>
              <w:t>Unión Europea</w:t>
            </w:r>
          </w:p>
        </w:tc>
        <w:tc>
          <w:tcPr>
            <w:tcW w:w="1568" w:type="dxa"/>
            <w:tcBorders>
              <w:top w:val="nil"/>
              <w:left w:val="nil"/>
              <w:bottom w:val="nil"/>
              <w:right w:val="nil"/>
            </w:tcBorders>
            <w:shd w:val="clear" w:color="auto" w:fill="auto"/>
            <w:vAlign w:val="center"/>
            <w:hideMark/>
          </w:tcPr>
          <w:p w:rsidR="009877BA" w:rsidRPr="003B2749" w:rsidRDefault="009877BA">
            <w:pPr>
              <w:rPr>
                <w:rFonts w:ascii="Verdana" w:hAnsi="Verdana" w:cs="Calibri"/>
                <w:b/>
                <w:bCs/>
                <w:color w:val="244061"/>
                <w:sz w:val="20"/>
                <w:szCs w:val="20"/>
              </w:rPr>
            </w:pPr>
            <w:r w:rsidRPr="003B2749">
              <w:rPr>
                <w:rFonts w:ascii="Verdana" w:hAnsi="Verdana" w:cs="Arial"/>
                <w:b/>
                <w:bCs/>
                <w:color w:val="244061"/>
                <w:sz w:val="20"/>
                <w:szCs w:val="20"/>
              </w:rPr>
              <w:t> Actos de comunicación</w:t>
            </w:r>
          </w:p>
        </w:tc>
        <w:tc>
          <w:tcPr>
            <w:tcW w:w="1083" w:type="dxa"/>
            <w:tcBorders>
              <w:top w:val="nil"/>
              <w:left w:val="nil"/>
              <w:bottom w:val="nil"/>
              <w:right w:val="nil"/>
            </w:tcBorders>
            <w:shd w:val="clear" w:color="auto" w:fill="auto"/>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1348</w:t>
            </w:r>
          </w:p>
        </w:tc>
        <w:tc>
          <w:tcPr>
            <w:tcW w:w="1183" w:type="dxa"/>
            <w:tcBorders>
              <w:top w:val="nil"/>
              <w:left w:val="nil"/>
              <w:bottom w:val="nil"/>
              <w:right w:val="nil"/>
            </w:tcBorders>
            <w:shd w:val="clear" w:color="auto" w:fill="auto"/>
            <w:noWrap/>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37,1%</w:t>
            </w:r>
          </w:p>
        </w:tc>
      </w:tr>
      <w:tr w:rsidR="009877BA" w:rsidRPr="003B2749" w:rsidTr="009877BA">
        <w:trPr>
          <w:trHeight w:val="765"/>
          <w:jc w:val="center"/>
        </w:trPr>
        <w:tc>
          <w:tcPr>
            <w:tcW w:w="1926" w:type="dxa"/>
            <w:vMerge/>
            <w:tcBorders>
              <w:top w:val="nil"/>
              <w:left w:val="nil"/>
              <w:bottom w:val="nil"/>
              <w:right w:val="nil"/>
            </w:tcBorders>
            <w:vAlign w:val="center"/>
            <w:hideMark/>
          </w:tcPr>
          <w:p w:rsidR="009877BA" w:rsidRPr="003B2749" w:rsidRDefault="009877BA">
            <w:pPr>
              <w:rPr>
                <w:rFonts w:ascii="Verdana" w:hAnsi="Verdana" w:cs="Calibri"/>
                <w:b/>
                <w:bCs/>
                <w:color w:val="244061"/>
                <w:sz w:val="20"/>
                <w:szCs w:val="20"/>
              </w:rPr>
            </w:pPr>
          </w:p>
        </w:tc>
        <w:tc>
          <w:tcPr>
            <w:tcW w:w="1568" w:type="dxa"/>
            <w:tcBorders>
              <w:top w:val="nil"/>
              <w:left w:val="nil"/>
              <w:bottom w:val="nil"/>
              <w:right w:val="nil"/>
            </w:tcBorders>
            <w:shd w:val="clear" w:color="auto" w:fill="auto"/>
            <w:vAlign w:val="center"/>
            <w:hideMark/>
          </w:tcPr>
          <w:p w:rsidR="009877BA" w:rsidRPr="003B2749" w:rsidRDefault="009877BA">
            <w:pPr>
              <w:rPr>
                <w:rFonts w:ascii="Verdana" w:hAnsi="Verdana" w:cs="Calibri"/>
                <w:b/>
                <w:bCs/>
                <w:color w:val="244061"/>
                <w:sz w:val="20"/>
                <w:szCs w:val="20"/>
              </w:rPr>
            </w:pPr>
            <w:r w:rsidRPr="003B2749">
              <w:rPr>
                <w:rFonts w:ascii="Verdana" w:hAnsi="Verdana" w:cs="Arial"/>
                <w:b/>
                <w:bCs/>
                <w:color w:val="244061"/>
                <w:sz w:val="20"/>
                <w:szCs w:val="20"/>
              </w:rPr>
              <w:t> Diligencias Urgentes</w:t>
            </w:r>
          </w:p>
        </w:tc>
        <w:tc>
          <w:tcPr>
            <w:tcW w:w="1083" w:type="dxa"/>
            <w:tcBorders>
              <w:top w:val="nil"/>
              <w:left w:val="nil"/>
              <w:bottom w:val="nil"/>
              <w:right w:val="nil"/>
            </w:tcBorders>
            <w:shd w:val="clear" w:color="auto" w:fill="auto"/>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126</w:t>
            </w:r>
          </w:p>
        </w:tc>
        <w:tc>
          <w:tcPr>
            <w:tcW w:w="1183" w:type="dxa"/>
            <w:tcBorders>
              <w:top w:val="nil"/>
              <w:left w:val="nil"/>
              <w:bottom w:val="nil"/>
              <w:right w:val="nil"/>
            </w:tcBorders>
            <w:shd w:val="clear" w:color="auto" w:fill="auto"/>
            <w:noWrap/>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16,7%</w:t>
            </w:r>
          </w:p>
        </w:tc>
      </w:tr>
      <w:tr w:rsidR="009877BA" w:rsidRPr="003B2749" w:rsidTr="009877BA">
        <w:trPr>
          <w:trHeight w:val="315"/>
          <w:jc w:val="center"/>
        </w:trPr>
        <w:tc>
          <w:tcPr>
            <w:tcW w:w="1926" w:type="dxa"/>
            <w:vMerge/>
            <w:tcBorders>
              <w:top w:val="nil"/>
              <w:left w:val="nil"/>
              <w:bottom w:val="nil"/>
              <w:right w:val="nil"/>
            </w:tcBorders>
            <w:vAlign w:val="center"/>
            <w:hideMark/>
          </w:tcPr>
          <w:p w:rsidR="009877BA" w:rsidRPr="003B2749" w:rsidRDefault="009877BA">
            <w:pPr>
              <w:rPr>
                <w:rFonts w:ascii="Verdana" w:hAnsi="Verdana" w:cs="Calibri"/>
                <w:b/>
                <w:bCs/>
                <w:color w:val="244061"/>
                <w:sz w:val="20"/>
                <w:szCs w:val="20"/>
              </w:rPr>
            </w:pPr>
          </w:p>
        </w:tc>
        <w:tc>
          <w:tcPr>
            <w:tcW w:w="1568" w:type="dxa"/>
            <w:tcBorders>
              <w:top w:val="nil"/>
              <w:left w:val="nil"/>
              <w:bottom w:val="nil"/>
              <w:right w:val="nil"/>
            </w:tcBorders>
            <w:shd w:val="clear" w:color="auto" w:fill="auto"/>
            <w:vAlign w:val="center"/>
            <w:hideMark/>
          </w:tcPr>
          <w:p w:rsidR="009877BA" w:rsidRPr="003B2749" w:rsidRDefault="009877BA">
            <w:pPr>
              <w:rPr>
                <w:rFonts w:ascii="Verdana" w:hAnsi="Verdana" w:cs="Calibri"/>
                <w:b/>
                <w:bCs/>
                <w:color w:val="244061"/>
                <w:sz w:val="20"/>
                <w:szCs w:val="20"/>
              </w:rPr>
            </w:pPr>
            <w:r w:rsidRPr="003B2749">
              <w:rPr>
                <w:rFonts w:ascii="Verdana" w:hAnsi="Verdana" w:cs="Arial"/>
                <w:b/>
                <w:bCs/>
                <w:color w:val="244061"/>
                <w:sz w:val="20"/>
                <w:szCs w:val="20"/>
              </w:rPr>
              <w:t xml:space="preserve"> Resto</w:t>
            </w:r>
          </w:p>
        </w:tc>
        <w:tc>
          <w:tcPr>
            <w:tcW w:w="1083" w:type="dxa"/>
            <w:tcBorders>
              <w:top w:val="nil"/>
              <w:left w:val="nil"/>
              <w:bottom w:val="nil"/>
              <w:right w:val="nil"/>
            </w:tcBorders>
            <w:shd w:val="clear" w:color="auto" w:fill="auto"/>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623</w:t>
            </w:r>
          </w:p>
        </w:tc>
        <w:tc>
          <w:tcPr>
            <w:tcW w:w="1183" w:type="dxa"/>
            <w:tcBorders>
              <w:top w:val="nil"/>
              <w:left w:val="nil"/>
              <w:bottom w:val="nil"/>
              <w:right w:val="nil"/>
            </w:tcBorders>
            <w:shd w:val="clear" w:color="auto" w:fill="auto"/>
            <w:noWrap/>
            <w:vAlign w:val="center"/>
            <w:hideMark/>
          </w:tcPr>
          <w:p w:rsidR="009877BA" w:rsidRPr="003B2749" w:rsidRDefault="009877BA">
            <w:pPr>
              <w:jc w:val="right"/>
              <w:rPr>
                <w:rFonts w:ascii="Verdana" w:hAnsi="Verdana" w:cs="Calibri"/>
                <w:color w:val="000000"/>
                <w:sz w:val="20"/>
                <w:szCs w:val="20"/>
              </w:rPr>
            </w:pPr>
            <w:r w:rsidRPr="003B2749">
              <w:rPr>
                <w:rFonts w:ascii="Verdana" w:hAnsi="Verdana" w:cs="Calibri"/>
                <w:color w:val="000000"/>
                <w:sz w:val="20"/>
                <w:szCs w:val="20"/>
              </w:rPr>
              <w:t>-19,6%</w:t>
            </w:r>
          </w:p>
        </w:tc>
      </w:tr>
      <w:tr w:rsidR="009877BA" w:rsidTr="009877BA">
        <w:trPr>
          <w:trHeight w:val="465"/>
          <w:jc w:val="center"/>
        </w:trPr>
        <w:tc>
          <w:tcPr>
            <w:tcW w:w="3494" w:type="dxa"/>
            <w:gridSpan w:val="2"/>
            <w:tcBorders>
              <w:top w:val="single" w:sz="8" w:space="0" w:color="244062"/>
              <w:left w:val="nil"/>
              <w:bottom w:val="single" w:sz="8" w:space="0" w:color="244062"/>
              <w:right w:val="nil"/>
            </w:tcBorders>
            <w:shd w:val="clear" w:color="auto" w:fill="auto"/>
            <w:vAlign w:val="center"/>
            <w:hideMark/>
          </w:tcPr>
          <w:p w:rsidR="009877BA" w:rsidRPr="003B2749" w:rsidRDefault="009877BA">
            <w:pPr>
              <w:jc w:val="center"/>
              <w:rPr>
                <w:rFonts w:ascii="Verdana" w:hAnsi="Verdana" w:cs="Calibri"/>
                <w:b/>
                <w:bCs/>
                <w:color w:val="000080"/>
                <w:sz w:val="20"/>
                <w:szCs w:val="20"/>
              </w:rPr>
            </w:pPr>
            <w:r w:rsidRPr="003B2749">
              <w:rPr>
                <w:rFonts w:ascii="Verdana" w:hAnsi="Verdana" w:cs="Arial"/>
                <w:b/>
                <w:bCs/>
                <w:color w:val="000080"/>
                <w:sz w:val="20"/>
                <w:szCs w:val="20"/>
              </w:rPr>
              <w:t>Despachos recibidos de otros países</w:t>
            </w:r>
          </w:p>
        </w:tc>
        <w:tc>
          <w:tcPr>
            <w:tcW w:w="1083" w:type="dxa"/>
            <w:tcBorders>
              <w:top w:val="single" w:sz="8" w:space="0" w:color="244062"/>
              <w:left w:val="nil"/>
              <w:bottom w:val="single" w:sz="8" w:space="0" w:color="244062"/>
              <w:right w:val="nil"/>
            </w:tcBorders>
            <w:shd w:val="clear" w:color="auto" w:fill="auto"/>
            <w:vAlign w:val="center"/>
            <w:hideMark/>
          </w:tcPr>
          <w:p w:rsidR="009877BA" w:rsidRPr="003B2749" w:rsidRDefault="009877BA">
            <w:pPr>
              <w:jc w:val="right"/>
              <w:rPr>
                <w:rFonts w:ascii="Verdana" w:hAnsi="Verdana" w:cs="Calibri"/>
                <w:color w:val="244062"/>
                <w:sz w:val="20"/>
                <w:szCs w:val="20"/>
              </w:rPr>
            </w:pPr>
            <w:r w:rsidRPr="003B2749">
              <w:rPr>
                <w:rFonts w:ascii="Verdana" w:hAnsi="Verdana" w:cs="Calibri"/>
                <w:color w:val="244062"/>
                <w:sz w:val="20"/>
                <w:szCs w:val="20"/>
              </w:rPr>
              <w:t>355</w:t>
            </w:r>
          </w:p>
        </w:tc>
        <w:tc>
          <w:tcPr>
            <w:tcW w:w="1183" w:type="dxa"/>
            <w:tcBorders>
              <w:top w:val="single" w:sz="8" w:space="0" w:color="244062"/>
              <w:left w:val="nil"/>
              <w:bottom w:val="single" w:sz="8" w:space="0" w:color="244062"/>
              <w:right w:val="nil"/>
            </w:tcBorders>
            <w:shd w:val="clear" w:color="auto" w:fill="auto"/>
            <w:noWrap/>
            <w:vAlign w:val="center"/>
            <w:hideMark/>
          </w:tcPr>
          <w:p w:rsidR="009877BA" w:rsidRDefault="009877BA">
            <w:pPr>
              <w:jc w:val="right"/>
              <w:rPr>
                <w:rFonts w:ascii="Verdana" w:hAnsi="Verdana" w:cs="Calibri"/>
                <w:color w:val="244062"/>
                <w:sz w:val="20"/>
                <w:szCs w:val="20"/>
              </w:rPr>
            </w:pPr>
            <w:r w:rsidRPr="003B2749">
              <w:rPr>
                <w:rFonts w:ascii="Verdana" w:hAnsi="Verdana" w:cs="Calibri"/>
                <w:color w:val="244062"/>
                <w:sz w:val="20"/>
                <w:szCs w:val="20"/>
              </w:rPr>
              <w:t>13,4%</w:t>
            </w:r>
          </w:p>
        </w:tc>
      </w:tr>
    </w:tbl>
    <w:p w:rsidR="009877BA" w:rsidRDefault="009877BA" w:rsidP="00433902">
      <w:pPr>
        <w:keepNext/>
        <w:keepLines/>
        <w:spacing w:before="120" w:after="120"/>
        <w:ind w:firstLine="360"/>
        <w:jc w:val="both"/>
        <w:outlineLvl w:val="1"/>
        <w:rPr>
          <w:rFonts w:ascii="Verdana" w:hAnsi="Verdana"/>
          <w:sz w:val="20"/>
        </w:rPr>
      </w:pPr>
    </w:p>
    <w:p w:rsidR="00433902" w:rsidRPr="007A6EA4" w:rsidRDefault="00433902" w:rsidP="00433902">
      <w:pPr>
        <w:jc w:val="both"/>
        <w:rPr>
          <w:rFonts w:ascii="Verdana" w:hAnsi="Verdana" w:cs="Arial"/>
        </w:rPr>
      </w:pPr>
    </w:p>
    <w:tbl>
      <w:tblPr>
        <w:tblW w:w="6460" w:type="dxa"/>
        <w:jc w:val="center"/>
        <w:tblInd w:w="55" w:type="dxa"/>
        <w:tblCellMar>
          <w:left w:w="70" w:type="dxa"/>
          <w:right w:w="70" w:type="dxa"/>
        </w:tblCellMar>
        <w:tblLook w:val="04A0" w:firstRow="1" w:lastRow="0" w:firstColumn="1" w:lastColumn="0" w:noHBand="0" w:noVBand="1"/>
      </w:tblPr>
      <w:tblGrid>
        <w:gridCol w:w="3140"/>
        <w:gridCol w:w="1720"/>
        <w:gridCol w:w="1600"/>
      </w:tblGrid>
      <w:tr w:rsidR="00433902" w:rsidRPr="007A6EA4" w:rsidTr="007967E0">
        <w:trPr>
          <w:trHeight w:val="780"/>
          <w:jc w:val="center"/>
        </w:trPr>
        <w:tc>
          <w:tcPr>
            <w:tcW w:w="3140" w:type="dxa"/>
            <w:tcBorders>
              <w:top w:val="nil"/>
              <w:left w:val="nil"/>
              <w:bottom w:val="single" w:sz="8" w:space="0" w:color="000080"/>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7A6EA4">
              <w:rPr>
                <w:rFonts w:ascii="Verdana" w:hAnsi="Verdana" w:cs="Calibri"/>
                <w:b/>
                <w:bCs/>
                <w:color w:val="000080"/>
                <w:sz w:val="20"/>
                <w:szCs w:val="20"/>
              </w:rPr>
              <w:t>Extradiciones pasivas </w:t>
            </w:r>
          </w:p>
        </w:tc>
        <w:tc>
          <w:tcPr>
            <w:tcW w:w="1720" w:type="dxa"/>
            <w:tcBorders>
              <w:top w:val="single" w:sz="8" w:space="0" w:color="000080"/>
              <w:left w:val="nil"/>
              <w:bottom w:val="single" w:sz="8" w:space="0" w:color="000080"/>
              <w:right w:val="nil"/>
            </w:tcBorders>
            <w:shd w:val="clear" w:color="auto" w:fill="auto"/>
            <w:vAlign w:val="center"/>
            <w:hideMark/>
          </w:tcPr>
          <w:p w:rsidR="00433902" w:rsidRPr="007A6EA4" w:rsidRDefault="006513AF" w:rsidP="007967E0">
            <w:pPr>
              <w:jc w:val="center"/>
              <w:rPr>
                <w:rFonts w:ascii="Verdana" w:hAnsi="Verdana" w:cs="Calibri"/>
                <w:b/>
                <w:bCs/>
                <w:color w:val="000080"/>
                <w:sz w:val="20"/>
                <w:szCs w:val="20"/>
              </w:rPr>
            </w:pPr>
            <w:r>
              <w:rPr>
                <w:rFonts w:ascii="Verdana" w:hAnsi="Verdana" w:cs="Calibri"/>
                <w:b/>
                <w:bCs/>
                <w:color w:val="000080"/>
                <w:sz w:val="20"/>
                <w:szCs w:val="20"/>
              </w:rPr>
              <w:t>2017</w:t>
            </w:r>
          </w:p>
        </w:tc>
        <w:tc>
          <w:tcPr>
            <w:tcW w:w="1600" w:type="dxa"/>
            <w:tcBorders>
              <w:top w:val="single" w:sz="8" w:space="0" w:color="000080"/>
              <w:left w:val="nil"/>
              <w:bottom w:val="single" w:sz="8" w:space="0" w:color="000080"/>
              <w:right w:val="nil"/>
            </w:tcBorders>
            <w:shd w:val="clear" w:color="auto" w:fill="auto"/>
            <w:vAlign w:val="center"/>
            <w:hideMark/>
          </w:tcPr>
          <w:p w:rsidR="00433902" w:rsidRPr="007A6EA4" w:rsidRDefault="00433902" w:rsidP="006513AF">
            <w:pPr>
              <w:jc w:val="center"/>
              <w:rPr>
                <w:rFonts w:ascii="Verdana" w:hAnsi="Verdana" w:cs="Calibri"/>
                <w:b/>
                <w:bCs/>
                <w:color w:val="000080"/>
                <w:sz w:val="20"/>
                <w:szCs w:val="20"/>
              </w:rPr>
            </w:pPr>
            <w:r w:rsidRPr="007A6EA4">
              <w:rPr>
                <w:rFonts w:ascii="Verdana" w:hAnsi="Verdana" w:cs="Calibri"/>
                <w:b/>
                <w:bCs/>
                <w:color w:val="000080"/>
                <w:sz w:val="20"/>
                <w:szCs w:val="20"/>
              </w:rPr>
              <w:t>Evolución respecto a 201</w:t>
            </w:r>
            <w:r w:rsidR="006513AF">
              <w:rPr>
                <w:rFonts w:ascii="Verdana" w:hAnsi="Verdana" w:cs="Calibri"/>
                <w:b/>
                <w:bCs/>
                <w:color w:val="000080"/>
                <w:sz w:val="20"/>
                <w:szCs w:val="20"/>
              </w:rPr>
              <w:t>6</w:t>
            </w:r>
          </w:p>
        </w:tc>
      </w:tr>
      <w:tr w:rsidR="006513AF" w:rsidRPr="003B2749" w:rsidTr="007967E0">
        <w:trPr>
          <w:trHeight w:val="300"/>
          <w:jc w:val="center"/>
        </w:trPr>
        <w:tc>
          <w:tcPr>
            <w:tcW w:w="3140" w:type="dxa"/>
            <w:tcBorders>
              <w:top w:val="nil"/>
              <w:left w:val="nil"/>
              <w:bottom w:val="nil"/>
              <w:right w:val="nil"/>
            </w:tcBorders>
            <w:shd w:val="clear" w:color="auto" w:fill="auto"/>
            <w:noWrap/>
            <w:vAlign w:val="center"/>
            <w:hideMark/>
          </w:tcPr>
          <w:p w:rsidR="006513AF" w:rsidRPr="003B2749" w:rsidRDefault="006513AF" w:rsidP="007967E0">
            <w:pPr>
              <w:rPr>
                <w:rFonts w:ascii="Verdana" w:hAnsi="Verdana" w:cs="Calibri"/>
                <w:color w:val="000000"/>
                <w:sz w:val="20"/>
                <w:szCs w:val="20"/>
              </w:rPr>
            </w:pPr>
            <w:r w:rsidRPr="003B2749">
              <w:rPr>
                <w:rFonts w:ascii="Verdana" w:hAnsi="Verdana" w:cs="Calibri"/>
                <w:color w:val="000000"/>
                <w:sz w:val="20"/>
                <w:szCs w:val="20"/>
              </w:rPr>
              <w:t xml:space="preserve">  Ingresadas</w:t>
            </w:r>
          </w:p>
        </w:tc>
        <w:tc>
          <w:tcPr>
            <w:tcW w:w="1720" w:type="dxa"/>
            <w:tcBorders>
              <w:top w:val="nil"/>
              <w:left w:val="nil"/>
              <w:bottom w:val="nil"/>
              <w:right w:val="nil"/>
            </w:tcBorders>
            <w:shd w:val="clear" w:color="auto" w:fill="auto"/>
            <w:noWrap/>
            <w:vAlign w:val="center"/>
            <w:hideMark/>
          </w:tcPr>
          <w:p w:rsidR="006513AF" w:rsidRPr="003B2749" w:rsidRDefault="006513AF" w:rsidP="006513AF">
            <w:pPr>
              <w:jc w:val="center"/>
              <w:rPr>
                <w:rFonts w:ascii="Verdana" w:hAnsi="Verdana" w:cs="Calibri"/>
                <w:color w:val="000000"/>
                <w:sz w:val="18"/>
                <w:szCs w:val="18"/>
              </w:rPr>
            </w:pPr>
            <w:r w:rsidRPr="003B2749">
              <w:rPr>
                <w:rFonts w:ascii="Verdana" w:hAnsi="Verdana" w:cs="Calibri"/>
                <w:color w:val="000000"/>
                <w:sz w:val="18"/>
                <w:szCs w:val="18"/>
              </w:rPr>
              <w:t>688</w:t>
            </w:r>
          </w:p>
        </w:tc>
        <w:tc>
          <w:tcPr>
            <w:tcW w:w="1600" w:type="dxa"/>
            <w:tcBorders>
              <w:top w:val="nil"/>
              <w:left w:val="nil"/>
              <w:bottom w:val="nil"/>
              <w:right w:val="nil"/>
            </w:tcBorders>
            <w:shd w:val="clear" w:color="auto" w:fill="auto"/>
            <w:noWrap/>
            <w:vAlign w:val="center"/>
            <w:hideMark/>
          </w:tcPr>
          <w:p w:rsidR="006513AF" w:rsidRPr="003B2749" w:rsidRDefault="006513AF" w:rsidP="006513AF">
            <w:pPr>
              <w:jc w:val="center"/>
              <w:rPr>
                <w:rFonts w:ascii="Verdana" w:hAnsi="Verdana" w:cs="Calibri"/>
                <w:color w:val="000000"/>
                <w:sz w:val="20"/>
                <w:szCs w:val="20"/>
              </w:rPr>
            </w:pPr>
            <w:r w:rsidRPr="003B2749">
              <w:rPr>
                <w:rFonts w:ascii="Verdana" w:hAnsi="Verdana" w:cs="Calibri"/>
                <w:color w:val="000000"/>
                <w:sz w:val="20"/>
                <w:szCs w:val="20"/>
              </w:rPr>
              <w:t>-4,0%</w:t>
            </w:r>
          </w:p>
        </w:tc>
      </w:tr>
      <w:tr w:rsidR="006513AF" w:rsidRPr="003B2749" w:rsidTr="007967E0">
        <w:trPr>
          <w:trHeight w:val="300"/>
          <w:jc w:val="center"/>
        </w:trPr>
        <w:tc>
          <w:tcPr>
            <w:tcW w:w="3140" w:type="dxa"/>
            <w:tcBorders>
              <w:top w:val="nil"/>
              <w:left w:val="nil"/>
              <w:bottom w:val="nil"/>
              <w:right w:val="nil"/>
            </w:tcBorders>
            <w:shd w:val="clear" w:color="auto" w:fill="auto"/>
            <w:noWrap/>
            <w:vAlign w:val="center"/>
            <w:hideMark/>
          </w:tcPr>
          <w:p w:rsidR="006513AF" w:rsidRPr="003B2749" w:rsidRDefault="006513AF" w:rsidP="007967E0">
            <w:pPr>
              <w:rPr>
                <w:rFonts w:ascii="Verdana" w:hAnsi="Verdana" w:cs="Calibri"/>
                <w:color w:val="000000"/>
                <w:sz w:val="20"/>
                <w:szCs w:val="20"/>
              </w:rPr>
            </w:pPr>
            <w:r w:rsidRPr="003B2749">
              <w:rPr>
                <w:rFonts w:ascii="Verdana" w:hAnsi="Verdana" w:cs="Calibri"/>
                <w:color w:val="000000"/>
                <w:sz w:val="20"/>
                <w:szCs w:val="20"/>
              </w:rPr>
              <w:t xml:space="preserve">  Resueltas</w:t>
            </w:r>
          </w:p>
        </w:tc>
        <w:tc>
          <w:tcPr>
            <w:tcW w:w="1720" w:type="dxa"/>
            <w:tcBorders>
              <w:top w:val="nil"/>
              <w:left w:val="nil"/>
              <w:bottom w:val="nil"/>
              <w:right w:val="nil"/>
            </w:tcBorders>
            <w:shd w:val="clear" w:color="auto" w:fill="auto"/>
            <w:noWrap/>
            <w:vAlign w:val="center"/>
            <w:hideMark/>
          </w:tcPr>
          <w:p w:rsidR="006513AF" w:rsidRPr="003B2749" w:rsidRDefault="006513AF" w:rsidP="006513AF">
            <w:pPr>
              <w:jc w:val="center"/>
              <w:rPr>
                <w:rFonts w:ascii="Verdana" w:hAnsi="Verdana" w:cs="Calibri"/>
                <w:color w:val="000000"/>
                <w:sz w:val="18"/>
                <w:szCs w:val="18"/>
              </w:rPr>
            </w:pPr>
            <w:r w:rsidRPr="003B2749">
              <w:rPr>
                <w:rFonts w:ascii="Verdana" w:hAnsi="Verdana" w:cs="Calibri"/>
                <w:color w:val="000000"/>
                <w:sz w:val="18"/>
                <w:szCs w:val="18"/>
              </w:rPr>
              <w:t>922</w:t>
            </w:r>
          </w:p>
        </w:tc>
        <w:tc>
          <w:tcPr>
            <w:tcW w:w="1600" w:type="dxa"/>
            <w:tcBorders>
              <w:top w:val="nil"/>
              <w:left w:val="nil"/>
              <w:bottom w:val="nil"/>
              <w:right w:val="nil"/>
            </w:tcBorders>
            <w:shd w:val="clear" w:color="auto" w:fill="auto"/>
            <w:noWrap/>
            <w:vAlign w:val="center"/>
            <w:hideMark/>
          </w:tcPr>
          <w:p w:rsidR="006513AF" w:rsidRPr="003B2749" w:rsidRDefault="006513AF" w:rsidP="006513AF">
            <w:pPr>
              <w:jc w:val="center"/>
              <w:rPr>
                <w:rFonts w:ascii="Verdana" w:hAnsi="Verdana" w:cs="Calibri"/>
                <w:color w:val="000000"/>
                <w:sz w:val="20"/>
                <w:szCs w:val="20"/>
              </w:rPr>
            </w:pPr>
            <w:r w:rsidRPr="003B2749">
              <w:rPr>
                <w:rFonts w:ascii="Verdana" w:hAnsi="Verdana" w:cs="Calibri"/>
                <w:color w:val="000000"/>
                <w:sz w:val="20"/>
                <w:szCs w:val="20"/>
              </w:rPr>
              <w:t>90,1%</w:t>
            </w:r>
          </w:p>
        </w:tc>
      </w:tr>
      <w:tr w:rsidR="006513AF" w:rsidRPr="003B2749" w:rsidTr="007967E0">
        <w:trPr>
          <w:trHeight w:val="315"/>
          <w:jc w:val="center"/>
        </w:trPr>
        <w:tc>
          <w:tcPr>
            <w:tcW w:w="3140" w:type="dxa"/>
            <w:tcBorders>
              <w:top w:val="nil"/>
              <w:left w:val="nil"/>
              <w:bottom w:val="single" w:sz="8" w:space="0" w:color="000080"/>
              <w:right w:val="nil"/>
            </w:tcBorders>
            <w:shd w:val="clear" w:color="auto" w:fill="auto"/>
            <w:noWrap/>
            <w:vAlign w:val="center"/>
            <w:hideMark/>
          </w:tcPr>
          <w:p w:rsidR="006513AF" w:rsidRPr="003B2749" w:rsidRDefault="006513AF" w:rsidP="007967E0">
            <w:pPr>
              <w:rPr>
                <w:rFonts w:ascii="Verdana" w:hAnsi="Verdana" w:cs="Calibri"/>
                <w:color w:val="000000"/>
                <w:sz w:val="20"/>
                <w:szCs w:val="20"/>
              </w:rPr>
            </w:pPr>
            <w:r w:rsidRPr="003B2749">
              <w:rPr>
                <w:rFonts w:ascii="Verdana" w:hAnsi="Verdana" w:cs="Calibri"/>
                <w:color w:val="000000"/>
                <w:sz w:val="20"/>
                <w:szCs w:val="20"/>
              </w:rPr>
              <w:t xml:space="preserve">  Pendientes al finalizar</w:t>
            </w:r>
          </w:p>
        </w:tc>
        <w:tc>
          <w:tcPr>
            <w:tcW w:w="1720" w:type="dxa"/>
            <w:tcBorders>
              <w:top w:val="nil"/>
              <w:left w:val="nil"/>
              <w:bottom w:val="single" w:sz="8" w:space="0" w:color="000080"/>
              <w:right w:val="nil"/>
            </w:tcBorders>
            <w:shd w:val="clear" w:color="auto" w:fill="auto"/>
            <w:vAlign w:val="center"/>
            <w:hideMark/>
          </w:tcPr>
          <w:p w:rsidR="006513AF" w:rsidRPr="003B2749" w:rsidRDefault="006513AF" w:rsidP="006513AF">
            <w:pPr>
              <w:jc w:val="center"/>
              <w:rPr>
                <w:rFonts w:ascii="Verdana" w:hAnsi="Verdana" w:cs="Calibri"/>
                <w:color w:val="000000"/>
                <w:sz w:val="18"/>
                <w:szCs w:val="18"/>
              </w:rPr>
            </w:pPr>
            <w:r w:rsidRPr="003B2749">
              <w:rPr>
                <w:rFonts w:ascii="Verdana" w:hAnsi="Verdana" w:cs="Calibri"/>
                <w:color w:val="000000"/>
                <w:sz w:val="18"/>
                <w:szCs w:val="18"/>
              </w:rPr>
              <w:t>172</w:t>
            </w:r>
          </w:p>
        </w:tc>
        <w:tc>
          <w:tcPr>
            <w:tcW w:w="1600" w:type="dxa"/>
            <w:tcBorders>
              <w:top w:val="nil"/>
              <w:left w:val="nil"/>
              <w:bottom w:val="single" w:sz="8" w:space="0" w:color="000080"/>
              <w:right w:val="nil"/>
            </w:tcBorders>
            <w:shd w:val="clear" w:color="auto" w:fill="auto"/>
            <w:noWrap/>
            <w:vAlign w:val="center"/>
            <w:hideMark/>
          </w:tcPr>
          <w:p w:rsidR="006513AF" w:rsidRPr="003B2749" w:rsidRDefault="006513AF" w:rsidP="006513AF">
            <w:pPr>
              <w:jc w:val="center"/>
              <w:rPr>
                <w:rFonts w:ascii="Verdana" w:hAnsi="Verdana" w:cs="Calibri"/>
                <w:color w:val="000000"/>
                <w:sz w:val="20"/>
                <w:szCs w:val="20"/>
              </w:rPr>
            </w:pPr>
            <w:r w:rsidRPr="003B2749">
              <w:rPr>
                <w:rFonts w:ascii="Verdana" w:hAnsi="Verdana" w:cs="Calibri"/>
                <w:color w:val="000000"/>
                <w:sz w:val="20"/>
                <w:szCs w:val="20"/>
              </w:rPr>
              <w:t>-55,8%</w:t>
            </w:r>
          </w:p>
        </w:tc>
      </w:tr>
    </w:tbl>
    <w:p w:rsidR="00433902" w:rsidRPr="003B2749" w:rsidRDefault="00433902" w:rsidP="00433902">
      <w:pPr>
        <w:jc w:val="both"/>
        <w:rPr>
          <w:rFonts w:ascii="Verdana" w:hAnsi="Verdana" w:cs="Arial"/>
        </w:rPr>
      </w:pPr>
    </w:p>
    <w:p w:rsidR="00433902" w:rsidRPr="003B2749" w:rsidRDefault="00433902" w:rsidP="00433902">
      <w:pPr>
        <w:tabs>
          <w:tab w:val="left" w:pos="7040"/>
        </w:tabs>
        <w:spacing w:before="360" w:after="240"/>
        <w:jc w:val="center"/>
        <w:rPr>
          <w:rFonts w:ascii="Verdana" w:hAnsi="Verdana" w:cs="Arial"/>
          <w:b/>
          <w:bCs/>
          <w:color w:val="002060"/>
        </w:rPr>
      </w:pPr>
      <w:r w:rsidRPr="003B2749">
        <w:rPr>
          <w:rFonts w:ascii="Verdana" w:hAnsi="Verdana" w:cs="Arial"/>
          <w:b/>
          <w:bCs/>
          <w:color w:val="000080"/>
        </w:rPr>
        <w:t>Instrumentos de reconocimiento mutuo de resoluciones penales en la Unión Europea</w:t>
      </w:r>
    </w:p>
    <w:tbl>
      <w:tblPr>
        <w:tblW w:w="8931" w:type="dxa"/>
        <w:jc w:val="center"/>
        <w:tblInd w:w="-629" w:type="dxa"/>
        <w:tblCellMar>
          <w:left w:w="70" w:type="dxa"/>
          <w:right w:w="70" w:type="dxa"/>
        </w:tblCellMar>
        <w:tblLook w:val="04A0" w:firstRow="1" w:lastRow="0" w:firstColumn="1" w:lastColumn="0" w:noHBand="0" w:noVBand="1"/>
      </w:tblPr>
      <w:tblGrid>
        <w:gridCol w:w="5481"/>
        <w:gridCol w:w="1465"/>
        <w:gridCol w:w="1985"/>
      </w:tblGrid>
      <w:tr w:rsidR="00433902" w:rsidRPr="003B2749" w:rsidTr="007967E0">
        <w:trPr>
          <w:trHeight w:val="915"/>
          <w:jc w:val="center"/>
        </w:trPr>
        <w:tc>
          <w:tcPr>
            <w:tcW w:w="5481" w:type="dxa"/>
            <w:tcBorders>
              <w:top w:val="single" w:sz="8" w:space="0" w:color="auto"/>
              <w:left w:val="nil"/>
              <w:bottom w:val="single" w:sz="8" w:space="0" w:color="auto"/>
              <w:right w:val="nil"/>
            </w:tcBorders>
            <w:shd w:val="clear" w:color="auto" w:fill="auto"/>
            <w:noWrap/>
            <w:vAlign w:val="center"/>
            <w:hideMark/>
          </w:tcPr>
          <w:p w:rsidR="00433902" w:rsidRPr="003B2749" w:rsidRDefault="00433902" w:rsidP="007967E0">
            <w:pPr>
              <w:rPr>
                <w:rFonts w:ascii="Verdana" w:hAnsi="Verdana" w:cs="Calibri"/>
                <w:sz w:val="20"/>
                <w:szCs w:val="20"/>
              </w:rPr>
            </w:pPr>
            <w:r w:rsidRPr="003B2749">
              <w:rPr>
                <w:rFonts w:ascii="Verdana" w:hAnsi="Verdana" w:cs="Calibri"/>
                <w:sz w:val="20"/>
                <w:szCs w:val="20"/>
              </w:rPr>
              <w:t> </w:t>
            </w:r>
          </w:p>
        </w:tc>
        <w:tc>
          <w:tcPr>
            <w:tcW w:w="1465" w:type="dxa"/>
            <w:tcBorders>
              <w:top w:val="single" w:sz="8" w:space="0" w:color="auto"/>
              <w:left w:val="nil"/>
              <w:bottom w:val="single" w:sz="8" w:space="0" w:color="auto"/>
              <w:right w:val="nil"/>
            </w:tcBorders>
            <w:shd w:val="clear" w:color="auto" w:fill="auto"/>
            <w:vAlign w:val="center"/>
            <w:hideMark/>
          </w:tcPr>
          <w:p w:rsidR="00433902" w:rsidRPr="003B2749" w:rsidRDefault="00433902" w:rsidP="007967E0">
            <w:pPr>
              <w:jc w:val="center"/>
              <w:rPr>
                <w:rFonts w:ascii="Verdana" w:hAnsi="Verdana" w:cs="Calibri"/>
                <w:b/>
                <w:bCs/>
                <w:sz w:val="18"/>
                <w:szCs w:val="18"/>
              </w:rPr>
            </w:pPr>
            <w:r w:rsidRPr="003B2749">
              <w:rPr>
                <w:rFonts w:ascii="Verdana" w:hAnsi="Verdana" w:cs="Calibri"/>
                <w:b/>
                <w:bCs/>
                <w:sz w:val="18"/>
                <w:szCs w:val="18"/>
              </w:rPr>
              <w:t xml:space="preserve">Emitidas por órganos </w:t>
            </w:r>
          </w:p>
          <w:p w:rsidR="00433902" w:rsidRPr="003B2749" w:rsidRDefault="00433902" w:rsidP="007967E0">
            <w:pPr>
              <w:jc w:val="center"/>
              <w:rPr>
                <w:rFonts w:ascii="Verdana" w:hAnsi="Verdana" w:cs="Calibri"/>
                <w:b/>
                <w:bCs/>
                <w:sz w:val="18"/>
                <w:szCs w:val="18"/>
              </w:rPr>
            </w:pPr>
            <w:r w:rsidRPr="003B2749">
              <w:rPr>
                <w:rFonts w:ascii="Verdana" w:hAnsi="Verdana" w:cs="Calibri"/>
                <w:b/>
                <w:bCs/>
                <w:sz w:val="18"/>
                <w:szCs w:val="18"/>
              </w:rPr>
              <w:t>españoles</w:t>
            </w:r>
          </w:p>
        </w:tc>
        <w:tc>
          <w:tcPr>
            <w:tcW w:w="1985" w:type="dxa"/>
            <w:tcBorders>
              <w:top w:val="single" w:sz="8" w:space="0" w:color="auto"/>
              <w:left w:val="nil"/>
              <w:bottom w:val="single" w:sz="8" w:space="0" w:color="auto"/>
              <w:right w:val="nil"/>
            </w:tcBorders>
            <w:shd w:val="clear" w:color="auto" w:fill="auto"/>
            <w:vAlign w:val="center"/>
            <w:hideMark/>
          </w:tcPr>
          <w:p w:rsidR="00433902" w:rsidRPr="003B2749" w:rsidRDefault="00433902" w:rsidP="007967E0">
            <w:pPr>
              <w:ind w:left="214" w:right="355"/>
              <w:jc w:val="center"/>
              <w:rPr>
                <w:rFonts w:ascii="Verdana" w:hAnsi="Verdana" w:cs="Calibri"/>
                <w:b/>
                <w:bCs/>
                <w:sz w:val="18"/>
                <w:szCs w:val="18"/>
              </w:rPr>
            </w:pPr>
            <w:r w:rsidRPr="003B2749">
              <w:rPr>
                <w:rFonts w:ascii="Verdana" w:hAnsi="Verdana" w:cs="Calibri"/>
                <w:b/>
                <w:bCs/>
                <w:sz w:val="18"/>
                <w:szCs w:val="18"/>
              </w:rPr>
              <w:t>Recibidas por órganos españoles</w:t>
            </w:r>
          </w:p>
        </w:tc>
      </w:tr>
      <w:tr w:rsidR="00B47054" w:rsidRPr="003B2749" w:rsidTr="007967E0">
        <w:trPr>
          <w:trHeight w:val="345"/>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Orden europea de detención y entrega</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552</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1.038</w:t>
            </w:r>
          </w:p>
        </w:tc>
      </w:tr>
      <w:tr w:rsidR="00B47054" w:rsidRPr="003B2749" w:rsidTr="007967E0">
        <w:trPr>
          <w:trHeight w:val="510"/>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Resolución por la que se impone una pena o medida privativa de libertad</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28</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0</w:t>
            </w:r>
          </w:p>
        </w:tc>
      </w:tr>
      <w:tr w:rsidR="00B47054" w:rsidRPr="003B2749" w:rsidTr="007967E0">
        <w:trPr>
          <w:trHeight w:val="315"/>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Resolución de libertad vigilada</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4</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0</w:t>
            </w:r>
          </w:p>
        </w:tc>
      </w:tr>
      <w:tr w:rsidR="00B47054" w:rsidRPr="003B2749" w:rsidTr="007967E0">
        <w:trPr>
          <w:trHeight w:val="510"/>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Resolución sobre medidas de vigilancia de la libertad provisional</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2</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3</w:t>
            </w:r>
          </w:p>
        </w:tc>
      </w:tr>
      <w:tr w:rsidR="00B47054" w:rsidRPr="003B2749" w:rsidTr="007967E0">
        <w:trPr>
          <w:trHeight w:val="315"/>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Orden europea de protección</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13</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0</w:t>
            </w:r>
          </w:p>
        </w:tc>
      </w:tr>
      <w:tr w:rsidR="00B47054" w:rsidRPr="003B2749" w:rsidTr="007967E0">
        <w:trPr>
          <w:trHeight w:val="525"/>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Resolución de embargo preventivo de bienes o aseguramiento de pruebas</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44</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14</w:t>
            </w:r>
          </w:p>
        </w:tc>
      </w:tr>
      <w:tr w:rsidR="00B47054" w:rsidRPr="003B2749" w:rsidTr="007967E0">
        <w:trPr>
          <w:trHeight w:val="510"/>
          <w:jc w:val="center"/>
        </w:trPr>
        <w:tc>
          <w:tcPr>
            <w:tcW w:w="5481" w:type="dxa"/>
            <w:tcBorders>
              <w:top w:val="nil"/>
              <w:left w:val="nil"/>
              <w:bottom w:val="nil"/>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Resolución por la que se imponen sanciones pecuniarias</w:t>
            </w:r>
          </w:p>
        </w:tc>
        <w:tc>
          <w:tcPr>
            <w:tcW w:w="1465" w:type="dxa"/>
            <w:tcBorders>
              <w:top w:val="nil"/>
              <w:left w:val="nil"/>
              <w:bottom w:val="nil"/>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71</w:t>
            </w:r>
          </w:p>
        </w:tc>
        <w:tc>
          <w:tcPr>
            <w:tcW w:w="1985" w:type="dxa"/>
            <w:tcBorders>
              <w:top w:val="nil"/>
              <w:left w:val="nil"/>
              <w:bottom w:val="nil"/>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289</w:t>
            </w:r>
          </w:p>
        </w:tc>
      </w:tr>
      <w:tr w:rsidR="00B47054" w:rsidRPr="003B2749" w:rsidTr="007967E0">
        <w:trPr>
          <w:trHeight w:val="255"/>
          <w:jc w:val="center"/>
        </w:trPr>
        <w:tc>
          <w:tcPr>
            <w:tcW w:w="5481" w:type="dxa"/>
            <w:tcBorders>
              <w:top w:val="nil"/>
              <w:left w:val="nil"/>
              <w:bottom w:val="single" w:sz="8" w:space="0" w:color="auto"/>
              <w:right w:val="nil"/>
            </w:tcBorders>
            <w:shd w:val="clear" w:color="auto" w:fill="auto"/>
            <w:vAlign w:val="center"/>
            <w:hideMark/>
          </w:tcPr>
          <w:p w:rsidR="00B47054" w:rsidRPr="003B2749" w:rsidRDefault="00B47054" w:rsidP="007967E0">
            <w:pPr>
              <w:rPr>
                <w:rFonts w:ascii="Verdana" w:hAnsi="Verdana" w:cs="Calibri"/>
                <w:bCs/>
                <w:sz w:val="20"/>
                <w:szCs w:val="20"/>
              </w:rPr>
            </w:pPr>
            <w:r w:rsidRPr="003B2749">
              <w:rPr>
                <w:rFonts w:ascii="Verdana" w:hAnsi="Verdana" w:cs="Calibri"/>
                <w:bCs/>
                <w:sz w:val="20"/>
                <w:szCs w:val="20"/>
              </w:rPr>
              <w:t>Exhorto europeo de obtención de pruebas</w:t>
            </w:r>
          </w:p>
        </w:tc>
        <w:tc>
          <w:tcPr>
            <w:tcW w:w="1465" w:type="dxa"/>
            <w:tcBorders>
              <w:top w:val="nil"/>
              <w:left w:val="nil"/>
              <w:bottom w:val="single" w:sz="8" w:space="0" w:color="auto"/>
              <w:right w:val="nil"/>
            </w:tcBorders>
            <w:shd w:val="clear" w:color="auto" w:fill="auto"/>
            <w:noWrap/>
            <w:vAlign w:val="center"/>
          </w:tcPr>
          <w:p w:rsidR="00B47054" w:rsidRPr="003B2749" w:rsidRDefault="00B47054" w:rsidP="00B47054">
            <w:pPr>
              <w:jc w:val="center"/>
              <w:rPr>
                <w:rFonts w:ascii="Verdana" w:hAnsi="Verdana" w:cs="Calibri"/>
                <w:color w:val="000000"/>
                <w:sz w:val="20"/>
                <w:szCs w:val="20"/>
              </w:rPr>
            </w:pPr>
            <w:r w:rsidRPr="003B2749">
              <w:rPr>
                <w:rFonts w:ascii="Verdana" w:hAnsi="Verdana" w:cs="Calibri"/>
                <w:color w:val="000000"/>
                <w:sz w:val="20"/>
                <w:szCs w:val="20"/>
              </w:rPr>
              <w:t>337</w:t>
            </w:r>
          </w:p>
        </w:tc>
        <w:tc>
          <w:tcPr>
            <w:tcW w:w="1985" w:type="dxa"/>
            <w:tcBorders>
              <w:top w:val="nil"/>
              <w:left w:val="nil"/>
              <w:bottom w:val="single" w:sz="8" w:space="0" w:color="auto"/>
              <w:right w:val="nil"/>
            </w:tcBorders>
            <w:shd w:val="clear" w:color="auto" w:fill="auto"/>
            <w:noWrap/>
            <w:vAlign w:val="center"/>
          </w:tcPr>
          <w:p w:rsidR="00B47054" w:rsidRPr="003B2749" w:rsidRDefault="00B47054" w:rsidP="00B47054">
            <w:pPr>
              <w:jc w:val="center"/>
              <w:rPr>
                <w:rFonts w:ascii="Calibri" w:hAnsi="Calibri" w:cs="Calibri"/>
                <w:color w:val="000000"/>
                <w:sz w:val="22"/>
                <w:szCs w:val="22"/>
              </w:rPr>
            </w:pPr>
            <w:r w:rsidRPr="003B2749">
              <w:rPr>
                <w:rFonts w:ascii="Calibri" w:hAnsi="Calibri" w:cs="Calibri"/>
                <w:color w:val="000000"/>
                <w:sz w:val="22"/>
                <w:szCs w:val="22"/>
              </w:rPr>
              <w:t>17</w:t>
            </w:r>
          </w:p>
        </w:tc>
      </w:tr>
    </w:tbl>
    <w:p w:rsidR="00433902" w:rsidRPr="003B2749" w:rsidRDefault="00433902" w:rsidP="00433902">
      <w:pPr>
        <w:jc w:val="both"/>
        <w:rPr>
          <w:rFonts w:ascii="Verdana" w:hAnsi="Verdana" w:cs="Arial"/>
        </w:rPr>
      </w:pPr>
    </w:p>
    <w:p w:rsidR="00433902" w:rsidRPr="003B2749" w:rsidRDefault="00433902" w:rsidP="00433902">
      <w:pPr>
        <w:spacing w:before="120" w:after="120"/>
        <w:ind w:firstLine="357"/>
        <w:jc w:val="both"/>
        <w:rPr>
          <w:rFonts w:ascii="Verdana" w:hAnsi="Verdana" w:cs="Arial"/>
          <w:sz w:val="20"/>
        </w:rPr>
      </w:pPr>
      <w:r w:rsidRPr="003B2749">
        <w:rPr>
          <w:rFonts w:ascii="Verdana" w:hAnsi="Verdana" w:cs="Arial"/>
          <w:sz w:val="20"/>
        </w:rPr>
        <w:lastRenderedPageBreak/>
        <w:t xml:space="preserve">Se han transmitido a otros países </w:t>
      </w:r>
      <w:r w:rsidR="00B47054" w:rsidRPr="003B2749">
        <w:rPr>
          <w:rFonts w:ascii="Verdana" w:hAnsi="Verdana" w:cs="Arial"/>
          <w:sz w:val="20"/>
        </w:rPr>
        <w:t>185</w:t>
      </w:r>
      <w:r w:rsidRPr="003B2749">
        <w:rPr>
          <w:rFonts w:ascii="Verdana" w:hAnsi="Verdana" w:cs="Arial"/>
          <w:sz w:val="20"/>
        </w:rPr>
        <w:t xml:space="preserve"> solicitudes de extradición, </w:t>
      </w:r>
      <w:r w:rsidR="00B47054" w:rsidRPr="003B2749">
        <w:rPr>
          <w:rFonts w:ascii="Verdana" w:hAnsi="Verdana" w:cs="Arial"/>
          <w:sz w:val="20"/>
        </w:rPr>
        <w:t>91</w:t>
      </w:r>
      <w:r w:rsidRPr="003B2749">
        <w:rPr>
          <w:rFonts w:ascii="Verdana" w:hAnsi="Verdana" w:cs="Arial"/>
          <w:sz w:val="20"/>
        </w:rPr>
        <w:t xml:space="preserve"> m</w:t>
      </w:r>
      <w:r w:rsidR="00B47054" w:rsidRPr="003B2749">
        <w:rPr>
          <w:rFonts w:ascii="Verdana" w:hAnsi="Verdana" w:cs="Arial"/>
          <w:sz w:val="20"/>
        </w:rPr>
        <w:t>enos</w:t>
      </w:r>
      <w:r w:rsidRPr="003B2749">
        <w:rPr>
          <w:rFonts w:ascii="Verdana" w:hAnsi="Verdana" w:cs="Arial"/>
          <w:sz w:val="20"/>
        </w:rPr>
        <w:t xml:space="preserve"> que en 201</w:t>
      </w:r>
      <w:r w:rsidR="00B47054" w:rsidRPr="003B2749">
        <w:rPr>
          <w:rFonts w:ascii="Verdana" w:hAnsi="Verdana" w:cs="Arial"/>
          <w:sz w:val="20"/>
        </w:rPr>
        <w:t>6</w:t>
      </w:r>
      <w:r w:rsidRPr="003B2749">
        <w:rPr>
          <w:rFonts w:ascii="Verdana" w:hAnsi="Verdana" w:cs="Arial"/>
          <w:sz w:val="20"/>
        </w:rPr>
        <w:t>.   Se han realizado 4</w:t>
      </w:r>
      <w:r w:rsidR="00B47054" w:rsidRPr="003B2749">
        <w:rPr>
          <w:rFonts w:ascii="Verdana" w:hAnsi="Verdana" w:cs="Arial"/>
          <w:sz w:val="20"/>
        </w:rPr>
        <w:t>6</w:t>
      </w:r>
      <w:r w:rsidRPr="003B2749">
        <w:rPr>
          <w:rFonts w:ascii="Verdana" w:hAnsi="Verdana" w:cs="Arial"/>
          <w:sz w:val="20"/>
        </w:rPr>
        <w:t xml:space="preserve"> diligencias especiales de investigación con autoridades extranjeras (equipos conjuntos de investigación, agentes encubiertos, entregas controladas transfronterizas), </w:t>
      </w:r>
      <w:r w:rsidR="00B47054" w:rsidRPr="003B2749">
        <w:rPr>
          <w:rFonts w:ascii="Verdana" w:hAnsi="Verdana" w:cs="Arial"/>
          <w:sz w:val="20"/>
        </w:rPr>
        <w:t>6 más que en el año 2016</w:t>
      </w:r>
      <w:r w:rsidRPr="003B2749">
        <w:rPr>
          <w:rFonts w:ascii="Verdana" w:hAnsi="Verdana" w:cs="Arial"/>
          <w:sz w:val="20"/>
        </w:rPr>
        <w:t>.  Se han remitido 1.</w:t>
      </w:r>
      <w:r w:rsidR="00DC1E7F" w:rsidRPr="003B2749">
        <w:rPr>
          <w:rFonts w:ascii="Verdana" w:hAnsi="Verdana" w:cs="Arial"/>
          <w:sz w:val="20"/>
        </w:rPr>
        <w:t>2</w:t>
      </w:r>
      <w:r w:rsidR="008453E1" w:rsidRPr="003B2749">
        <w:rPr>
          <w:rFonts w:ascii="Verdana" w:hAnsi="Verdana" w:cs="Arial"/>
          <w:sz w:val="20"/>
        </w:rPr>
        <w:t>1</w:t>
      </w:r>
      <w:r w:rsidRPr="003B2749">
        <w:rPr>
          <w:rFonts w:ascii="Verdana" w:hAnsi="Verdana" w:cs="Arial"/>
          <w:sz w:val="20"/>
        </w:rPr>
        <w:t xml:space="preserve">6 solicitudes de auxilio judicial a estados fuera de la Unión Europea, </w:t>
      </w:r>
      <w:r w:rsidR="008453E1" w:rsidRPr="003B2749">
        <w:rPr>
          <w:rFonts w:ascii="Verdana" w:hAnsi="Verdana" w:cs="Arial"/>
          <w:sz w:val="20"/>
        </w:rPr>
        <w:t>10 menos que en 2016</w:t>
      </w:r>
      <w:r w:rsidRPr="003B2749">
        <w:rPr>
          <w:rFonts w:ascii="Verdana" w:hAnsi="Verdana" w:cs="Arial"/>
          <w:sz w:val="20"/>
        </w:rPr>
        <w:t>.</w:t>
      </w:r>
    </w:p>
    <w:p w:rsidR="00E72871" w:rsidRPr="003B2749" w:rsidRDefault="00E72871" w:rsidP="00433902">
      <w:pPr>
        <w:spacing w:before="120" w:after="120"/>
        <w:ind w:firstLine="357"/>
        <w:jc w:val="both"/>
        <w:rPr>
          <w:rFonts w:ascii="Verdana" w:hAnsi="Verdana" w:cs="Arial"/>
          <w:sz w:val="20"/>
        </w:rPr>
      </w:pPr>
    </w:p>
    <w:p w:rsidR="00433902" w:rsidRPr="003B2749" w:rsidRDefault="00433902" w:rsidP="00433902">
      <w:pPr>
        <w:keepNext/>
        <w:keepLines/>
        <w:numPr>
          <w:ilvl w:val="1"/>
          <w:numId w:val="8"/>
        </w:numPr>
        <w:spacing w:before="120" w:after="120"/>
        <w:outlineLvl w:val="1"/>
        <w:rPr>
          <w:rFonts w:ascii="Verdana" w:hAnsi="Verdana"/>
          <w:b/>
          <w:color w:val="333399"/>
          <w:sz w:val="20"/>
        </w:rPr>
      </w:pPr>
      <w:r w:rsidRPr="003B2749">
        <w:rPr>
          <w:rFonts w:ascii="Verdana" w:hAnsi="Verdana"/>
          <w:b/>
          <w:color w:val="333399"/>
        </w:rPr>
        <w:t xml:space="preserve"> Terminación por Sentencia</w:t>
      </w:r>
    </w:p>
    <w:p w:rsidR="00433902" w:rsidRDefault="00433902" w:rsidP="00433902">
      <w:pPr>
        <w:spacing w:before="120" w:after="120"/>
        <w:ind w:firstLine="357"/>
        <w:jc w:val="both"/>
        <w:rPr>
          <w:rFonts w:ascii="Verdana" w:hAnsi="Verdana" w:cs="Arial"/>
          <w:sz w:val="20"/>
        </w:rPr>
      </w:pPr>
    </w:p>
    <w:p w:rsidR="004C36B9" w:rsidRDefault="00433902" w:rsidP="00433902">
      <w:pPr>
        <w:spacing w:before="120" w:after="120"/>
        <w:ind w:firstLine="357"/>
        <w:jc w:val="both"/>
        <w:rPr>
          <w:rFonts w:ascii="Verdana" w:hAnsi="Verdana" w:cs="Arial"/>
          <w:sz w:val="20"/>
        </w:rPr>
      </w:pPr>
      <w:r w:rsidRPr="003B2749">
        <w:rPr>
          <w:rFonts w:ascii="Verdana" w:hAnsi="Verdana" w:cs="Arial"/>
          <w:sz w:val="20"/>
        </w:rPr>
        <w:t>El número de sentencias dictadas ha sido de 573.</w:t>
      </w:r>
      <w:r w:rsidR="004C36B9" w:rsidRPr="003B2749">
        <w:rPr>
          <w:rFonts w:ascii="Verdana" w:hAnsi="Verdana" w:cs="Arial"/>
          <w:sz w:val="20"/>
        </w:rPr>
        <w:t>918</w:t>
      </w:r>
      <w:r w:rsidRPr="003B2749">
        <w:rPr>
          <w:rFonts w:ascii="Verdana" w:hAnsi="Verdana" w:cs="Arial"/>
          <w:sz w:val="20"/>
        </w:rPr>
        <w:t xml:space="preserve">, </w:t>
      </w:r>
      <w:r w:rsidR="004C36B9" w:rsidRPr="003B2749">
        <w:rPr>
          <w:rFonts w:ascii="Verdana" w:hAnsi="Verdana" w:cs="Arial"/>
          <w:sz w:val="20"/>
        </w:rPr>
        <w:t>cifra similar a la de sentencias dictadas en 2016.</w:t>
      </w:r>
    </w:p>
    <w:p w:rsidR="00433902" w:rsidRPr="007A6EA4" w:rsidRDefault="00433902" w:rsidP="00433902">
      <w:pPr>
        <w:spacing w:before="120" w:after="120"/>
        <w:ind w:firstLine="357"/>
        <w:jc w:val="both"/>
        <w:rPr>
          <w:rFonts w:ascii="Verdana" w:hAnsi="Verdana" w:cs="Arial"/>
          <w:sz w:val="20"/>
        </w:rPr>
      </w:pPr>
    </w:p>
    <w:p w:rsidR="00433902" w:rsidRPr="007A6EA4" w:rsidRDefault="00C25DB3" w:rsidP="00433902">
      <w:pPr>
        <w:spacing w:before="120" w:after="120"/>
        <w:ind w:firstLine="357"/>
        <w:jc w:val="both"/>
        <w:rPr>
          <w:rFonts w:ascii="Verdana" w:hAnsi="Verdana" w:cs="Arial"/>
        </w:rPr>
      </w:pPr>
      <w:r>
        <w:rPr>
          <w:noProof/>
          <w:lang w:val="es-ES"/>
        </w:rPr>
        <w:drawing>
          <wp:inline distT="0" distB="0" distL="0" distR="0" wp14:anchorId="596172A9" wp14:editId="0A789B22">
            <wp:extent cx="5181600" cy="2790825"/>
            <wp:effectExtent l="0" t="0" r="19050" b="9525"/>
            <wp:docPr id="1070" name="Gráfico 10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33902" w:rsidRPr="007A6EA4" w:rsidRDefault="00433902" w:rsidP="00433902">
      <w:pPr>
        <w:spacing w:before="120" w:after="120"/>
        <w:ind w:firstLine="357"/>
        <w:jc w:val="both"/>
        <w:rPr>
          <w:rFonts w:ascii="Verdana" w:hAnsi="Verdana" w:cs="Arial"/>
          <w:sz w:val="20"/>
        </w:rPr>
      </w:pPr>
    </w:p>
    <w:p w:rsidR="00433902" w:rsidRPr="007A6EA4" w:rsidRDefault="00433902" w:rsidP="00433902">
      <w:pPr>
        <w:spacing w:before="120" w:after="120"/>
        <w:ind w:firstLine="357"/>
        <w:jc w:val="both"/>
        <w:rPr>
          <w:rFonts w:ascii="Verdana" w:hAnsi="Verdana" w:cs="Arial"/>
          <w:sz w:val="20"/>
        </w:rPr>
      </w:pPr>
      <w:r w:rsidRPr="003B2749">
        <w:rPr>
          <w:rFonts w:ascii="Verdana" w:hAnsi="Verdana" w:cs="Arial"/>
          <w:sz w:val="20"/>
        </w:rPr>
        <w:t>El desglose de estas sentencias por los distintos tipos de juzgados se presenta en el siguiente cuadro:</w:t>
      </w:r>
    </w:p>
    <w:tbl>
      <w:tblPr>
        <w:tblW w:w="4060" w:type="dxa"/>
        <w:jc w:val="center"/>
        <w:tblInd w:w="55" w:type="dxa"/>
        <w:tblCellMar>
          <w:left w:w="70" w:type="dxa"/>
          <w:right w:w="70" w:type="dxa"/>
        </w:tblCellMar>
        <w:tblLook w:val="04A0" w:firstRow="1" w:lastRow="0" w:firstColumn="1" w:lastColumn="0" w:noHBand="0" w:noVBand="1"/>
      </w:tblPr>
      <w:tblGrid>
        <w:gridCol w:w="2640"/>
        <w:gridCol w:w="1420"/>
      </w:tblGrid>
      <w:tr w:rsidR="004C36B9" w:rsidTr="004C36B9">
        <w:trPr>
          <w:trHeight w:val="315"/>
          <w:jc w:val="center"/>
        </w:trPr>
        <w:tc>
          <w:tcPr>
            <w:tcW w:w="2640" w:type="dxa"/>
            <w:tcBorders>
              <w:top w:val="nil"/>
              <w:left w:val="nil"/>
              <w:bottom w:val="nil"/>
              <w:right w:val="nil"/>
            </w:tcBorders>
            <w:shd w:val="clear" w:color="auto" w:fill="auto"/>
            <w:noWrap/>
            <w:vAlign w:val="center"/>
            <w:hideMark/>
          </w:tcPr>
          <w:p w:rsidR="004C36B9" w:rsidRDefault="004C36B9">
            <w:pPr>
              <w:rPr>
                <w:color w:val="000000"/>
                <w:sz w:val="20"/>
                <w:szCs w:val="20"/>
              </w:rPr>
            </w:pPr>
          </w:p>
        </w:tc>
        <w:tc>
          <w:tcPr>
            <w:tcW w:w="1420" w:type="dxa"/>
            <w:tcBorders>
              <w:top w:val="single" w:sz="8" w:space="0" w:color="auto"/>
              <w:left w:val="nil"/>
              <w:bottom w:val="single" w:sz="8" w:space="0" w:color="auto"/>
              <w:right w:val="nil"/>
            </w:tcBorders>
            <w:shd w:val="clear" w:color="auto" w:fill="auto"/>
            <w:vAlign w:val="center"/>
            <w:hideMark/>
          </w:tcPr>
          <w:p w:rsidR="004C36B9" w:rsidRDefault="004C36B9">
            <w:pPr>
              <w:jc w:val="center"/>
              <w:rPr>
                <w:rFonts w:ascii="Verdana" w:hAnsi="Verdana" w:cs="Calibri"/>
                <w:b/>
                <w:bCs/>
                <w:color w:val="000080"/>
                <w:sz w:val="18"/>
                <w:szCs w:val="18"/>
              </w:rPr>
            </w:pPr>
            <w:r>
              <w:rPr>
                <w:rFonts w:ascii="Verdana" w:hAnsi="Verdana" w:cs="Arial"/>
                <w:b/>
                <w:bCs/>
                <w:color w:val="000080"/>
                <w:sz w:val="18"/>
                <w:szCs w:val="18"/>
              </w:rPr>
              <w:t xml:space="preserve">Sentencias </w:t>
            </w:r>
          </w:p>
        </w:tc>
      </w:tr>
      <w:tr w:rsidR="004C36B9" w:rsidTr="004C36B9">
        <w:trPr>
          <w:trHeight w:val="300"/>
          <w:jc w:val="center"/>
        </w:trPr>
        <w:tc>
          <w:tcPr>
            <w:tcW w:w="2640" w:type="dxa"/>
            <w:tcBorders>
              <w:top w:val="single" w:sz="8" w:space="0" w:color="auto"/>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Instrucción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188.022</w:t>
            </w:r>
          </w:p>
        </w:tc>
      </w:tr>
      <w:tr w:rsidR="004C36B9" w:rsidTr="004C36B9">
        <w:trPr>
          <w:trHeight w:val="45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1ª Inst. e Instrucción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120.401</w:t>
            </w:r>
          </w:p>
        </w:tc>
      </w:tr>
      <w:tr w:rsidR="004C36B9" w:rsidTr="004C36B9">
        <w:trPr>
          <w:trHeight w:val="45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Jdos. Violencia contra la Mujer</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19.890</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de Menores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17.041</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de lo Penal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162.533</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A.P. Secciones Penales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59.236</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A.P. Secciones Mixtas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5.414</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T.S.J. Sala Civil y Penal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424</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Centrales de lo Penal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42</w:t>
            </w:r>
          </w:p>
        </w:tc>
      </w:tr>
      <w:tr w:rsidR="004C36B9" w:rsidTr="004C36B9">
        <w:trPr>
          <w:trHeight w:val="45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Jdos Centrales de Menores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3</w:t>
            </w:r>
          </w:p>
        </w:tc>
      </w:tr>
      <w:tr w:rsidR="004C36B9" w:rsidTr="004C36B9">
        <w:trPr>
          <w:trHeight w:val="300"/>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 xml:space="preserve">A.N. Sala Penal            </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134</w:t>
            </w:r>
          </w:p>
        </w:tc>
      </w:tr>
      <w:tr w:rsidR="004C36B9" w:rsidTr="004C36B9">
        <w:trPr>
          <w:trHeight w:val="315"/>
          <w:jc w:val="center"/>
        </w:trPr>
        <w:tc>
          <w:tcPr>
            <w:tcW w:w="2640" w:type="dxa"/>
            <w:tcBorders>
              <w:top w:val="nil"/>
              <w:left w:val="nil"/>
              <w:bottom w:val="nil"/>
              <w:right w:val="nil"/>
            </w:tcBorders>
            <w:shd w:val="clear" w:color="auto" w:fill="auto"/>
            <w:vAlign w:val="center"/>
            <w:hideMark/>
          </w:tcPr>
          <w:p w:rsidR="004C36B9" w:rsidRDefault="004C36B9">
            <w:pPr>
              <w:jc w:val="both"/>
              <w:rPr>
                <w:rFonts w:ascii="Verdana" w:hAnsi="Verdana" w:cs="Calibri"/>
                <w:color w:val="000000"/>
                <w:sz w:val="18"/>
                <w:szCs w:val="18"/>
              </w:rPr>
            </w:pPr>
            <w:r>
              <w:rPr>
                <w:rFonts w:ascii="Verdana" w:hAnsi="Verdana" w:cs="Arial"/>
                <w:color w:val="000000"/>
                <w:sz w:val="18"/>
                <w:szCs w:val="18"/>
              </w:rPr>
              <w:t>Tribunal Supremo: Sala 2ª</w:t>
            </w:r>
          </w:p>
        </w:tc>
        <w:tc>
          <w:tcPr>
            <w:tcW w:w="1420" w:type="dxa"/>
            <w:tcBorders>
              <w:top w:val="nil"/>
              <w:left w:val="nil"/>
              <w:bottom w:val="nil"/>
              <w:right w:val="nil"/>
            </w:tcBorders>
            <w:shd w:val="clear" w:color="auto" w:fill="auto"/>
            <w:noWrap/>
            <w:vAlign w:val="center"/>
            <w:hideMark/>
          </w:tcPr>
          <w:p w:rsidR="004C36B9" w:rsidRDefault="004C36B9">
            <w:pPr>
              <w:jc w:val="right"/>
              <w:rPr>
                <w:rFonts w:ascii="Verdana" w:hAnsi="Verdana" w:cs="Calibri"/>
                <w:color w:val="000000"/>
                <w:sz w:val="20"/>
                <w:szCs w:val="20"/>
              </w:rPr>
            </w:pPr>
            <w:r>
              <w:rPr>
                <w:rFonts w:ascii="Verdana" w:hAnsi="Verdana" w:cs="Calibri"/>
                <w:color w:val="000000"/>
                <w:sz w:val="20"/>
                <w:szCs w:val="20"/>
              </w:rPr>
              <w:t>778</w:t>
            </w:r>
          </w:p>
        </w:tc>
      </w:tr>
      <w:tr w:rsidR="004C36B9" w:rsidTr="004C36B9">
        <w:trPr>
          <w:trHeight w:val="315"/>
          <w:jc w:val="center"/>
        </w:trPr>
        <w:tc>
          <w:tcPr>
            <w:tcW w:w="2640" w:type="dxa"/>
            <w:tcBorders>
              <w:top w:val="single" w:sz="8" w:space="0" w:color="auto"/>
              <w:left w:val="nil"/>
              <w:bottom w:val="single" w:sz="8" w:space="0" w:color="auto"/>
              <w:right w:val="nil"/>
            </w:tcBorders>
            <w:shd w:val="clear" w:color="auto" w:fill="auto"/>
            <w:noWrap/>
            <w:vAlign w:val="center"/>
            <w:hideMark/>
          </w:tcPr>
          <w:p w:rsidR="004C36B9" w:rsidRDefault="004C36B9">
            <w:pPr>
              <w:rPr>
                <w:rFonts w:ascii="Verdana" w:hAnsi="Verdana" w:cs="Calibri"/>
                <w:b/>
                <w:bCs/>
                <w:color w:val="000080"/>
                <w:sz w:val="20"/>
                <w:szCs w:val="20"/>
              </w:rPr>
            </w:pPr>
            <w:r>
              <w:rPr>
                <w:rFonts w:ascii="Verdana" w:hAnsi="Verdana" w:cs="Arial"/>
                <w:b/>
                <w:bCs/>
                <w:color w:val="000080"/>
                <w:sz w:val="20"/>
                <w:szCs w:val="20"/>
              </w:rPr>
              <w:t xml:space="preserve">TOTAL </w:t>
            </w:r>
          </w:p>
        </w:tc>
        <w:tc>
          <w:tcPr>
            <w:tcW w:w="1420" w:type="dxa"/>
            <w:tcBorders>
              <w:top w:val="single" w:sz="8" w:space="0" w:color="auto"/>
              <w:left w:val="nil"/>
              <w:bottom w:val="single" w:sz="8" w:space="0" w:color="auto"/>
              <w:right w:val="nil"/>
            </w:tcBorders>
            <w:shd w:val="clear" w:color="auto" w:fill="auto"/>
            <w:noWrap/>
            <w:vAlign w:val="center"/>
            <w:hideMark/>
          </w:tcPr>
          <w:p w:rsidR="004C36B9" w:rsidRDefault="004C36B9">
            <w:pPr>
              <w:jc w:val="right"/>
              <w:rPr>
                <w:rFonts w:ascii="Verdana" w:hAnsi="Verdana" w:cs="Calibri"/>
                <w:b/>
                <w:bCs/>
                <w:color w:val="000000"/>
                <w:sz w:val="20"/>
                <w:szCs w:val="20"/>
              </w:rPr>
            </w:pPr>
            <w:r>
              <w:rPr>
                <w:rFonts w:ascii="Verdana" w:hAnsi="Verdana" w:cs="Calibri"/>
                <w:b/>
                <w:bCs/>
                <w:color w:val="000000"/>
                <w:sz w:val="20"/>
                <w:szCs w:val="20"/>
              </w:rPr>
              <w:t>573.918</w:t>
            </w:r>
          </w:p>
        </w:tc>
      </w:tr>
    </w:tbl>
    <w:p w:rsidR="00433902" w:rsidRPr="007A6EA4" w:rsidRDefault="00433902" w:rsidP="00433902">
      <w:pPr>
        <w:spacing w:before="120" w:after="120"/>
        <w:ind w:firstLine="357"/>
        <w:jc w:val="both"/>
        <w:rPr>
          <w:rFonts w:ascii="Verdana" w:hAnsi="Verdana" w:cs="Arial"/>
          <w:sz w:val="20"/>
        </w:rPr>
      </w:pPr>
    </w:p>
    <w:p w:rsidR="00433902" w:rsidRDefault="00433902" w:rsidP="00433902">
      <w:pPr>
        <w:spacing w:before="120" w:after="120"/>
        <w:ind w:firstLine="357"/>
        <w:jc w:val="both"/>
        <w:rPr>
          <w:rFonts w:ascii="Verdana" w:hAnsi="Verdana" w:cs="Arial"/>
          <w:sz w:val="20"/>
        </w:rPr>
      </w:pPr>
      <w:r w:rsidRPr="003B2749">
        <w:rPr>
          <w:rFonts w:ascii="Verdana" w:hAnsi="Verdana" w:cs="Arial"/>
          <w:sz w:val="20"/>
        </w:rPr>
        <w:lastRenderedPageBreak/>
        <w:t xml:space="preserve">En los </w:t>
      </w:r>
      <w:r w:rsidRPr="003B2749">
        <w:rPr>
          <w:rFonts w:ascii="Verdana" w:hAnsi="Verdana" w:cs="Arial"/>
          <w:b/>
          <w:sz w:val="20"/>
        </w:rPr>
        <w:t>juzgados de lo penal</w:t>
      </w:r>
      <w:r w:rsidRPr="003B2749">
        <w:rPr>
          <w:rFonts w:ascii="Verdana" w:hAnsi="Verdana" w:cs="Arial"/>
          <w:sz w:val="20"/>
        </w:rPr>
        <w:t xml:space="preserve"> las sentencias dictadas, en conformidad y resto, han tenido la siguiente distribución y evolución en los diferentes tribunales superiores de justicia:</w:t>
      </w:r>
    </w:p>
    <w:p w:rsidR="00433902" w:rsidRDefault="00433902" w:rsidP="00433902">
      <w:pPr>
        <w:spacing w:before="120" w:after="120"/>
        <w:ind w:firstLine="357"/>
        <w:jc w:val="both"/>
        <w:rPr>
          <w:rFonts w:ascii="Verdana" w:hAnsi="Verdana" w:cs="Arial"/>
          <w:sz w:val="20"/>
        </w:rPr>
      </w:pPr>
    </w:p>
    <w:tbl>
      <w:tblPr>
        <w:tblW w:w="7060" w:type="dxa"/>
        <w:jc w:val="center"/>
        <w:tblInd w:w="55" w:type="dxa"/>
        <w:tblCellMar>
          <w:left w:w="70" w:type="dxa"/>
          <w:right w:w="70" w:type="dxa"/>
        </w:tblCellMar>
        <w:tblLook w:val="04A0" w:firstRow="1" w:lastRow="0" w:firstColumn="1" w:lastColumn="0" w:noHBand="0" w:noVBand="1"/>
      </w:tblPr>
      <w:tblGrid>
        <w:gridCol w:w="2260"/>
        <w:gridCol w:w="1240"/>
        <w:gridCol w:w="1160"/>
        <w:gridCol w:w="1240"/>
        <w:gridCol w:w="1160"/>
      </w:tblGrid>
      <w:tr w:rsidR="00335A13" w:rsidTr="00335A13">
        <w:trPr>
          <w:trHeight w:val="315"/>
          <w:jc w:val="center"/>
        </w:trPr>
        <w:tc>
          <w:tcPr>
            <w:tcW w:w="2260" w:type="dxa"/>
            <w:tcBorders>
              <w:top w:val="nil"/>
              <w:left w:val="nil"/>
              <w:bottom w:val="nil"/>
              <w:right w:val="nil"/>
            </w:tcBorders>
            <w:shd w:val="clear" w:color="auto" w:fill="auto"/>
            <w:noWrap/>
            <w:vAlign w:val="bottom"/>
            <w:hideMark/>
          </w:tcPr>
          <w:p w:rsidR="00335A13" w:rsidRDefault="00335A13">
            <w:pPr>
              <w:rPr>
                <w:rFonts w:ascii="Verdana" w:hAnsi="Verdana" w:cs="Calibri"/>
                <w:color w:val="000000"/>
                <w:sz w:val="20"/>
                <w:szCs w:val="20"/>
              </w:rPr>
            </w:pPr>
          </w:p>
        </w:tc>
        <w:tc>
          <w:tcPr>
            <w:tcW w:w="2400" w:type="dxa"/>
            <w:gridSpan w:val="2"/>
            <w:tcBorders>
              <w:top w:val="single" w:sz="8" w:space="0" w:color="auto"/>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Arial"/>
                <w:b/>
                <w:bCs/>
                <w:color w:val="000080"/>
                <w:sz w:val="18"/>
                <w:szCs w:val="18"/>
              </w:rPr>
              <w:t>Conformidades</w:t>
            </w:r>
          </w:p>
        </w:tc>
        <w:tc>
          <w:tcPr>
            <w:tcW w:w="2400" w:type="dxa"/>
            <w:gridSpan w:val="2"/>
            <w:tcBorders>
              <w:top w:val="single" w:sz="8" w:space="0" w:color="auto"/>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Arial"/>
                <w:b/>
                <w:bCs/>
                <w:color w:val="000080"/>
                <w:sz w:val="18"/>
                <w:szCs w:val="18"/>
              </w:rPr>
              <w:t>Resto</w:t>
            </w:r>
          </w:p>
        </w:tc>
      </w:tr>
      <w:tr w:rsidR="00335A13" w:rsidTr="00335A13">
        <w:trPr>
          <w:trHeight w:val="690"/>
          <w:jc w:val="center"/>
        </w:trPr>
        <w:tc>
          <w:tcPr>
            <w:tcW w:w="2260" w:type="dxa"/>
            <w:tcBorders>
              <w:top w:val="nil"/>
              <w:left w:val="nil"/>
              <w:bottom w:val="nil"/>
              <w:right w:val="nil"/>
            </w:tcBorders>
            <w:shd w:val="clear" w:color="auto" w:fill="auto"/>
            <w:vAlign w:val="center"/>
            <w:hideMark/>
          </w:tcPr>
          <w:p w:rsidR="00335A13" w:rsidRDefault="00335A13">
            <w:pPr>
              <w:rPr>
                <w:rFonts w:ascii="Verdana" w:hAnsi="Verdana" w:cs="Calibri"/>
                <w:color w:val="000000"/>
                <w:sz w:val="20"/>
                <w:szCs w:val="20"/>
              </w:rPr>
            </w:pPr>
          </w:p>
        </w:tc>
        <w:tc>
          <w:tcPr>
            <w:tcW w:w="1200" w:type="dxa"/>
            <w:tcBorders>
              <w:top w:val="nil"/>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Arial"/>
                <w:b/>
                <w:bCs/>
                <w:color w:val="000080"/>
                <w:sz w:val="18"/>
                <w:szCs w:val="18"/>
              </w:rPr>
              <w:t>Sentencias</w:t>
            </w:r>
          </w:p>
        </w:tc>
        <w:tc>
          <w:tcPr>
            <w:tcW w:w="1200" w:type="dxa"/>
            <w:tcBorders>
              <w:top w:val="nil"/>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Calibri"/>
                <w:b/>
                <w:bCs/>
                <w:color w:val="000080"/>
                <w:sz w:val="18"/>
                <w:szCs w:val="18"/>
              </w:rPr>
              <w:t>Evolución respecto a 2016</w:t>
            </w:r>
          </w:p>
        </w:tc>
        <w:tc>
          <w:tcPr>
            <w:tcW w:w="1200" w:type="dxa"/>
            <w:tcBorders>
              <w:top w:val="nil"/>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Arial"/>
                <w:b/>
                <w:bCs/>
                <w:color w:val="000080"/>
                <w:sz w:val="18"/>
                <w:szCs w:val="18"/>
              </w:rPr>
              <w:t>Sentencias</w:t>
            </w:r>
          </w:p>
        </w:tc>
        <w:tc>
          <w:tcPr>
            <w:tcW w:w="1200" w:type="dxa"/>
            <w:tcBorders>
              <w:top w:val="nil"/>
              <w:left w:val="nil"/>
              <w:bottom w:val="single" w:sz="8" w:space="0" w:color="auto"/>
              <w:right w:val="nil"/>
            </w:tcBorders>
            <w:shd w:val="clear" w:color="auto" w:fill="auto"/>
            <w:vAlign w:val="center"/>
            <w:hideMark/>
          </w:tcPr>
          <w:p w:rsidR="00335A13" w:rsidRDefault="00335A13">
            <w:pPr>
              <w:jc w:val="center"/>
              <w:rPr>
                <w:rFonts w:ascii="Verdana" w:hAnsi="Verdana" w:cs="Calibri"/>
                <w:b/>
                <w:bCs/>
                <w:color w:val="000080"/>
                <w:sz w:val="18"/>
                <w:szCs w:val="18"/>
              </w:rPr>
            </w:pPr>
            <w:r>
              <w:rPr>
                <w:rFonts w:ascii="Verdana" w:hAnsi="Verdana" w:cs="Calibri"/>
                <w:b/>
                <w:bCs/>
                <w:color w:val="000080"/>
                <w:sz w:val="18"/>
                <w:szCs w:val="18"/>
              </w:rPr>
              <w:t>Evolución respecto a 2016</w:t>
            </w:r>
          </w:p>
        </w:tc>
      </w:tr>
      <w:tr w:rsidR="00335A13" w:rsidTr="00335A13">
        <w:trPr>
          <w:trHeight w:val="300"/>
          <w:jc w:val="center"/>
        </w:trPr>
        <w:tc>
          <w:tcPr>
            <w:tcW w:w="2260" w:type="dxa"/>
            <w:tcBorders>
              <w:top w:val="single" w:sz="8" w:space="0" w:color="auto"/>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Andalucía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15.766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0,9%</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18.439</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-2,1%</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Aragón</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1.880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-8,0%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2.165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-3,0%</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Asturias</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1.626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-13,0%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1.985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-1,3%</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Illes Balears</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2.731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1.441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1,2%</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Canarias</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3.337</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-15,9%</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2.860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-18,2%</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Cantabria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705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1.037</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-9,8%</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Castilla y León</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3.598</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14,5%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3.409</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10,5%</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Castilla-La Mancha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2.394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-10,8%</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3.514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3,4%</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Cataluña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13.534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-0,3%</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15.195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-6,5%</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C. Valenciana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10.956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9,2%</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10.056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3,2%</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Extremadura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1.880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-4,6%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1.024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-9,9%</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Galicia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4.200</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3.814</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-3,4%</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Madrid</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8.941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0,1%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13.549</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-1,3%</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Murcia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2.827</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6,5%</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1.683</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4,1%</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Navarra</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1018</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2,7%</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728</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4,7%</w:t>
            </w:r>
          </w:p>
        </w:tc>
      </w:tr>
      <w:tr w:rsidR="00335A13" w:rsidTr="00335A13">
        <w:trPr>
          <w:trHeight w:val="300"/>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País Vasco</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2.646</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-0,1%</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2.777</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0,1%</w:t>
            </w:r>
          </w:p>
        </w:tc>
      </w:tr>
      <w:tr w:rsidR="00335A13" w:rsidTr="00335A13">
        <w:trPr>
          <w:trHeight w:val="315"/>
          <w:jc w:val="center"/>
        </w:trPr>
        <w:tc>
          <w:tcPr>
            <w:tcW w:w="2260" w:type="dxa"/>
            <w:tcBorders>
              <w:top w:val="nil"/>
              <w:left w:val="nil"/>
              <w:bottom w:val="nil"/>
              <w:right w:val="nil"/>
            </w:tcBorders>
            <w:shd w:val="clear" w:color="auto" w:fill="auto"/>
            <w:vAlign w:val="center"/>
            <w:hideMark/>
          </w:tcPr>
          <w:p w:rsidR="00335A13" w:rsidRDefault="00335A13">
            <w:pPr>
              <w:jc w:val="both"/>
              <w:rPr>
                <w:rFonts w:ascii="Verdana" w:hAnsi="Verdana" w:cs="Calibri"/>
                <w:color w:val="000000"/>
                <w:sz w:val="20"/>
                <w:szCs w:val="20"/>
              </w:rPr>
            </w:pPr>
            <w:r>
              <w:rPr>
                <w:rFonts w:ascii="Verdana" w:hAnsi="Verdana" w:cs="Arial"/>
                <w:color w:val="000000"/>
                <w:sz w:val="20"/>
                <w:szCs w:val="20"/>
              </w:rPr>
              <w:t>La Rioja</w:t>
            </w:r>
          </w:p>
        </w:tc>
        <w:tc>
          <w:tcPr>
            <w:tcW w:w="1200" w:type="dxa"/>
            <w:tcBorders>
              <w:top w:val="nil"/>
              <w:left w:val="nil"/>
              <w:bottom w:val="single" w:sz="8" w:space="0" w:color="auto"/>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383</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-37,3%</w:t>
            </w:r>
          </w:p>
        </w:tc>
        <w:tc>
          <w:tcPr>
            <w:tcW w:w="1200" w:type="dxa"/>
            <w:tcBorders>
              <w:top w:val="nil"/>
              <w:left w:val="nil"/>
              <w:bottom w:val="single" w:sz="8" w:space="0" w:color="auto"/>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432</w:t>
            </w:r>
          </w:p>
        </w:tc>
        <w:tc>
          <w:tcPr>
            <w:tcW w:w="1200" w:type="dxa"/>
            <w:tcBorders>
              <w:top w:val="nil"/>
              <w:left w:val="nil"/>
              <w:bottom w:val="nil"/>
              <w:right w:val="nil"/>
            </w:tcBorders>
            <w:shd w:val="clear" w:color="auto" w:fill="auto"/>
            <w:vAlign w:val="center"/>
            <w:hideMark/>
          </w:tcPr>
          <w:p w:rsidR="00335A13" w:rsidRDefault="00335A13">
            <w:pPr>
              <w:jc w:val="right"/>
              <w:rPr>
                <w:rFonts w:ascii="Verdana" w:hAnsi="Verdana" w:cs="Calibri"/>
                <w:color w:val="000000"/>
                <w:sz w:val="20"/>
                <w:szCs w:val="20"/>
              </w:rPr>
            </w:pPr>
            <w:r>
              <w:rPr>
                <w:rFonts w:ascii="Verdana" w:hAnsi="Verdana" w:cs="Calibri"/>
                <w:color w:val="000000"/>
                <w:sz w:val="20"/>
                <w:szCs w:val="20"/>
              </w:rPr>
              <w:t>22,4%</w:t>
            </w:r>
          </w:p>
        </w:tc>
      </w:tr>
      <w:tr w:rsidR="00335A13" w:rsidTr="00335A13">
        <w:trPr>
          <w:trHeight w:val="315"/>
          <w:jc w:val="center"/>
        </w:trPr>
        <w:tc>
          <w:tcPr>
            <w:tcW w:w="2260" w:type="dxa"/>
            <w:tcBorders>
              <w:top w:val="single" w:sz="8" w:space="0" w:color="auto"/>
              <w:left w:val="nil"/>
              <w:bottom w:val="single" w:sz="8" w:space="0" w:color="auto"/>
              <w:right w:val="nil"/>
            </w:tcBorders>
            <w:shd w:val="clear" w:color="auto" w:fill="auto"/>
            <w:vAlign w:val="center"/>
            <w:hideMark/>
          </w:tcPr>
          <w:p w:rsidR="00335A13" w:rsidRDefault="00335A13">
            <w:pPr>
              <w:jc w:val="both"/>
              <w:rPr>
                <w:rFonts w:ascii="Verdana" w:hAnsi="Verdana" w:cs="Calibri"/>
                <w:b/>
                <w:bCs/>
                <w:color w:val="333399"/>
                <w:sz w:val="20"/>
                <w:szCs w:val="20"/>
              </w:rPr>
            </w:pPr>
            <w:r>
              <w:rPr>
                <w:rFonts w:ascii="Verdana" w:hAnsi="Verdana" w:cs="Arial"/>
                <w:b/>
                <w:bCs/>
                <w:color w:val="333399"/>
                <w:sz w:val="20"/>
                <w:szCs w:val="20"/>
              </w:rPr>
              <w:t>Total</w:t>
            </w:r>
          </w:p>
        </w:tc>
        <w:tc>
          <w:tcPr>
            <w:tcW w:w="1200" w:type="dxa"/>
            <w:tcBorders>
              <w:top w:val="nil"/>
              <w:left w:val="nil"/>
              <w:bottom w:val="single" w:sz="8" w:space="0" w:color="auto"/>
              <w:right w:val="nil"/>
            </w:tcBorders>
            <w:shd w:val="clear" w:color="auto" w:fill="auto"/>
            <w:vAlign w:val="center"/>
            <w:hideMark/>
          </w:tcPr>
          <w:p w:rsidR="00335A13" w:rsidRDefault="00335A13">
            <w:pPr>
              <w:jc w:val="right"/>
              <w:rPr>
                <w:rFonts w:ascii="Verdana" w:hAnsi="Verdana" w:cs="Calibri"/>
                <w:b/>
                <w:bCs/>
                <w:color w:val="000080"/>
                <w:sz w:val="20"/>
                <w:szCs w:val="20"/>
              </w:rPr>
            </w:pPr>
            <w:r>
              <w:rPr>
                <w:rFonts w:ascii="Verdana" w:hAnsi="Verdana" w:cs="Calibri"/>
                <w:b/>
                <w:bCs/>
                <w:color w:val="000080"/>
                <w:sz w:val="20"/>
                <w:szCs w:val="20"/>
              </w:rPr>
              <w:t>78.422</w:t>
            </w:r>
          </w:p>
        </w:tc>
        <w:tc>
          <w:tcPr>
            <w:tcW w:w="1200" w:type="dxa"/>
            <w:tcBorders>
              <w:top w:val="single" w:sz="8" w:space="0" w:color="auto"/>
              <w:left w:val="nil"/>
              <w:bottom w:val="single" w:sz="8" w:space="0" w:color="auto"/>
              <w:right w:val="nil"/>
            </w:tcBorders>
            <w:shd w:val="clear" w:color="auto" w:fill="auto"/>
            <w:vAlign w:val="center"/>
            <w:hideMark/>
          </w:tcPr>
          <w:p w:rsidR="00335A13" w:rsidRDefault="00335A13">
            <w:pPr>
              <w:jc w:val="right"/>
              <w:rPr>
                <w:rFonts w:ascii="Verdana" w:hAnsi="Verdana" w:cs="Calibri"/>
                <w:b/>
                <w:bCs/>
                <w:color w:val="000080"/>
                <w:sz w:val="20"/>
                <w:szCs w:val="20"/>
              </w:rPr>
            </w:pPr>
            <w:r>
              <w:rPr>
                <w:rFonts w:ascii="Verdana" w:hAnsi="Verdana" w:cs="Calibri"/>
                <w:b/>
                <w:bCs/>
                <w:color w:val="000080"/>
                <w:sz w:val="20"/>
                <w:szCs w:val="20"/>
              </w:rPr>
              <w:t>0,1%</w:t>
            </w:r>
          </w:p>
        </w:tc>
        <w:tc>
          <w:tcPr>
            <w:tcW w:w="1200" w:type="dxa"/>
            <w:tcBorders>
              <w:top w:val="nil"/>
              <w:left w:val="nil"/>
              <w:bottom w:val="single" w:sz="8" w:space="0" w:color="auto"/>
              <w:right w:val="nil"/>
            </w:tcBorders>
            <w:shd w:val="clear" w:color="auto" w:fill="auto"/>
            <w:vAlign w:val="center"/>
            <w:hideMark/>
          </w:tcPr>
          <w:p w:rsidR="00335A13" w:rsidRDefault="00335A13">
            <w:pPr>
              <w:jc w:val="right"/>
              <w:rPr>
                <w:rFonts w:ascii="Verdana" w:hAnsi="Verdana" w:cs="Calibri"/>
                <w:b/>
                <w:bCs/>
                <w:color w:val="000080"/>
                <w:sz w:val="20"/>
                <w:szCs w:val="20"/>
              </w:rPr>
            </w:pPr>
            <w:r>
              <w:rPr>
                <w:rFonts w:ascii="Verdana" w:hAnsi="Verdana" w:cs="Calibri"/>
                <w:b/>
                <w:bCs/>
                <w:color w:val="000080"/>
                <w:sz w:val="20"/>
                <w:szCs w:val="20"/>
              </w:rPr>
              <w:t>84.108</w:t>
            </w:r>
          </w:p>
        </w:tc>
        <w:tc>
          <w:tcPr>
            <w:tcW w:w="1200" w:type="dxa"/>
            <w:tcBorders>
              <w:top w:val="single" w:sz="8" w:space="0" w:color="auto"/>
              <w:left w:val="nil"/>
              <w:bottom w:val="single" w:sz="8" w:space="0" w:color="auto"/>
              <w:right w:val="nil"/>
            </w:tcBorders>
            <w:shd w:val="clear" w:color="auto" w:fill="auto"/>
            <w:vAlign w:val="center"/>
            <w:hideMark/>
          </w:tcPr>
          <w:p w:rsidR="00335A13" w:rsidRDefault="00335A13">
            <w:pPr>
              <w:jc w:val="right"/>
              <w:rPr>
                <w:rFonts w:ascii="Verdana" w:hAnsi="Verdana" w:cs="Calibri"/>
                <w:b/>
                <w:bCs/>
                <w:color w:val="000080"/>
                <w:sz w:val="20"/>
                <w:szCs w:val="20"/>
              </w:rPr>
            </w:pPr>
            <w:r>
              <w:rPr>
                <w:rFonts w:ascii="Verdana" w:hAnsi="Verdana" w:cs="Calibri"/>
                <w:b/>
                <w:bCs/>
                <w:color w:val="000080"/>
                <w:sz w:val="20"/>
                <w:szCs w:val="20"/>
              </w:rPr>
              <w:t>-2,0%</w:t>
            </w:r>
          </w:p>
        </w:tc>
      </w:tr>
    </w:tbl>
    <w:p w:rsidR="00E72871" w:rsidRDefault="00E72871" w:rsidP="00433902">
      <w:pPr>
        <w:spacing w:before="120" w:after="120"/>
        <w:ind w:firstLine="357"/>
        <w:jc w:val="both"/>
        <w:rPr>
          <w:rFonts w:ascii="Verdana" w:hAnsi="Verdana" w:cs="Arial"/>
          <w:sz w:val="20"/>
        </w:rPr>
      </w:pPr>
    </w:p>
    <w:p w:rsidR="00433902" w:rsidRDefault="00433902" w:rsidP="00433902">
      <w:pPr>
        <w:spacing w:before="120" w:after="120"/>
        <w:ind w:firstLine="357"/>
        <w:jc w:val="both"/>
        <w:rPr>
          <w:rFonts w:ascii="Verdana" w:hAnsi="Verdana" w:cs="Arial"/>
          <w:sz w:val="20"/>
        </w:rPr>
      </w:pPr>
    </w:p>
    <w:p w:rsidR="00433902" w:rsidRPr="003B2749" w:rsidRDefault="00433902" w:rsidP="00433902">
      <w:pPr>
        <w:spacing w:before="120" w:after="120"/>
        <w:ind w:firstLine="357"/>
        <w:jc w:val="both"/>
        <w:rPr>
          <w:rFonts w:ascii="Verdana" w:hAnsi="Verdana" w:cs="Arial"/>
          <w:sz w:val="20"/>
        </w:rPr>
      </w:pPr>
      <w:r w:rsidRPr="003B2749">
        <w:rPr>
          <w:rFonts w:ascii="Verdana" w:hAnsi="Verdana" w:cs="Arial"/>
          <w:sz w:val="20"/>
        </w:rPr>
        <w:t>El porcentaje de sentencias condenatorias distinguiendo si se trata de asuntos de violencia doméstica, contra la mujer, o resto:</w:t>
      </w:r>
    </w:p>
    <w:p w:rsidR="00433902" w:rsidRPr="003B2749" w:rsidRDefault="00433902" w:rsidP="00433902">
      <w:pPr>
        <w:spacing w:before="120" w:after="120"/>
        <w:ind w:firstLine="357"/>
        <w:jc w:val="both"/>
        <w:rPr>
          <w:rFonts w:ascii="Verdana" w:hAnsi="Verdana" w:cs="Arial"/>
          <w:sz w:val="20"/>
        </w:rPr>
      </w:pPr>
    </w:p>
    <w:tbl>
      <w:tblPr>
        <w:tblW w:w="5000" w:type="dxa"/>
        <w:jc w:val="center"/>
        <w:tblInd w:w="55" w:type="dxa"/>
        <w:tblCellMar>
          <w:left w:w="70" w:type="dxa"/>
          <w:right w:w="70" w:type="dxa"/>
        </w:tblCellMar>
        <w:tblLook w:val="04A0" w:firstRow="1" w:lastRow="0" w:firstColumn="1" w:lastColumn="0" w:noHBand="0" w:noVBand="1"/>
      </w:tblPr>
      <w:tblGrid>
        <w:gridCol w:w="2240"/>
        <w:gridCol w:w="1219"/>
        <w:gridCol w:w="1576"/>
      </w:tblGrid>
      <w:tr w:rsidR="00335A13" w:rsidRPr="003B2749" w:rsidTr="00335A13">
        <w:trPr>
          <w:trHeight w:val="690"/>
          <w:jc w:val="center"/>
        </w:trPr>
        <w:tc>
          <w:tcPr>
            <w:tcW w:w="2240" w:type="dxa"/>
            <w:tcBorders>
              <w:top w:val="nil"/>
              <w:left w:val="nil"/>
              <w:bottom w:val="single" w:sz="8" w:space="0" w:color="auto"/>
              <w:right w:val="nil"/>
            </w:tcBorders>
            <w:shd w:val="clear" w:color="auto" w:fill="auto"/>
            <w:noWrap/>
            <w:vAlign w:val="center"/>
            <w:hideMark/>
          </w:tcPr>
          <w:p w:rsidR="00335A13" w:rsidRPr="003B2749" w:rsidRDefault="00335A13">
            <w:pPr>
              <w:rPr>
                <w:rFonts w:ascii="Verdana" w:hAnsi="Verdana" w:cs="Calibri"/>
                <w:color w:val="000000"/>
                <w:sz w:val="20"/>
                <w:szCs w:val="20"/>
              </w:rPr>
            </w:pPr>
            <w:r w:rsidRPr="003B2749">
              <w:rPr>
                <w:rFonts w:ascii="Verdana" w:hAnsi="Verdana" w:cs="Arial"/>
                <w:color w:val="00000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335A13" w:rsidRPr="003B2749" w:rsidRDefault="00335A13">
            <w:pPr>
              <w:jc w:val="center"/>
              <w:rPr>
                <w:rFonts w:ascii="Verdana" w:hAnsi="Verdana" w:cs="Calibri"/>
                <w:b/>
                <w:bCs/>
                <w:color w:val="000080"/>
                <w:sz w:val="18"/>
                <w:szCs w:val="18"/>
              </w:rPr>
            </w:pPr>
            <w:r w:rsidRPr="003B2749">
              <w:rPr>
                <w:rFonts w:ascii="Verdana" w:hAnsi="Verdana" w:cs="Arial"/>
                <w:b/>
                <w:bCs/>
                <w:color w:val="000080"/>
                <w:sz w:val="18"/>
                <w:szCs w:val="18"/>
              </w:rPr>
              <w:t>Total de sentencias</w:t>
            </w:r>
          </w:p>
        </w:tc>
        <w:tc>
          <w:tcPr>
            <w:tcW w:w="1560" w:type="dxa"/>
            <w:tcBorders>
              <w:top w:val="single" w:sz="8" w:space="0" w:color="auto"/>
              <w:left w:val="nil"/>
              <w:bottom w:val="single" w:sz="8" w:space="0" w:color="auto"/>
              <w:right w:val="nil"/>
            </w:tcBorders>
            <w:shd w:val="clear" w:color="auto" w:fill="auto"/>
            <w:vAlign w:val="center"/>
            <w:hideMark/>
          </w:tcPr>
          <w:p w:rsidR="00335A13" w:rsidRPr="003B2749" w:rsidRDefault="00335A13">
            <w:pPr>
              <w:jc w:val="center"/>
              <w:rPr>
                <w:rFonts w:ascii="Verdana" w:hAnsi="Verdana" w:cs="Calibri"/>
                <w:b/>
                <w:bCs/>
                <w:color w:val="000080"/>
                <w:sz w:val="18"/>
                <w:szCs w:val="18"/>
              </w:rPr>
            </w:pPr>
            <w:r w:rsidRPr="003B2749">
              <w:rPr>
                <w:rFonts w:ascii="Verdana" w:hAnsi="Verdana" w:cs="Arial"/>
                <w:b/>
                <w:bCs/>
                <w:color w:val="000080"/>
                <w:sz w:val="18"/>
                <w:szCs w:val="18"/>
              </w:rPr>
              <w:t>Porcentaje de condenatorias</w:t>
            </w:r>
          </w:p>
        </w:tc>
      </w:tr>
      <w:tr w:rsidR="00335A13" w:rsidRPr="003B2749" w:rsidTr="00335A13">
        <w:trPr>
          <w:trHeight w:val="300"/>
          <w:jc w:val="center"/>
        </w:trPr>
        <w:tc>
          <w:tcPr>
            <w:tcW w:w="2240" w:type="dxa"/>
            <w:tcBorders>
              <w:top w:val="nil"/>
              <w:left w:val="nil"/>
              <w:bottom w:val="nil"/>
              <w:right w:val="nil"/>
            </w:tcBorders>
            <w:shd w:val="clear" w:color="auto" w:fill="auto"/>
            <w:vAlign w:val="center"/>
            <w:hideMark/>
          </w:tcPr>
          <w:p w:rsidR="00335A13" w:rsidRPr="003B2749" w:rsidRDefault="00335A13">
            <w:pPr>
              <w:rPr>
                <w:rFonts w:ascii="Verdana" w:hAnsi="Verdana" w:cs="Calibri"/>
                <w:color w:val="000000"/>
                <w:sz w:val="20"/>
                <w:szCs w:val="20"/>
              </w:rPr>
            </w:pPr>
            <w:r w:rsidRPr="003B2749">
              <w:rPr>
                <w:rFonts w:ascii="Verdana" w:hAnsi="Verdana" w:cs="Arial"/>
                <w:color w:val="000000"/>
                <w:sz w:val="20"/>
                <w:szCs w:val="20"/>
              </w:rPr>
              <w:t>Violencia doméstica</w:t>
            </w:r>
          </w:p>
        </w:tc>
        <w:tc>
          <w:tcPr>
            <w:tcW w:w="120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4.693</w:t>
            </w:r>
          </w:p>
        </w:tc>
        <w:tc>
          <w:tcPr>
            <w:tcW w:w="156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53,3%</w:t>
            </w:r>
          </w:p>
        </w:tc>
      </w:tr>
      <w:tr w:rsidR="00335A13" w:rsidRPr="003B2749" w:rsidTr="00335A13">
        <w:trPr>
          <w:trHeight w:val="300"/>
          <w:jc w:val="center"/>
        </w:trPr>
        <w:tc>
          <w:tcPr>
            <w:tcW w:w="2240" w:type="dxa"/>
            <w:tcBorders>
              <w:top w:val="nil"/>
              <w:left w:val="nil"/>
              <w:bottom w:val="nil"/>
              <w:right w:val="nil"/>
            </w:tcBorders>
            <w:shd w:val="clear" w:color="auto" w:fill="auto"/>
            <w:vAlign w:val="center"/>
            <w:hideMark/>
          </w:tcPr>
          <w:p w:rsidR="00335A13" w:rsidRPr="003B2749" w:rsidRDefault="00335A13">
            <w:pPr>
              <w:jc w:val="both"/>
              <w:rPr>
                <w:rFonts w:ascii="Verdana" w:hAnsi="Verdana" w:cs="Calibri"/>
                <w:color w:val="000000"/>
                <w:sz w:val="20"/>
                <w:szCs w:val="20"/>
              </w:rPr>
            </w:pPr>
            <w:r w:rsidRPr="003B2749">
              <w:rPr>
                <w:rFonts w:ascii="Verdana" w:hAnsi="Verdana" w:cs="Calibri"/>
                <w:color w:val="000000"/>
                <w:sz w:val="20"/>
                <w:szCs w:val="20"/>
              </w:rPr>
              <w:t>Violencia de género</w:t>
            </w:r>
          </w:p>
        </w:tc>
        <w:tc>
          <w:tcPr>
            <w:tcW w:w="120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28.953</w:t>
            </w:r>
          </w:p>
        </w:tc>
        <w:tc>
          <w:tcPr>
            <w:tcW w:w="156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55,8%</w:t>
            </w:r>
          </w:p>
        </w:tc>
      </w:tr>
      <w:tr w:rsidR="00335A13" w:rsidRPr="003B2749" w:rsidTr="00335A13">
        <w:trPr>
          <w:trHeight w:val="315"/>
          <w:jc w:val="center"/>
        </w:trPr>
        <w:tc>
          <w:tcPr>
            <w:tcW w:w="2240" w:type="dxa"/>
            <w:tcBorders>
              <w:top w:val="nil"/>
              <w:left w:val="nil"/>
              <w:bottom w:val="single" w:sz="8" w:space="0" w:color="auto"/>
              <w:right w:val="nil"/>
            </w:tcBorders>
            <w:shd w:val="clear" w:color="auto" w:fill="auto"/>
            <w:vAlign w:val="center"/>
            <w:hideMark/>
          </w:tcPr>
          <w:p w:rsidR="00335A13" w:rsidRPr="003B2749" w:rsidRDefault="00335A13">
            <w:pPr>
              <w:rPr>
                <w:rFonts w:ascii="Verdana" w:hAnsi="Verdana" w:cs="Calibri"/>
                <w:color w:val="000000"/>
                <w:sz w:val="20"/>
                <w:szCs w:val="20"/>
              </w:rPr>
            </w:pPr>
            <w:r w:rsidRPr="003B2749">
              <w:rPr>
                <w:rFonts w:ascii="Verdana" w:hAnsi="Verdana" w:cs="Arial"/>
                <w:color w:val="000000"/>
                <w:sz w:val="20"/>
                <w:szCs w:val="20"/>
              </w:rPr>
              <w:t>Resto</w:t>
            </w:r>
          </w:p>
        </w:tc>
        <w:tc>
          <w:tcPr>
            <w:tcW w:w="120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128.884</w:t>
            </w:r>
          </w:p>
        </w:tc>
        <w:tc>
          <w:tcPr>
            <w:tcW w:w="1560" w:type="dxa"/>
            <w:tcBorders>
              <w:top w:val="nil"/>
              <w:left w:val="nil"/>
              <w:bottom w:val="nil"/>
              <w:right w:val="nil"/>
            </w:tcBorders>
            <w:shd w:val="clear" w:color="auto" w:fill="auto"/>
            <w:vAlign w:val="center"/>
            <w:hideMark/>
          </w:tcPr>
          <w:p w:rsidR="00335A13" w:rsidRPr="003B2749" w:rsidRDefault="00335A13">
            <w:pPr>
              <w:jc w:val="right"/>
              <w:rPr>
                <w:rFonts w:ascii="Verdana" w:hAnsi="Verdana" w:cs="Calibri"/>
                <w:color w:val="000000"/>
                <w:sz w:val="20"/>
                <w:szCs w:val="20"/>
              </w:rPr>
            </w:pPr>
            <w:r w:rsidRPr="003B2749">
              <w:rPr>
                <w:rFonts w:ascii="Verdana" w:hAnsi="Verdana" w:cs="Calibri"/>
                <w:color w:val="000000"/>
                <w:sz w:val="20"/>
                <w:szCs w:val="20"/>
              </w:rPr>
              <w:t>79,4%</w:t>
            </w:r>
          </w:p>
        </w:tc>
      </w:tr>
      <w:tr w:rsidR="00335A13" w:rsidRPr="003B2749" w:rsidTr="00335A13">
        <w:trPr>
          <w:trHeight w:val="315"/>
          <w:jc w:val="center"/>
        </w:trPr>
        <w:tc>
          <w:tcPr>
            <w:tcW w:w="2240" w:type="dxa"/>
            <w:tcBorders>
              <w:top w:val="nil"/>
              <w:left w:val="nil"/>
              <w:bottom w:val="single" w:sz="8" w:space="0" w:color="auto"/>
              <w:right w:val="nil"/>
            </w:tcBorders>
            <w:shd w:val="clear" w:color="auto" w:fill="auto"/>
            <w:noWrap/>
            <w:vAlign w:val="center"/>
            <w:hideMark/>
          </w:tcPr>
          <w:p w:rsidR="00335A13" w:rsidRPr="003B2749" w:rsidRDefault="00335A13">
            <w:pPr>
              <w:rPr>
                <w:rFonts w:ascii="Verdana" w:hAnsi="Verdana" w:cs="Calibri"/>
                <w:b/>
                <w:bCs/>
                <w:color w:val="000080"/>
                <w:sz w:val="20"/>
                <w:szCs w:val="20"/>
              </w:rPr>
            </w:pPr>
            <w:r w:rsidRPr="003B2749">
              <w:rPr>
                <w:rFonts w:ascii="Verdana" w:hAnsi="Verdana" w:cs="Arial"/>
                <w:b/>
                <w:bCs/>
                <w:color w:val="000080"/>
                <w:sz w:val="20"/>
                <w:szCs w:val="20"/>
              </w:rPr>
              <w:t>Total</w:t>
            </w:r>
          </w:p>
        </w:tc>
        <w:tc>
          <w:tcPr>
            <w:tcW w:w="1200" w:type="dxa"/>
            <w:tcBorders>
              <w:top w:val="single" w:sz="8" w:space="0" w:color="auto"/>
              <w:left w:val="nil"/>
              <w:bottom w:val="single" w:sz="8" w:space="0" w:color="auto"/>
              <w:right w:val="nil"/>
            </w:tcBorders>
            <w:shd w:val="clear" w:color="auto" w:fill="auto"/>
            <w:noWrap/>
            <w:vAlign w:val="center"/>
            <w:hideMark/>
          </w:tcPr>
          <w:p w:rsidR="00335A13" w:rsidRPr="003B2749" w:rsidRDefault="00335A13">
            <w:pPr>
              <w:jc w:val="right"/>
              <w:rPr>
                <w:rFonts w:ascii="Verdana" w:hAnsi="Verdana" w:cs="Calibri"/>
                <w:b/>
                <w:bCs/>
                <w:color w:val="002060"/>
                <w:sz w:val="20"/>
                <w:szCs w:val="20"/>
              </w:rPr>
            </w:pPr>
            <w:r w:rsidRPr="003B2749">
              <w:rPr>
                <w:rFonts w:ascii="Verdana" w:hAnsi="Verdana" w:cs="Calibri"/>
                <w:b/>
                <w:bCs/>
                <w:color w:val="002060"/>
                <w:sz w:val="20"/>
                <w:szCs w:val="20"/>
              </w:rPr>
              <w:t>162.530</w:t>
            </w:r>
          </w:p>
        </w:tc>
        <w:tc>
          <w:tcPr>
            <w:tcW w:w="1560" w:type="dxa"/>
            <w:tcBorders>
              <w:top w:val="single" w:sz="8" w:space="0" w:color="auto"/>
              <w:left w:val="nil"/>
              <w:bottom w:val="single" w:sz="8" w:space="0" w:color="auto"/>
              <w:right w:val="nil"/>
            </w:tcBorders>
            <w:shd w:val="clear" w:color="auto" w:fill="auto"/>
            <w:noWrap/>
            <w:vAlign w:val="center"/>
            <w:hideMark/>
          </w:tcPr>
          <w:p w:rsidR="00335A13" w:rsidRPr="003B2749" w:rsidRDefault="00335A13">
            <w:pPr>
              <w:jc w:val="right"/>
              <w:rPr>
                <w:rFonts w:ascii="Verdana" w:hAnsi="Verdana" w:cs="Calibri"/>
                <w:b/>
                <w:bCs/>
                <w:color w:val="002060"/>
                <w:sz w:val="20"/>
                <w:szCs w:val="20"/>
              </w:rPr>
            </w:pPr>
            <w:r w:rsidRPr="003B2749">
              <w:rPr>
                <w:rFonts w:ascii="Verdana" w:hAnsi="Verdana" w:cs="Calibri"/>
                <w:b/>
                <w:bCs/>
                <w:color w:val="002060"/>
                <w:sz w:val="20"/>
                <w:szCs w:val="20"/>
              </w:rPr>
              <w:t>74,4%</w:t>
            </w:r>
          </w:p>
        </w:tc>
      </w:tr>
    </w:tbl>
    <w:p w:rsidR="00433902" w:rsidRPr="003B2749" w:rsidRDefault="00433902" w:rsidP="00433902">
      <w:pPr>
        <w:spacing w:before="120" w:after="120"/>
        <w:ind w:firstLine="357"/>
        <w:jc w:val="both"/>
        <w:rPr>
          <w:rFonts w:ascii="Verdana" w:hAnsi="Verdana" w:cs="Arial"/>
          <w:sz w:val="20"/>
        </w:rPr>
      </w:pPr>
    </w:p>
    <w:p w:rsidR="00433902" w:rsidRPr="007A6EA4" w:rsidRDefault="00433902" w:rsidP="00433902">
      <w:pPr>
        <w:spacing w:before="120" w:after="120"/>
        <w:ind w:firstLine="357"/>
        <w:jc w:val="both"/>
        <w:rPr>
          <w:rFonts w:ascii="Verdana" w:hAnsi="Verdana" w:cs="Arial"/>
          <w:sz w:val="20"/>
        </w:rPr>
      </w:pPr>
      <w:r w:rsidRPr="003B2749">
        <w:rPr>
          <w:rFonts w:ascii="Verdana" w:hAnsi="Verdana" w:cs="Arial"/>
          <w:sz w:val="20"/>
        </w:rPr>
        <w:t xml:space="preserve">El número de sentencias dictadas </w:t>
      </w:r>
      <w:r w:rsidRPr="003B2749">
        <w:rPr>
          <w:rFonts w:ascii="Verdana" w:hAnsi="Verdana" w:cs="Arial"/>
          <w:b/>
          <w:sz w:val="20"/>
        </w:rPr>
        <w:t>en las audiencias provinciales</w:t>
      </w:r>
      <w:r w:rsidRPr="003B2749">
        <w:rPr>
          <w:rFonts w:ascii="Verdana" w:hAnsi="Verdana" w:cs="Arial"/>
          <w:sz w:val="20"/>
        </w:rPr>
        <w:t xml:space="preserve"> en procesos por jurado, sumarios y abreviados ha sido:</w:t>
      </w:r>
    </w:p>
    <w:p w:rsidR="00433902" w:rsidRDefault="00433902" w:rsidP="00433902">
      <w:pPr>
        <w:spacing w:before="120" w:after="120"/>
        <w:ind w:firstLine="357"/>
        <w:jc w:val="both"/>
        <w:rPr>
          <w:rFonts w:ascii="Verdana" w:hAnsi="Verdana" w:cs="Arial"/>
          <w:sz w:val="20"/>
        </w:rPr>
      </w:pPr>
    </w:p>
    <w:tbl>
      <w:tblPr>
        <w:tblW w:w="8696" w:type="dxa"/>
        <w:jc w:val="center"/>
        <w:tblInd w:w="779" w:type="dxa"/>
        <w:tblCellMar>
          <w:left w:w="70" w:type="dxa"/>
          <w:right w:w="70" w:type="dxa"/>
        </w:tblCellMar>
        <w:tblLook w:val="04A0" w:firstRow="1" w:lastRow="0" w:firstColumn="1" w:lastColumn="0" w:noHBand="0" w:noVBand="1"/>
      </w:tblPr>
      <w:tblGrid>
        <w:gridCol w:w="1496"/>
        <w:gridCol w:w="1240"/>
        <w:gridCol w:w="1160"/>
        <w:gridCol w:w="1240"/>
        <w:gridCol w:w="1160"/>
        <w:gridCol w:w="1240"/>
        <w:gridCol w:w="1160"/>
      </w:tblGrid>
      <w:tr w:rsidR="004F0EDD" w:rsidTr="006A72D6">
        <w:trPr>
          <w:trHeight w:val="450"/>
          <w:jc w:val="center"/>
        </w:trPr>
        <w:tc>
          <w:tcPr>
            <w:tcW w:w="1496" w:type="dxa"/>
            <w:tcBorders>
              <w:top w:val="nil"/>
              <w:left w:val="nil"/>
              <w:bottom w:val="nil"/>
              <w:right w:val="nil"/>
            </w:tcBorders>
            <w:shd w:val="clear" w:color="auto" w:fill="auto"/>
            <w:noWrap/>
            <w:vAlign w:val="bottom"/>
            <w:hideMark/>
          </w:tcPr>
          <w:p w:rsidR="004F0EDD" w:rsidRDefault="004F0EDD">
            <w:pPr>
              <w:rPr>
                <w:color w:val="000000"/>
                <w:sz w:val="20"/>
                <w:szCs w:val="20"/>
              </w:rPr>
            </w:pPr>
          </w:p>
        </w:tc>
        <w:tc>
          <w:tcPr>
            <w:tcW w:w="2400" w:type="dxa"/>
            <w:gridSpan w:val="2"/>
            <w:tcBorders>
              <w:top w:val="single" w:sz="8" w:space="0" w:color="auto"/>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Jurado</w:t>
            </w:r>
          </w:p>
        </w:tc>
        <w:tc>
          <w:tcPr>
            <w:tcW w:w="2400" w:type="dxa"/>
            <w:gridSpan w:val="2"/>
            <w:tcBorders>
              <w:top w:val="single" w:sz="8" w:space="0" w:color="auto"/>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Sumarios</w:t>
            </w:r>
          </w:p>
        </w:tc>
        <w:tc>
          <w:tcPr>
            <w:tcW w:w="2400" w:type="dxa"/>
            <w:gridSpan w:val="2"/>
            <w:tcBorders>
              <w:top w:val="single" w:sz="8" w:space="0" w:color="auto"/>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bookmarkStart w:id="6" w:name="RANGE!F27"/>
            <w:r>
              <w:rPr>
                <w:rFonts w:ascii="Verdana" w:hAnsi="Verdana" w:cs="Calibri"/>
                <w:b/>
                <w:bCs/>
                <w:color w:val="000080"/>
                <w:sz w:val="18"/>
                <w:szCs w:val="18"/>
              </w:rPr>
              <w:t>Procedimientos Abreviados</w:t>
            </w:r>
            <w:bookmarkEnd w:id="6"/>
          </w:p>
        </w:tc>
      </w:tr>
      <w:tr w:rsidR="004F0EDD" w:rsidTr="006A72D6">
        <w:trPr>
          <w:trHeight w:val="690"/>
          <w:jc w:val="center"/>
        </w:trPr>
        <w:tc>
          <w:tcPr>
            <w:tcW w:w="1496" w:type="dxa"/>
            <w:tcBorders>
              <w:top w:val="nil"/>
              <w:left w:val="nil"/>
              <w:bottom w:val="nil"/>
              <w:right w:val="nil"/>
            </w:tcBorders>
            <w:shd w:val="clear" w:color="auto" w:fill="auto"/>
            <w:vAlign w:val="center"/>
            <w:hideMark/>
          </w:tcPr>
          <w:p w:rsidR="004F0EDD" w:rsidRDefault="004F0EDD">
            <w:pPr>
              <w:rPr>
                <w:color w:val="000000"/>
                <w:sz w:val="20"/>
                <w:szCs w:val="20"/>
              </w:rPr>
            </w:pPr>
          </w:p>
        </w:tc>
        <w:tc>
          <w:tcPr>
            <w:tcW w:w="124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Sentencias</w:t>
            </w:r>
          </w:p>
        </w:tc>
        <w:tc>
          <w:tcPr>
            <w:tcW w:w="116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Evolución respecto a 2016</w:t>
            </w:r>
          </w:p>
        </w:tc>
        <w:tc>
          <w:tcPr>
            <w:tcW w:w="124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Sentencias</w:t>
            </w:r>
          </w:p>
        </w:tc>
        <w:tc>
          <w:tcPr>
            <w:tcW w:w="116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Evolución respecto a 2016</w:t>
            </w:r>
          </w:p>
        </w:tc>
        <w:tc>
          <w:tcPr>
            <w:tcW w:w="124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Sentencias</w:t>
            </w:r>
          </w:p>
        </w:tc>
        <w:tc>
          <w:tcPr>
            <w:tcW w:w="1160" w:type="dxa"/>
            <w:tcBorders>
              <w:top w:val="nil"/>
              <w:left w:val="nil"/>
              <w:bottom w:val="single" w:sz="8" w:space="0" w:color="auto"/>
              <w:right w:val="nil"/>
            </w:tcBorders>
            <w:shd w:val="clear" w:color="auto" w:fill="auto"/>
            <w:vAlign w:val="center"/>
            <w:hideMark/>
          </w:tcPr>
          <w:p w:rsidR="004F0EDD" w:rsidRDefault="004F0EDD">
            <w:pPr>
              <w:jc w:val="center"/>
              <w:rPr>
                <w:rFonts w:ascii="Verdana" w:hAnsi="Verdana" w:cs="Calibri"/>
                <w:b/>
                <w:bCs/>
                <w:color w:val="000080"/>
                <w:sz w:val="18"/>
                <w:szCs w:val="18"/>
              </w:rPr>
            </w:pPr>
            <w:r>
              <w:rPr>
                <w:rFonts w:ascii="Verdana" w:hAnsi="Verdana" w:cs="Calibri"/>
                <w:b/>
                <w:bCs/>
                <w:color w:val="000080"/>
                <w:sz w:val="18"/>
                <w:szCs w:val="18"/>
              </w:rPr>
              <w:t>Evolución respecto a 2016</w:t>
            </w:r>
          </w:p>
        </w:tc>
      </w:tr>
      <w:tr w:rsidR="004F0EDD" w:rsidTr="006A72D6">
        <w:trPr>
          <w:trHeight w:val="300"/>
          <w:jc w:val="center"/>
        </w:trPr>
        <w:tc>
          <w:tcPr>
            <w:tcW w:w="1496" w:type="dxa"/>
            <w:tcBorders>
              <w:top w:val="single" w:sz="8" w:space="0" w:color="auto"/>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lastRenderedPageBreak/>
              <w:t>Andalucía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48</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-11,1%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330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-3,2%</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1.426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3,1%</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Aragón</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57,1%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17,1%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251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19,0%</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Asturias</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-62,5%</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29</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-9,4%</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134</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-8,2%</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Illes Balears</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11,1%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49</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6,5%</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187</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-20,4%</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Canarias</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25</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66,7%</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87</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1,2%</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310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-4,6%</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Cantabria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-50,0%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18</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5,9%</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86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48,3%</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Castilla y León</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12</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-8,0%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219</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12,3%</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Castilla-La Mancha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-8,3%</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55</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1,9%</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202</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4,1%</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Cataluña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-28,1%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276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-15,9%</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1.341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2,8%</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097707">
            <w:pPr>
              <w:jc w:val="both"/>
              <w:rPr>
                <w:rFonts w:ascii="Verdana" w:hAnsi="Verdana" w:cs="Calibri"/>
                <w:color w:val="000000"/>
                <w:sz w:val="20"/>
                <w:szCs w:val="20"/>
              </w:rPr>
            </w:pPr>
            <w:r>
              <w:rPr>
                <w:rFonts w:ascii="Verdana" w:hAnsi="Verdana" w:cs="Calibri"/>
                <w:color w:val="000000"/>
                <w:sz w:val="20"/>
                <w:szCs w:val="20"/>
              </w:rPr>
              <w:t>C. Valenciana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38,7%</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207</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1050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18,8%</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Extremadura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33,3%</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-14,8%</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123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-8,2%</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Galicia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60,0%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68</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21,4%</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376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19,4%</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Madrid</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36</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50,0%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183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1,7%</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1.113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9,0%</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Murcia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9</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125,0%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53</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-17,2%</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208</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7,2%</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Navarra</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-100,0%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30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57,9%</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81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-13,8%</w:t>
            </w:r>
          </w:p>
        </w:tc>
      </w:tr>
      <w:tr w:rsidR="004F0EDD" w:rsidTr="006A72D6">
        <w:trPr>
          <w:trHeight w:val="300"/>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País Vasco</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15</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25,0%</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47</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-4,1%</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281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0,0%</w:t>
            </w:r>
          </w:p>
        </w:tc>
      </w:tr>
      <w:tr w:rsidR="004F0EDD" w:rsidTr="006A72D6">
        <w:trPr>
          <w:trHeight w:val="315"/>
          <w:jc w:val="center"/>
        </w:trPr>
        <w:tc>
          <w:tcPr>
            <w:tcW w:w="1496" w:type="dxa"/>
            <w:tcBorders>
              <w:top w:val="nil"/>
              <w:left w:val="nil"/>
              <w:bottom w:val="nil"/>
              <w:right w:val="nil"/>
            </w:tcBorders>
            <w:shd w:val="clear" w:color="auto" w:fill="auto"/>
            <w:vAlign w:val="center"/>
            <w:hideMark/>
          </w:tcPr>
          <w:p w:rsidR="004F0EDD" w:rsidRDefault="004F0EDD">
            <w:pPr>
              <w:jc w:val="both"/>
              <w:rPr>
                <w:rFonts w:ascii="Verdana" w:hAnsi="Verdana" w:cs="Calibri"/>
                <w:color w:val="000000"/>
                <w:sz w:val="20"/>
                <w:szCs w:val="20"/>
              </w:rPr>
            </w:pPr>
            <w:r>
              <w:rPr>
                <w:rFonts w:ascii="Verdana" w:hAnsi="Verdana" w:cs="Calibri"/>
                <w:color w:val="000000"/>
                <w:sz w:val="20"/>
                <w:szCs w:val="20"/>
              </w:rPr>
              <w:t>La Rioja</w:t>
            </w:r>
          </w:p>
        </w:tc>
        <w:tc>
          <w:tcPr>
            <w:tcW w:w="1240" w:type="dxa"/>
            <w:tcBorders>
              <w:top w:val="nil"/>
              <w:left w:val="nil"/>
              <w:bottom w:val="single" w:sz="8" w:space="0" w:color="auto"/>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2</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-33,3%</w:t>
            </w:r>
          </w:p>
        </w:tc>
        <w:tc>
          <w:tcPr>
            <w:tcW w:w="1240" w:type="dxa"/>
            <w:tcBorders>
              <w:top w:val="nil"/>
              <w:left w:val="nil"/>
              <w:bottom w:val="single" w:sz="8" w:space="0" w:color="auto"/>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10</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-16,7%</w:t>
            </w:r>
          </w:p>
        </w:tc>
        <w:tc>
          <w:tcPr>
            <w:tcW w:w="1240" w:type="dxa"/>
            <w:tcBorders>
              <w:top w:val="nil"/>
              <w:left w:val="nil"/>
              <w:bottom w:val="nil"/>
              <w:right w:val="nil"/>
            </w:tcBorders>
            <w:shd w:val="clear" w:color="auto" w:fill="auto"/>
            <w:vAlign w:val="center"/>
            <w:hideMark/>
          </w:tcPr>
          <w:p w:rsidR="004F0EDD" w:rsidRDefault="004F0EDD">
            <w:pPr>
              <w:jc w:val="right"/>
              <w:rPr>
                <w:rFonts w:ascii="Verdana" w:hAnsi="Verdana" w:cs="Calibri"/>
                <w:color w:val="000000"/>
                <w:sz w:val="20"/>
                <w:szCs w:val="20"/>
              </w:rPr>
            </w:pPr>
            <w:r>
              <w:rPr>
                <w:rFonts w:ascii="Verdana" w:hAnsi="Verdana" w:cs="Calibri"/>
                <w:color w:val="000000"/>
                <w:sz w:val="20"/>
                <w:szCs w:val="20"/>
              </w:rPr>
              <w:t>41</w:t>
            </w:r>
          </w:p>
        </w:tc>
        <w:tc>
          <w:tcPr>
            <w:tcW w:w="1160" w:type="dxa"/>
            <w:tcBorders>
              <w:top w:val="nil"/>
              <w:left w:val="nil"/>
              <w:bottom w:val="nil"/>
              <w:right w:val="nil"/>
            </w:tcBorders>
            <w:shd w:val="clear" w:color="auto" w:fill="auto"/>
            <w:vAlign w:val="center"/>
            <w:hideMark/>
          </w:tcPr>
          <w:p w:rsidR="004F0EDD" w:rsidRDefault="004F0EDD">
            <w:pPr>
              <w:jc w:val="right"/>
              <w:rPr>
                <w:rFonts w:ascii="Calibri" w:hAnsi="Calibri" w:cs="Calibri"/>
                <w:color w:val="000000"/>
                <w:sz w:val="22"/>
                <w:szCs w:val="22"/>
              </w:rPr>
            </w:pPr>
            <w:r>
              <w:rPr>
                <w:rFonts w:ascii="Calibri" w:hAnsi="Calibri" w:cs="Calibri"/>
                <w:color w:val="000000"/>
                <w:sz w:val="22"/>
                <w:szCs w:val="22"/>
              </w:rPr>
              <w:t>36,7%</w:t>
            </w:r>
          </w:p>
        </w:tc>
      </w:tr>
      <w:tr w:rsidR="004F0EDD" w:rsidTr="006A72D6">
        <w:trPr>
          <w:trHeight w:val="315"/>
          <w:jc w:val="center"/>
        </w:trPr>
        <w:tc>
          <w:tcPr>
            <w:tcW w:w="1496" w:type="dxa"/>
            <w:tcBorders>
              <w:top w:val="single" w:sz="8" w:space="0" w:color="auto"/>
              <w:left w:val="nil"/>
              <w:bottom w:val="single" w:sz="8" w:space="0" w:color="auto"/>
              <w:right w:val="nil"/>
            </w:tcBorders>
            <w:shd w:val="clear" w:color="auto" w:fill="auto"/>
            <w:vAlign w:val="center"/>
            <w:hideMark/>
          </w:tcPr>
          <w:p w:rsidR="004F0EDD" w:rsidRDefault="004F0EDD">
            <w:pPr>
              <w:jc w:val="both"/>
              <w:rPr>
                <w:rFonts w:ascii="Verdana" w:hAnsi="Verdana" w:cs="Calibri"/>
                <w:b/>
                <w:bCs/>
                <w:color w:val="333399"/>
                <w:sz w:val="20"/>
                <w:szCs w:val="20"/>
              </w:rPr>
            </w:pPr>
            <w:r>
              <w:rPr>
                <w:rFonts w:ascii="Verdana" w:hAnsi="Verdana" w:cs="Calibri"/>
                <w:b/>
                <w:bCs/>
                <w:color w:val="333399"/>
                <w:sz w:val="20"/>
                <w:szCs w:val="20"/>
              </w:rPr>
              <w:t>Total</w:t>
            </w:r>
          </w:p>
        </w:tc>
        <w:tc>
          <w:tcPr>
            <w:tcW w:w="1240" w:type="dxa"/>
            <w:tcBorders>
              <w:top w:val="nil"/>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288</w:t>
            </w:r>
          </w:p>
        </w:tc>
        <w:tc>
          <w:tcPr>
            <w:tcW w:w="1160" w:type="dxa"/>
            <w:tcBorders>
              <w:top w:val="single" w:sz="8" w:space="0" w:color="auto"/>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7,9%</w:t>
            </w:r>
          </w:p>
        </w:tc>
        <w:tc>
          <w:tcPr>
            <w:tcW w:w="1240" w:type="dxa"/>
            <w:tcBorders>
              <w:top w:val="nil"/>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1.552</w:t>
            </w:r>
          </w:p>
        </w:tc>
        <w:tc>
          <w:tcPr>
            <w:tcW w:w="1160" w:type="dxa"/>
            <w:tcBorders>
              <w:top w:val="single" w:sz="8" w:space="0" w:color="auto"/>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-5%</w:t>
            </w:r>
          </w:p>
        </w:tc>
        <w:tc>
          <w:tcPr>
            <w:tcW w:w="1240" w:type="dxa"/>
            <w:tcBorders>
              <w:top w:val="single" w:sz="8" w:space="0" w:color="auto"/>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7.429</w:t>
            </w:r>
          </w:p>
        </w:tc>
        <w:tc>
          <w:tcPr>
            <w:tcW w:w="1160" w:type="dxa"/>
            <w:tcBorders>
              <w:top w:val="single" w:sz="8" w:space="0" w:color="auto"/>
              <w:left w:val="nil"/>
              <w:bottom w:val="single" w:sz="8" w:space="0" w:color="auto"/>
              <w:right w:val="nil"/>
            </w:tcBorders>
            <w:shd w:val="clear" w:color="auto" w:fill="auto"/>
            <w:vAlign w:val="center"/>
            <w:hideMark/>
          </w:tcPr>
          <w:p w:rsidR="004F0EDD" w:rsidRDefault="004F0EDD">
            <w:pPr>
              <w:jc w:val="right"/>
              <w:rPr>
                <w:rFonts w:ascii="Verdana" w:hAnsi="Verdana" w:cs="Calibri"/>
                <w:b/>
                <w:bCs/>
                <w:color w:val="000080"/>
                <w:sz w:val="20"/>
                <w:szCs w:val="20"/>
              </w:rPr>
            </w:pPr>
            <w:r>
              <w:rPr>
                <w:rFonts w:ascii="Verdana" w:hAnsi="Verdana" w:cs="Calibri"/>
                <w:b/>
                <w:bCs/>
                <w:color w:val="000080"/>
                <w:sz w:val="20"/>
                <w:szCs w:val="20"/>
              </w:rPr>
              <w:t>6,1%</w:t>
            </w:r>
          </w:p>
        </w:tc>
      </w:tr>
    </w:tbl>
    <w:p w:rsidR="00067C49" w:rsidRDefault="00067C49" w:rsidP="00433902">
      <w:pPr>
        <w:spacing w:before="120" w:after="120"/>
        <w:ind w:firstLine="357"/>
        <w:jc w:val="both"/>
        <w:rPr>
          <w:rFonts w:ascii="Verdana" w:hAnsi="Verdana" w:cs="Arial"/>
          <w:sz w:val="20"/>
        </w:rPr>
      </w:pPr>
    </w:p>
    <w:p w:rsidR="00067C49" w:rsidRDefault="00067C49" w:rsidP="00433902">
      <w:pPr>
        <w:spacing w:before="120" w:after="120"/>
        <w:ind w:firstLine="357"/>
        <w:jc w:val="both"/>
        <w:rPr>
          <w:rFonts w:ascii="Verdana" w:hAnsi="Verdana" w:cs="Arial"/>
          <w:sz w:val="20"/>
        </w:rPr>
      </w:pPr>
    </w:p>
    <w:p w:rsidR="00433902" w:rsidRPr="003B2749" w:rsidRDefault="00433902" w:rsidP="00433902">
      <w:pPr>
        <w:spacing w:before="120" w:after="120"/>
        <w:ind w:firstLine="357"/>
        <w:jc w:val="both"/>
        <w:rPr>
          <w:rFonts w:ascii="Verdana" w:hAnsi="Verdana" w:cs="Arial"/>
          <w:sz w:val="20"/>
        </w:rPr>
      </w:pPr>
      <w:r w:rsidRPr="003B2749">
        <w:rPr>
          <w:rFonts w:ascii="Verdana" w:hAnsi="Verdana" w:cs="Arial"/>
          <w:sz w:val="20"/>
        </w:rPr>
        <w:t>El porcentaje de sentencias condenatorias para los distintos tipos de procedimientos, y distinguiendo si se trata de asuntos de violencia doméstica, contra la mujer, o resto:</w:t>
      </w:r>
    </w:p>
    <w:p w:rsidR="00433902" w:rsidRPr="003B2749" w:rsidRDefault="00433902" w:rsidP="00433902">
      <w:pPr>
        <w:spacing w:before="120" w:after="120"/>
        <w:ind w:firstLine="357"/>
        <w:jc w:val="both"/>
        <w:rPr>
          <w:rFonts w:ascii="Verdana" w:hAnsi="Verdana" w:cs="Arial"/>
          <w:sz w:val="20"/>
        </w:rPr>
      </w:pPr>
    </w:p>
    <w:tbl>
      <w:tblPr>
        <w:tblW w:w="10080" w:type="dxa"/>
        <w:jc w:val="center"/>
        <w:tblInd w:w="544" w:type="dxa"/>
        <w:tblCellMar>
          <w:left w:w="70" w:type="dxa"/>
          <w:right w:w="70" w:type="dxa"/>
        </w:tblCellMar>
        <w:tblLook w:val="04A0" w:firstRow="1" w:lastRow="0" w:firstColumn="1" w:lastColumn="0" w:noHBand="0" w:noVBand="1"/>
      </w:tblPr>
      <w:tblGrid>
        <w:gridCol w:w="1671"/>
        <w:gridCol w:w="1219"/>
        <w:gridCol w:w="1576"/>
        <w:gridCol w:w="1219"/>
        <w:gridCol w:w="1600"/>
        <w:gridCol w:w="1219"/>
        <w:gridCol w:w="1576"/>
      </w:tblGrid>
      <w:tr w:rsidR="008B49C4" w:rsidRPr="003B2749" w:rsidTr="006A72D6">
        <w:trPr>
          <w:trHeight w:val="450"/>
          <w:jc w:val="center"/>
        </w:trPr>
        <w:tc>
          <w:tcPr>
            <w:tcW w:w="1671" w:type="dxa"/>
            <w:tcBorders>
              <w:top w:val="nil"/>
              <w:left w:val="nil"/>
              <w:bottom w:val="nil"/>
              <w:right w:val="nil"/>
            </w:tcBorders>
            <w:shd w:val="clear" w:color="auto" w:fill="auto"/>
            <w:noWrap/>
            <w:vAlign w:val="bottom"/>
            <w:hideMark/>
          </w:tcPr>
          <w:p w:rsidR="008B49C4" w:rsidRPr="003B2749" w:rsidRDefault="008B49C4">
            <w:pPr>
              <w:rPr>
                <w:color w:val="000000"/>
                <w:sz w:val="20"/>
                <w:szCs w:val="20"/>
              </w:rPr>
            </w:pPr>
          </w:p>
        </w:tc>
        <w:tc>
          <w:tcPr>
            <w:tcW w:w="2795" w:type="dxa"/>
            <w:gridSpan w:val="2"/>
            <w:tcBorders>
              <w:top w:val="single" w:sz="8" w:space="0" w:color="auto"/>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Jurado</w:t>
            </w:r>
          </w:p>
        </w:tc>
        <w:tc>
          <w:tcPr>
            <w:tcW w:w="2819" w:type="dxa"/>
            <w:gridSpan w:val="2"/>
            <w:tcBorders>
              <w:top w:val="single" w:sz="8" w:space="0" w:color="auto"/>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Sumarios</w:t>
            </w:r>
          </w:p>
        </w:tc>
        <w:tc>
          <w:tcPr>
            <w:tcW w:w="2795" w:type="dxa"/>
            <w:gridSpan w:val="2"/>
            <w:tcBorders>
              <w:top w:val="single" w:sz="8" w:space="0" w:color="auto"/>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Procedimientos abreviados</w:t>
            </w:r>
          </w:p>
        </w:tc>
      </w:tr>
      <w:tr w:rsidR="008B49C4" w:rsidRPr="003B2749" w:rsidTr="006A72D6">
        <w:trPr>
          <w:trHeight w:val="915"/>
          <w:jc w:val="center"/>
        </w:trPr>
        <w:tc>
          <w:tcPr>
            <w:tcW w:w="1671" w:type="dxa"/>
            <w:tcBorders>
              <w:top w:val="nil"/>
              <w:left w:val="nil"/>
              <w:bottom w:val="single" w:sz="8" w:space="0" w:color="auto"/>
              <w:right w:val="nil"/>
            </w:tcBorders>
            <w:shd w:val="clear" w:color="auto" w:fill="auto"/>
            <w:noWrap/>
            <w:vAlign w:val="center"/>
            <w:hideMark/>
          </w:tcPr>
          <w:p w:rsidR="008B49C4" w:rsidRPr="003B2749" w:rsidRDefault="008B49C4">
            <w:pPr>
              <w:rPr>
                <w:rFonts w:ascii="Verdana" w:hAnsi="Verdana" w:cs="Calibri"/>
                <w:color w:val="000000"/>
                <w:sz w:val="20"/>
                <w:szCs w:val="20"/>
              </w:rPr>
            </w:pPr>
            <w:r w:rsidRPr="003B2749">
              <w:rPr>
                <w:rFonts w:ascii="Verdana" w:hAnsi="Verdana" w:cs="Calibri"/>
                <w:color w:val="000000"/>
                <w:sz w:val="20"/>
                <w:szCs w:val="20"/>
              </w:rPr>
              <w:t> </w:t>
            </w:r>
          </w:p>
        </w:tc>
        <w:tc>
          <w:tcPr>
            <w:tcW w:w="1219"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Total de sentencias</w:t>
            </w:r>
          </w:p>
        </w:tc>
        <w:tc>
          <w:tcPr>
            <w:tcW w:w="1576"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Porcentaje de condenatorias</w:t>
            </w:r>
          </w:p>
        </w:tc>
        <w:tc>
          <w:tcPr>
            <w:tcW w:w="1219"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Total de sentencias</w:t>
            </w:r>
          </w:p>
        </w:tc>
        <w:tc>
          <w:tcPr>
            <w:tcW w:w="1600"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Porcentaje de condenatorias</w:t>
            </w:r>
          </w:p>
        </w:tc>
        <w:tc>
          <w:tcPr>
            <w:tcW w:w="1219"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Total de sentencias</w:t>
            </w:r>
          </w:p>
        </w:tc>
        <w:tc>
          <w:tcPr>
            <w:tcW w:w="1576" w:type="dxa"/>
            <w:tcBorders>
              <w:top w:val="nil"/>
              <w:left w:val="nil"/>
              <w:bottom w:val="single" w:sz="8" w:space="0" w:color="auto"/>
              <w:right w:val="nil"/>
            </w:tcBorders>
            <w:shd w:val="clear" w:color="auto" w:fill="auto"/>
            <w:vAlign w:val="center"/>
            <w:hideMark/>
          </w:tcPr>
          <w:p w:rsidR="008B49C4" w:rsidRPr="003B2749" w:rsidRDefault="008B49C4">
            <w:pPr>
              <w:jc w:val="center"/>
              <w:rPr>
                <w:rFonts w:ascii="Verdana" w:hAnsi="Verdana" w:cs="Calibri"/>
                <w:b/>
                <w:bCs/>
                <w:color w:val="000080"/>
                <w:sz w:val="18"/>
                <w:szCs w:val="18"/>
              </w:rPr>
            </w:pPr>
            <w:r w:rsidRPr="003B2749">
              <w:rPr>
                <w:rFonts w:ascii="Verdana" w:hAnsi="Verdana" w:cs="Calibri"/>
                <w:b/>
                <w:bCs/>
                <w:color w:val="000080"/>
                <w:sz w:val="18"/>
                <w:szCs w:val="18"/>
              </w:rPr>
              <w:t>Porcentaje de condenatorias</w:t>
            </w:r>
          </w:p>
        </w:tc>
      </w:tr>
      <w:tr w:rsidR="008B49C4" w:rsidRPr="003B2749" w:rsidTr="006A72D6">
        <w:trPr>
          <w:trHeight w:val="510"/>
          <w:jc w:val="center"/>
        </w:trPr>
        <w:tc>
          <w:tcPr>
            <w:tcW w:w="1671" w:type="dxa"/>
            <w:tcBorders>
              <w:top w:val="nil"/>
              <w:left w:val="nil"/>
              <w:bottom w:val="nil"/>
              <w:right w:val="nil"/>
            </w:tcBorders>
            <w:shd w:val="clear" w:color="auto" w:fill="auto"/>
            <w:vAlign w:val="center"/>
            <w:hideMark/>
          </w:tcPr>
          <w:p w:rsidR="008B49C4" w:rsidRPr="003B2749" w:rsidRDefault="008B49C4">
            <w:pPr>
              <w:rPr>
                <w:rFonts w:ascii="Verdana" w:hAnsi="Verdana" w:cs="Calibri"/>
                <w:color w:val="000000"/>
                <w:sz w:val="20"/>
                <w:szCs w:val="20"/>
              </w:rPr>
            </w:pPr>
            <w:r w:rsidRPr="003B2749">
              <w:rPr>
                <w:rFonts w:ascii="Verdana" w:hAnsi="Verdana" w:cs="Calibri"/>
                <w:color w:val="000000"/>
                <w:sz w:val="20"/>
                <w:szCs w:val="20"/>
              </w:rPr>
              <w:t>Violencia doméstica</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21</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95,2%</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47</w:t>
            </w:r>
          </w:p>
        </w:tc>
        <w:tc>
          <w:tcPr>
            <w:tcW w:w="1600"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72,3%</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17</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82,4%</w:t>
            </w:r>
          </w:p>
        </w:tc>
      </w:tr>
      <w:tr w:rsidR="008B49C4" w:rsidRPr="003B2749" w:rsidTr="006A72D6">
        <w:trPr>
          <w:trHeight w:val="510"/>
          <w:jc w:val="center"/>
        </w:trPr>
        <w:tc>
          <w:tcPr>
            <w:tcW w:w="1671" w:type="dxa"/>
            <w:tcBorders>
              <w:top w:val="nil"/>
              <w:left w:val="nil"/>
              <w:bottom w:val="nil"/>
              <w:right w:val="nil"/>
            </w:tcBorders>
            <w:shd w:val="clear" w:color="auto" w:fill="auto"/>
            <w:vAlign w:val="center"/>
            <w:hideMark/>
          </w:tcPr>
          <w:p w:rsidR="008B49C4" w:rsidRPr="003B2749" w:rsidRDefault="008B49C4">
            <w:pPr>
              <w:jc w:val="both"/>
              <w:rPr>
                <w:rFonts w:ascii="Verdana" w:hAnsi="Verdana" w:cs="Calibri"/>
                <w:color w:val="000000"/>
                <w:sz w:val="20"/>
                <w:szCs w:val="20"/>
              </w:rPr>
            </w:pPr>
            <w:r w:rsidRPr="003B2749">
              <w:rPr>
                <w:rFonts w:ascii="Verdana" w:hAnsi="Verdana" w:cs="Calibri"/>
                <w:color w:val="000000"/>
                <w:sz w:val="20"/>
                <w:szCs w:val="20"/>
              </w:rPr>
              <w:t>Violencia de género</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35</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97,1%</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220</w:t>
            </w:r>
          </w:p>
        </w:tc>
        <w:tc>
          <w:tcPr>
            <w:tcW w:w="1600"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78,6%</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67</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77,6%</w:t>
            </w:r>
          </w:p>
        </w:tc>
      </w:tr>
      <w:tr w:rsidR="008B49C4" w:rsidRPr="003B2749" w:rsidTr="006A72D6">
        <w:trPr>
          <w:trHeight w:val="315"/>
          <w:jc w:val="center"/>
        </w:trPr>
        <w:tc>
          <w:tcPr>
            <w:tcW w:w="1671" w:type="dxa"/>
            <w:tcBorders>
              <w:top w:val="nil"/>
              <w:left w:val="nil"/>
              <w:bottom w:val="single" w:sz="8" w:space="0" w:color="auto"/>
              <w:right w:val="nil"/>
            </w:tcBorders>
            <w:shd w:val="clear" w:color="auto" w:fill="auto"/>
            <w:vAlign w:val="center"/>
            <w:hideMark/>
          </w:tcPr>
          <w:p w:rsidR="008B49C4" w:rsidRPr="003B2749" w:rsidRDefault="008B49C4">
            <w:pPr>
              <w:rPr>
                <w:rFonts w:ascii="Verdana" w:hAnsi="Verdana" w:cs="Calibri"/>
                <w:color w:val="000000"/>
                <w:sz w:val="20"/>
                <w:szCs w:val="20"/>
              </w:rPr>
            </w:pPr>
            <w:r w:rsidRPr="003B2749">
              <w:rPr>
                <w:rFonts w:ascii="Verdana" w:hAnsi="Verdana" w:cs="Calibri"/>
                <w:color w:val="000000"/>
                <w:sz w:val="20"/>
                <w:szCs w:val="20"/>
              </w:rPr>
              <w:t>Resto</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232</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90,1%</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1.285</w:t>
            </w:r>
          </w:p>
        </w:tc>
        <w:tc>
          <w:tcPr>
            <w:tcW w:w="1600"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80,5%</w:t>
            </w:r>
          </w:p>
        </w:tc>
        <w:tc>
          <w:tcPr>
            <w:tcW w:w="1219"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7.345</w:t>
            </w:r>
          </w:p>
        </w:tc>
        <w:tc>
          <w:tcPr>
            <w:tcW w:w="1576" w:type="dxa"/>
            <w:tcBorders>
              <w:top w:val="nil"/>
              <w:left w:val="nil"/>
              <w:bottom w:val="nil"/>
              <w:right w:val="nil"/>
            </w:tcBorders>
            <w:shd w:val="clear" w:color="auto" w:fill="auto"/>
            <w:noWrap/>
            <w:vAlign w:val="center"/>
            <w:hideMark/>
          </w:tcPr>
          <w:p w:rsidR="008B49C4" w:rsidRPr="003B2749" w:rsidRDefault="008B49C4">
            <w:pPr>
              <w:jc w:val="right"/>
              <w:rPr>
                <w:rFonts w:ascii="Verdana" w:hAnsi="Verdana" w:cs="Calibri"/>
                <w:color w:val="000000"/>
                <w:sz w:val="20"/>
                <w:szCs w:val="20"/>
              </w:rPr>
            </w:pPr>
            <w:r w:rsidRPr="003B2749">
              <w:rPr>
                <w:rFonts w:ascii="Verdana" w:hAnsi="Verdana" w:cs="Calibri"/>
                <w:color w:val="000000"/>
                <w:sz w:val="20"/>
                <w:szCs w:val="20"/>
              </w:rPr>
              <w:t>81,8%</w:t>
            </w:r>
          </w:p>
        </w:tc>
      </w:tr>
      <w:tr w:rsidR="008B49C4" w:rsidRPr="003B2749" w:rsidTr="006A72D6">
        <w:trPr>
          <w:trHeight w:val="315"/>
          <w:jc w:val="center"/>
        </w:trPr>
        <w:tc>
          <w:tcPr>
            <w:tcW w:w="1671" w:type="dxa"/>
            <w:tcBorders>
              <w:top w:val="nil"/>
              <w:left w:val="nil"/>
              <w:bottom w:val="single" w:sz="8" w:space="0" w:color="auto"/>
              <w:right w:val="nil"/>
            </w:tcBorders>
            <w:shd w:val="clear" w:color="auto" w:fill="auto"/>
            <w:noWrap/>
            <w:vAlign w:val="center"/>
            <w:hideMark/>
          </w:tcPr>
          <w:p w:rsidR="008B49C4" w:rsidRPr="003B2749" w:rsidRDefault="008B49C4">
            <w:pPr>
              <w:rPr>
                <w:rFonts w:ascii="Verdana" w:hAnsi="Verdana" w:cs="Calibri"/>
                <w:b/>
                <w:bCs/>
                <w:color w:val="000080"/>
                <w:sz w:val="20"/>
                <w:szCs w:val="20"/>
              </w:rPr>
            </w:pPr>
            <w:r w:rsidRPr="003B2749">
              <w:rPr>
                <w:rFonts w:ascii="Verdana" w:hAnsi="Verdana" w:cs="Calibri"/>
                <w:b/>
                <w:bCs/>
                <w:color w:val="000080"/>
                <w:sz w:val="20"/>
                <w:szCs w:val="20"/>
              </w:rPr>
              <w:t>Total</w:t>
            </w:r>
          </w:p>
        </w:tc>
        <w:tc>
          <w:tcPr>
            <w:tcW w:w="1219"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288</w:t>
            </w:r>
          </w:p>
        </w:tc>
        <w:tc>
          <w:tcPr>
            <w:tcW w:w="1576"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91,3%</w:t>
            </w:r>
          </w:p>
        </w:tc>
        <w:tc>
          <w:tcPr>
            <w:tcW w:w="1219"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1.552</w:t>
            </w:r>
          </w:p>
        </w:tc>
        <w:tc>
          <w:tcPr>
            <w:tcW w:w="1600"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80,0%</w:t>
            </w:r>
          </w:p>
        </w:tc>
        <w:tc>
          <w:tcPr>
            <w:tcW w:w="1219"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7.429</w:t>
            </w:r>
          </w:p>
        </w:tc>
        <w:tc>
          <w:tcPr>
            <w:tcW w:w="1576" w:type="dxa"/>
            <w:tcBorders>
              <w:top w:val="single" w:sz="8" w:space="0" w:color="auto"/>
              <w:left w:val="nil"/>
              <w:bottom w:val="single" w:sz="8" w:space="0" w:color="auto"/>
              <w:right w:val="nil"/>
            </w:tcBorders>
            <w:shd w:val="clear" w:color="auto" w:fill="auto"/>
            <w:noWrap/>
            <w:vAlign w:val="center"/>
            <w:hideMark/>
          </w:tcPr>
          <w:p w:rsidR="008B49C4" w:rsidRPr="003B2749" w:rsidRDefault="008B49C4">
            <w:pPr>
              <w:jc w:val="right"/>
              <w:rPr>
                <w:rFonts w:ascii="Verdana" w:hAnsi="Verdana" w:cs="Calibri"/>
                <w:b/>
                <w:bCs/>
                <w:color w:val="002060"/>
                <w:sz w:val="20"/>
                <w:szCs w:val="20"/>
              </w:rPr>
            </w:pPr>
            <w:r w:rsidRPr="003B2749">
              <w:rPr>
                <w:rFonts w:ascii="Verdana" w:hAnsi="Verdana" w:cs="Calibri"/>
                <w:b/>
                <w:bCs/>
                <w:color w:val="002060"/>
                <w:sz w:val="20"/>
                <w:szCs w:val="20"/>
              </w:rPr>
              <w:t>81,7%</w:t>
            </w:r>
          </w:p>
        </w:tc>
      </w:tr>
    </w:tbl>
    <w:p w:rsidR="00433902" w:rsidRPr="003B2749" w:rsidRDefault="00433902" w:rsidP="00433902">
      <w:pPr>
        <w:spacing w:before="120" w:after="120"/>
        <w:ind w:firstLine="357"/>
        <w:jc w:val="both"/>
        <w:rPr>
          <w:rFonts w:ascii="Verdana" w:hAnsi="Verdana" w:cs="Arial"/>
          <w:sz w:val="20"/>
        </w:rPr>
      </w:pPr>
    </w:p>
    <w:p w:rsidR="00067C49" w:rsidRPr="003B2749" w:rsidRDefault="00067C49" w:rsidP="00433902">
      <w:pPr>
        <w:spacing w:before="120" w:after="120"/>
        <w:ind w:firstLine="357"/>
        <w:jc w:val="both"/>
        <w:rPr>
          <w:rFonts w:ascii="Verdana" w:hAnsi="Verdana" w:cs="Arial"/>
          <w:sz w:val="20"/>
        </w:rPr>
      </w:pPr>
    </w:p>
    <w:p w:rsidR="00433902" w:rsidRPr="003B2749" w:rsidRDefault="00433902" w:rsidP="00433902">
      <w:pPr>
        <w:spacing w:before="120" w:after="120"/>
        <w:ind w:firstLine="357"/>
        <w:jc w:val="both"/>
        <w:rPr>
          <w:rFonts w:ascii="Verdana" w:hAnsi="Verdana" w:cs="Arial"/>
          <w:sz w:val="20"/>
        </w:rPr>
      </w:pPr>
      <w:r w:rsidRPr="003B2749">
        <w:rPr>
          <w:rFonts w:ascii="Verdana" w:hAnsi="Verdana" w:cs="Arial"/>
          <w:sz w:val="20"/>
        </w:rPr>
        <w:t>El análisis de las sentencias por el tipo de juez que la dicta arroja los siguientes resultados:</w:t>
      </w:r>
    </w:p>
    <w:tbl>
      <w:tblPr>
        <w:tblW w:w="11388" w:type="dxa"/>
        <w:jc w:val="center"/>
        <w:tblInd w:w="496" w:type="dxa"/>
        <w:tblCellMar>
          <w:left w:w="70" w:type="dxa"/>
          <w:right w:w="70" w:type="dxa"/>
        </w:tblCellMar>
        <w:tblLook w:val="04A0" w:firstRow="1" w:lastRow="0" w:firstColumn="1" w:lastColumn="0" w:noHBand="0" w:noVBand="1"/>
      </w:tblPr>
      <w:tblGrid>
        <w:gridCol w:w="2626"/>
        <w:gridCol w:w="1098"/>
        <w:gridCol w:w="960"/>
        <w:gridCol w:w="880"/>
        <w:gridCol w:w="1000"/>
        <w:gridCol w:w="740"/>
        <w:gridCol w:w="1040"/>
        <w:gridCol w:w="820"/>
        <w:gridCol w:w="974"/>
        <w:gridCol w:w="1250"/>
      </w:tblGrid>
      <w:tr w:rsidR="00433902" w:rsidRPr="007A6EA4" w:rsidTr="007967E0">
        <w:trPr>
          <w:trHeight w:val="315"/>
          <w:jc w:val="center"/>
        </w:trPr>
        <w:tc>
          <w:tcPr>
            <w:tcW w:w="2626" w:type="dxa"/>
            <w:tcBorders>
              <w:top w:val="nil"/>
              <w:left w:val="nil"/>
              <w:bottom w:val="nil"/>
              <w:right w:val="nil"/>
            </w:tcBorders>
            <w:shd w:val="clear" w:color="auto" w:fill="auto"/>
            <w:noWrap/>
            <w:vAlign w:val="bottom"/>
            <w:hideMark/>
          </w:tcPr>
          <w:p w:rsidR="00433902" w:rsidRPr="003B2749" w:rsidRDefault="00433902" w:rsidP="007967E0">
            <w:pPr>
              <w:rPr>
                <w:color w:val="000000"/>
                <w:sz w:val="20"/>
                <w:szCs w:val="20"/>
              </w:rPr>
            </w:pPr>
          </w:p>
        </w:tc>
        <w:tc>
          <w:tcPr>
            <w:tcW w:w="2058" w:type="dxa"/>
            <w:gridSpan w:val="2"/>
            <w:tcBorders>
              <w:top w:val="single" w:sz="8" w:space="0" w:color="1F497D"/>
              <w:left w:val="nil"/>
              <w:bottom w:val="single" w:sz="8" w:space="0" w:color="1F497D"/>
              <w:right w:val="nil"/>
            </w:tcBorders>
            <w:shd w:val="clear" w:color="auto" w:fill="auto"/>
            <w:noWrap/>
            <w:vAlign w:val="center"/>
            <w:hideMark/>
          </w:tcPr>
          <w:p w:rsidR="00433902" w:rsidRPr="003B2749" w:rsidRDefault="00433902" w:rsidP="007967E0">
            <w:pPr>
              <w:jc w:val="center"/>
              <w:rPr>
                <w:rFonts w:ascii="Verdana" w:hAnsi="Verdana" w:cs="Calibri"/>
                <w:color w:val="000000"/>
                <w:sz w:val="18"/>
                <w:szCs w:val="18"/>
              </w:rPr>
            </w:pPr>
            <w:r w:rsidRPr="003B2749">
              <w:rPr>
                <w:rFonts w:ascii="Verdana" w:hAnsi="Verdana" w:cs="Calibri"/>
                <w:color w:val="000000"/>
                <w:sz w:val="18"/>
                <w:szCs w:val="18"/>
              </w:rPr>
              <w:t>Titular del órgano</w:t>
            </w:r>
          </w:p>
        </w:tc>
        <w:tc>
          <w:tcPr>
            <w:tcW w:w="1880" w:type="dxa"/>
            <w:gridSpan w:val="2"/>
            <w:tcBorders>
              <w:top w:val="single" w:sz="8" w:space="0" w:color="1F497D"/>
              <w:left w:val="nil"/>
              <w:bottom w:val="single" w:sz="8" w:space="0" w:color="1F497D"/>
              <w:right w:val="nil"/>
            </w:tcBorders>
            <w:shd w:val="clear" w:color="auto" w:fill="auto"/>
            <w:noWrap/>
            <w:vAlign w:val="center"/>
            <w:hideMark/>
          </w:tcPr>
          <w:p w:rsidR="00433902" w:rsidRPr="003B2749" w:rsidRDefault="00433902" w:rsidP="007967E0">
            <w:pPr>
              <w:jc w:val="center"/>
              <w:rPr>
                <w:rFonts w:ascii="Verdana" w:hAnsi="Verdana" w:cs="Calibri"/>
                <w:color w:val="000000"/>
                <w:sz w:val="18"/>
                <w:szCs w:val="18"/>
              </w:rPr>
            </w:pPr>
            <w:r w:rsidRPr="003B2749">
              <w:rPr>
                <w:rFonts w:ascii="Verdana" w:hAnsi="Verdana" w:cs="Calibri"/>
                <w:color w:val="000000"/>
                <w:sz w:val="18"/>
                <w:szCs w:val="18"/>
              </w:rPr>
              <w:t>Suplente</w:t>
            </w:r>
          </w:p>
        </w:tc>
        <w:tc>
          <w:tcPr>
            <w:tcW w:w="1780" w:type="dxa"/>
            <w:gridSpan w:val="2"/>
            <w:tcBorders>
              <w:top w:val="single" w:sz="8" w:space="0" w:color="1F497D"/>
              <w:left w:val="nil"/>
              <w:bottom w:val="single" w:sz="8" w:space="0" w:color="1F497D"/>
              <w:right w:val="nil"/>
            </w:tcBorders>
            <w:shd w:val="clear" w:color="auto" w:fill="auto"/>
            <w:noWrap/>
            <w:vAlign w:val="center"/>
            <w:hideMark/>
          </w:tcPr>
          <w:p w:rsidR="00433902" w:rsidRPr="003B2749" w:rsidRDefault="00433902" w:rsidP="007967E0">
            <w:pPr>
              <w:jc w:val="center"/>
              <w:rPr>
                <w:rFonts w:ascii="Verdana" w:hAnsi="Verdana" w:cs="Calibri"/>
                <w:color w:val="000000"/>
                <w:sz w:val="18"/>
                <w:szCs w:val="18"/>
              </w:rPr>
            </w:pPr>
            <w:r w:rsidRPr="003B2749">
              <w:rPr>
                <w:rFonts w:ascii="Verdana" w:hAnsi="Verdana" w:cs="Calibri"/>
                <w:color w:val="000000"/>
                <w:sz w:val="18"/>
                <w:szCs w:val="18"/>
              </w:rPr>
              <w:t>Sustituto</w:t>
            </w:r>
          </w:p>
        </w:tc>
        <w:tc>
          <w:tcPr>
            <w:tcW w:w="1794" w:type="dxa"/>
            <w:gridSpan w:val="2"/>
            <w:tcBorders>
              <w:top w:val="single" w:sz="8" w:space="0" w:color="1F497D"/>
              <w:left w:val="nil"/>
              <w:bottom w:val="single" w:sz="8" w:space="0" w:color="1F497D"/>
              <w:right w:val="nil"/>
            </w:tcBorders>
            <w:shd w:val="clear" w:color="auto" w:fill="auto"/>
            <w:noWrap/>
            <w:vAlign w:val="center"/>
            <w:hideMark/>
          </w:tcPr>
          <w:p w:rsidR="00433902" w:rsidRPr="003B2749" w:rsidRDefault="00433902" w:rsidP="007967E0">
            <w:pPr>
              <w:jc w:val="center"/>
              <w:rPr>
                <w:rFonts w:ascii="Verdana" w:hAnsi="Verdana" w:cs="Calibri"/>
                <w:color w:val="000000"/>
                <w:sz w:val="18"/>
                <w:szCs w:val="18"/>
              </w:rPr>
            </w:pPr>
            <w:r w:rsidRPr="003B2749">
              <w:rPr>
                <w:rFonts w:ascii="Verdana" w:hAnsi="Verdana" w:cs="Calibri"/>
                <w:color w:val="000000"/>
                <w:sz w:val="18"/>
                <w:szCs w:val="18"/>
              </w:rPr>
              <w:t>JAT</w:t>
            </w:r>
          </w:p>
        </w:tc>
        <w:tc>
          <w:tcPr>
            <w:tcW w:w="1250" w:type="dxa"/>
            <w:vMerge w:val="restart"/>
            <w:tcBorders>
              <w:top w:val="single" w:sz="8" w:space="0" w:color="1F497D"/>
              <w:left w:val="nil"/>
              <w:bottom w:val="single" w:sz="8" w:space="0" w:color="000000"/>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3B2749">
              <w:rPr>
                <w:rFonts w:ascii="Verdana" w:hAnsi="Verdana" w:cs="Calibri"/>
                <w:color w:val="000000"/>
                <w:sz w:val="18"/>
                <w:szCs w:val="18"/>
              </w:rPr>
              <w:t>Otros magistrados</w:t>
            </w:r>
          </w:p>
        </w:tc>
      </w:tr>
      <w:tr w:rsidR="00433902" w:rsidRPr="007A6EA4" w:rsidTr="007967E0">
        <w:trPr>
          <w:trHeight w:val="465"/>
          <w:jc w:val="center"/>
        </w:trPr>
        <w:tc>
          <w:tcPr>
            <w:tcW w:w="2626" w:type="dxa"/>
            <w:tcBorders>
              <w:top w:val="nil"/>
              <w:left w:val="nil"/>
              <w:bottom w:val="nil"/>
              <w:right w:val="nil"/>
            </w:tcBorders>
            <w:shd w:val="clear" w:color="auto" w:fill="auto"/>
            <w:vAlign w:val="center"/>
            <w:hideMark/>
          </w:tcPr>
          <w:p w:rsidR="00433902" w:rsidRPr="007A6EA4" w:rsidRDefault="00433902" w:rsidP="007967E0">
            <w:pPr>
              <w:rPr>
                <w:color w:val="000000"/>
                <w:sz w:val="20"/>
                <w:szCs w:val="20"/>
              </w:rPr>
            </w:pPr>
          </w:p>
        </w:tc>
        <w:tc>
          <w:tcPr>
            <w:tcW w:w="1098"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 xml:space="preserve"> Actuación ordinaria</w:t>
            </w:r>
          </w:p>
        </w:tc>
        <w:tc>
          <w:tcPr>
            <w:tcW w:w="96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Refuerzo</w:t>
            </w:r>
          </w:p>
        </w:tc>
        <w:tc>
          <w:tcPr>
            <w:tcW w:w="88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como titular</w:t>
            </w:r>
          </w:p>
        </w:tc>
        <w:tc>
          <w:tcPr>
            <w:tcW w:w="100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como  refuerzo</w:t>
            </w:r>
          </w:p>
        </w:tc>
        <w:tc>
          <w:tcPr>
            <w:tcW w:w="74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como titular</w:t>
            </w:r>
          </w:p>
        </w:tc>
        <w:tc>
          <w:tcPr>
            <w:tcW w:w="104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como refuerzo</w:t>
            </w:r>
          </w:p>
        </w:tc>
        <w:tc>
          <w:tcPr>
            <w:tcW w:w="820"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Como titular</w:t>
            </w:r>
          </w:p>
        </w:tc>
        <w:tc>
          <w:tcPr>
            <w:tcW w:w="974" w:type="dxa"/>
            <w:tcBorders>
              <w:top w:val="nil"/>
              <w:left w:val="nil"/>
              <w:bottom w:val="nil"/>
              <w:right w:val="nil"/>
            </w:tcBorders>
            <w:shd w:val="clear" w:color="auto" w:fill="auto"/>
            <w:vAlign w:val="center"/>
            <w:hideMark/>
          </w:tcPr>
          <w:p w:rsidR="00433902" w:rsidRPr="007A6EA4" w:rsidRDefault="00433902" w:rsidP="007967E0">
            <w:pPr>
              <w:jc w:val="center"/>
              <w:rPr>
                <w:rFonts w:ascii="Verdana" w:hAnsi="Verdana" w:cs="Calibri"/>
                <w:color w:val="000000"/>
                <w:sz w:val="18"/>
                <w:szCs w:val="18"/>
              </w:rPr>
            </w:pPr>
            <w:r w:rsidRPr="007A6EA4">
              <w:rPr>
                <w:rFonts w:ascii="Verdana" w:hAnsi="Verdana" w:cs="Calibri"/>
                <w:color w:val="000000"/>
                <w:sz w:val="18"/>
                <w:szCs w:val="18"/>
              </w:rPr>
              <w:t xml:space="preserve"> Como refuerzo</w:t>
            </w:r>
          </w:p>
        </w:tc>
        <w:tc>
          <w:tcPr>
            <w:tcW w:w="1250" w:type="dxa"/>
            <w:vMerge/>
            <w:tcBorders>
              <w:top w:val="single" w:sz="8" w:space="0" w:color="1F497D"/>
              <w:left w:val="nil"/>
              <w:bottom w:val="single" w:sz="8" w:space="0" w:color="000000"/>
              <w:right w:val="nil"/>
            </w:tcBorders>
            <w:vAlign w:val="center"/>
            <w:hideMark/>
          </w:tcPr>
          <w:p w:rsidR="00433902" w:rsidRPr="007A6EA4" w:rsidRDefault="00433902" w:rsidP="007967E0">
            <w:pPr>
              <w:rPr>
                <w:rFonts w:ascii="Verdana" w:hAnsi="Verdana" w:cs="Calibri"/>
                <w:color w:val="000000"/>
                <w:sz w:val="18"/>
                <w:szCs w:val="18"/>
              </w:rPr>
            </w:pPr>
          </w:p>
        </w:tc>
      </w:tr>
      <w:tr w:rsidR="009A1D24" w:rsidRPr="007A6EA4" w:rsidTr="007967E0">
        <w:trPr>
          <w:trHeight w:val="300"/>
          <w:jc w:val="center"/>
        </w:trPr>
        <w:tc>
          <w:tcPr>
            <w:tcW w:w="2626" w:type="dxa"/>
            <w:tcBorders>
              <w:top w:val="single" w:sz="8" w:space="0" w:color="auto"/>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Jdos. Instrucción </w:t>
            </w:r>
          </w:p>
        </w:tc>
        <w:tc>
          <w:tcPr>
            <w:tcW w:w="1098"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89,7</w:t>
            </w:r>
          </w:p>
        </w:tc>
        <w:tc>
          <w:tcPr>
            <w:tcW w:w="96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4,6</w:t>
            </w:r>
          </w:p>
        </w:tc>
        <w:tc>
          <w:tcPr>
            <w:tcW w:w="100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0,2</w:t>
            </w:r>
          </w:p>
        </w:tc>
        <w:tc>
          <w:tcPr>
            <w:tcW w:w="74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3,1</w:t>
            </w:r>
          </w:p>
        </w:tc>
        <w:tc>
          <w:tcPr>
            <w:tcW w:w="104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0,6</w:t>
            </w:r>
          </w:p>
        </w:tc>
        <w:tc>
          <w:tcPr>
            <w:tcW w:w="820"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1,1</w:t>
            </w:r>
          </w:p>
        </w:tc>
        <w:tc>
          <w:tcPr>
            <w:tcW w:w="974" w:type="dxa"/>
            <w:tcBorders>
              <w:top w:val="single" w:sz="8" w:space="0" w:color="auto"/>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0,5</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0,1</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Jdos. 1ª Instan. e Instruc.</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84,2</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1,6</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0,1</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12,3</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0,4</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0,4</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0,2</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lastRenderedPageBreak/>
              <w:t xml:space="preserve">Jdos. Violencia contra la </w:t>
            </w:r>
            <w:r w:rsidRPr="007A6EA4">
              <w:rPr>
                <w:rFonts w:ascii="Verdana" w:hAnsi="Verdana" w:cs="Arial"/>
                <w:sz w:val="20"/>
              </w:rPr>
              <w:t>Mujer</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83,4</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5,7</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9,7</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0,2</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0,2</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0,6</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0,1</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Jdos. de Menores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96,7</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2,4</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Jdos. de lo Penal</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83,0</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1,5</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2,0</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6,2</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0,5</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1,4</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5,0</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0,5</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A.P. Secciones Penales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91,1</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0,6</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0,5</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2,1</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2,4</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2,0</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0,2</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2,0</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A.P. Secciones Mixtas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90,2</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1,7</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2,7</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0,7</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2,0</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0,4</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2,0</w:t>
            </w:r>
          </w:p>
        </w:tc>
      </w:tr>
      <w:tr w:rsidR="009A1D24" w:rsidRPr="007A6EA4" w:rsidTr="005E6A27">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T.S.J. Sala Civil y Penal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96,0</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0,9</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3,1</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r>
      <w:tr w:rsidR="009A1D24" w:rsidRPr="007A6EA4" w:rsidTr="005E6A27">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Jdo Central de lo Penal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54,8</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45,2</w:t>
            </w:r>
          </w:p>
        </w:tc>
      </w:tr>
      <w:tr w:rsidR="009A1D24" w:rsidRPr="007A6EA4" w:rsidTr="007967E0">
        <w:trPr>
          <w:trHeight w:val="300"/>
          <w:jc w:val="center"/>
        </w:trPr>
        <w:tc>
          <w:tcPr>
            <w:tcW w:w="2626" w:type="dxa"/>
            <w:tcBorders>
              <w:top w:val="nil"/>
              <w:left w:val="nil"/>
              <w:bottom w:val="nil"/>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 xml:space="preserve">A.N. Sala Penal </w:t>
            </w:r>
          </w:p>
        </w:tc>
        <w:tc>
          <w:tcPr>
            <w:tcW w:w="1098"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79,1</w:t>
            </w:r>
          </w:p>
        </w:tc>
        <w:tc>
          <w:tcPr>
            <w:tcW w:w="96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6,0</w:t>
            </w:r>
          </w:p>
        </w:tc>
        <w:tc>
          <w:tcPr>
            <w:tcW w:w="88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2,2</w:t>
            </w:r>
          </w:p>
        </w:tc>
        <w:tc>
          <w:tcPr>
            <w:tcW w:w="100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9,7</w:t>
            </w:r>
          </w:p>
        </w:tc>
        <w:tc>
          <w:tcPr>
            <w:tcW w:w="7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4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0,7</w:t>
            </w:r>
          </w:p>
        </w:tc>
        <w:tc>
          <w:tcPr>
            <w:tcW w:w="82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2,2</w:t>
            </w:r>
          </w:p>
        </w:tc>
        <w:tc>
          <w:tcPr>
            <w:tcW w:w="974"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250" w:type="dxa"/>
            <w:tcBorders>
              <w:top w:val="nil"/>
              <w:left w:val="nil"/>
              <w:bottom w:val="nil"/>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2,2</w:t>
            </w:r>
          </w:p>
        </w:tc>
      </w:tr>
      <w:tr w:rsidR="009A1D24" w:rsidRPr="007A6EA4" w:rsidTr="007967E0">
        <w:trPr>
          <w:trHeight w:val="315"/>
          <w:jc w:val="center"/>
        </w:trPr>
        <w:tc>
          <w:tcPr>
            <w:tcW w:w="2626" w:type="dxa"/>
            <w:tcBorders>
              <w:top w:val="nil"/>
              <w:left w:val="nil"/>
              <w:bottom w:val="single" w:sz="8" w:space="0" w:color="auto"/>
              <w:right w:val="nil"/>
            </w:tcBorders>
            <w:shd w:val="clear" w:color="auto" w:fill="auto"/>
            <w:vAlign w:val="center"/>
            <w:hideMark/>
          </w:tcPr>
          <w:p w:rsidR="009A1D24" w:rsidRPr="007A6EA4" w:rsidRDefault="009A1D24" w:rsidP="007967E0">
            <w:pPr>
              <w:jc w:val="both"/>
              <w:rPr>
                <w:rFonts w:ascii="Verdana" w:hAnsi="Verdana" w:cs="Calibri"/>
                <w:color w:val="000000"/>
                <w:sz w:val="18"/>
                <w:szCs w:val="18"/>
              </w:rPr>
            </w:pPr>
            <w:r w:rsidRPr="007A6EA4">
              <w:rPr>
                <w:rFonts w:ascii="Verdana" w:hAnsi="Verdana" w:cs="Calibri"/>
                <w:color w:val="000000"/>
                <w:sz w:val="18"/>
                <w:szCs w:val="18"/>
              </w:rPr>
              <w:t>Tribunal Supremo: Sala 2ª</w:t>
            </w:r>
          </w:p>
        </w:tc>
        <w:tc>
          <w:tcPr>
            <w:tcW w:w="1098"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82,8</w:t>
            </w:r>
          </w:p>
        </w:tc>
        <w:tc>
          <w:tcPr>
            <w:tcW w:w="96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6,6</w:t>
            </w:r>
          </w:p>
        </w:tc>
        <w:tc>
          <w:tcPr>
            <w:tcW w:w="88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0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74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04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10,7</w:t>
            </w:r>
          </w:p>
        </w:tc>
        <w:tc>
          <w:tcPr>
            <w:tcW w:w="82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974"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c>
          <w:tcPr>
            <w:tcW w:w="1250" w:type="dxa"/>
            <w:tcBorders>
              <w:top w:val="nil"/>
              <w:left w:val="nil"/>
              <w:bottom w:val="single" w:sz="8" w:space="0" w:color="auto"/>
              <w:right w:val="nil"/>
            </w:tcBorders>
            <w:shd w:val="clear" w:color="auto" w:fill="auto"/>
            <w:noWrap/>
            <w:vAlign w:val="bottom"/>
            <w:hideMark/>
          </w:tcPr>
          <w:p w:rsidR="009A1D24" w:rsidRDefault="009A1D24">
            <w:pPr>
              <w:jc w:val="right"/>
              <w:rPr>
                <w:rFonts w:ascii="Verdana" w:hAnsi="Verdana" w:cs="Calibri"/>
                <w:color w:val="000000"/>
                <w:sz w:val="20"/>
                <w:szCs w:val="20"/>
              </w:rPr>
            </w:pPr>
            <w:r>
              <w:rPr>
                <w:rFonts w:ascii="Verdana" w:hAnsi="Verdana" w:cs="Calibri"/>
                <w:color w:val="000000"/>
                <w:sz w:val="20"/>
                <w:szCs w:val="20"/>
              </w:rPr>
              <w:t>0,0</w:t>
            </w:r>
          </w:p>
        </w:tc>
      </w:tr>
    </w:tbl>
    <w:p w:rsidR="00D159A0"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En los juzgados de instrucción el 89,7% de las sentencias las han dictado los jueces titulares, habiéndose alcanzado el 100% en Cantabria y el 9</w:t>
      </w:r>
      <w:r w:rsidR="001F33A9" w:rsidRPr="007A5A43">
        <w:rPr>
          <w:rFonts w:ascii="Verdana" w:hAnsi="Verdana" w:cs="Arial"/>
          <w:sz w:val="20"/>
        </w:rPr>
        <w:t>8,5</w:t>
      </w:r>
      <w:r w:rsidRPr="007A5A43">
        <w:rPr>
          <w:rFonts w:ascii="Verdana" w:hAnsi="Verdana" w:cs="Arial"/>
          <w:sz w:val="20"/>
        </w:rPr>
        <w:t xml:space="preserve">% en Asturias. El menor porcentaje de sentencias dictadas por titulares del órgano ha correspondido a </w:t>
      </w:r>
      <w:r w:rsidR="001F33A9" w:rsidRPr="007A5A43">
        <w:rPr>
          <w:rFonts w:ascii="Verdana" w:hAnsi="Verdana" w:cs="Arial"/>
          <w:sz w:val="20"/>
        </w:rPr>
        <w:t xml:space="preserve">Illes Balears, 80,1%; y </w:t>
      </w:r>
      <w:r w:rsidRPr="007A5A43">
        <w:rPr>
          <w:rFonts w:ascii="Verdana" w:hAnsi="Verdana" w:cs="Arial"/>
          <w:sz w:val="20"/>
        </w:rPr>
        <w:t xml:space="preserve">Castilla </w:t>
      </w:r>
      <w:r w:rsidR="001F33A9" w:rsidRPr="007A5A43">
        <w:rPr>
          <w:rFonts w:ascii="Verdana" w:hAnsi="Verdana" w:cs="Arial"/>
          <w:sz w:val="20"/>
        </w:rPr>
        <w:t>y León</w:t>
      </w:r>
      <w:r w:rsidRPr="007A5A43">
        <w:rPr>
          <w:rFonts w:ascii="Verdana" w:hAnsi="Verdana" w:cs="Arial"/>
          <w:sz w:val="20"/>
        </w:rPr>
        <w:t xml:space="preserve">, </w:t>
      </w:r>
      <w:r w:rsidR="001F33A9" w:rsidRPr="007A5A43">
        <w:rPr>
          <w:rFonts w:ascii="Verdana" w:hAnsi="Verdana" w:cs="Arial"/>
          <w:sz w:val="20"/>
        </w:rPr>
        <w:t>83</w:t>
      </w:r>
      <w:r w:rsidRPr="007A5A43">
        <w:rPr>
          <w:rFonts w:ascii="Verdana" w:hAnsi="Verdana" w:cs="Arial"/>
          <w:sz w:val="20"/>
        </w:rPr>
        <w:t>,</w:t>
      </w:r>
      <w:r w:rsidR="001F33A9" w:rsidRPr="007A5A43">
        <w:rPr>
          <w:rFonts w:ascii="Verdana" w:hAnsi="Verdana" w:cs="Arial"/>
          <w:sz w:val="20"/>
        </w:rPr>
        <w:t xml:space="preserve">3%. A nivel nacional, el 1,3% de las sentencias se </w:t>
      </w:r>
      <w:r w:rsidR="00D159A0" w:rsidRPr="007A5A43">
        <w:rPr>
          <w:rFonts w:ascii="Verdana" w:hAnsi="Verdana" w:cs="Arial"/>
          <w:sz w:val="20"/>
        </w:rPr>
        <w:t>han</w:t>
      </w:r>
      <w:r w:rsidR="001F33A9" w:rsidRPr="007A5A43">
        <w:rPr>
          <w:rFonts w:ascii="Verdana" w:hAnsi="Verdana" w:cs="Arial"/>
          <w:sz w:val="20"/>
        </w:rPr>
        <w:t xml:space="preserve"> dictado en refuerzos, destacando </w:t>
      </w:r>
      <w:r w:rsidRPr="007A5A43">
        <w:rPr>
          <w:rFonts w:ascii="Verdana" w:hAnsi="Verdana" w:cs="Arial"/>
          <w:sz w:val="20"/>
        </w:rPr>
        <w:t xml:space="preserve">Illes Balears, donde </w:t>
      </w:r>
      <w:r w:rsidR="001F33A9" w:rsidRPr="007A5A43">
        <w:rPr>
          <w:rFonts w:ascii="Verdana" w:hAnsi="Verdana" w:cs="Arial"/>
          <w:sz w:val="20"/>
        </w:rPr>
        <w:t xml:space="preserve">han dictado el 11%, 8% por jueces sustitutos y 3% por JAT; </w:t>
      </w:r>
      <w:r w:rsidR="00D159A0" w:rsidRPr="007A5A43">
        <w:rPr>
          <w:rFonts w:ascii="Verdana" w:hAnsi="Verdana" w:cs="Arial"/>
          <w:sz w:val="20"/>
        </w:rPr>
        <w:t>en Castilla la Mancha y Murcia se han dictado en refuerzos el 5,7% de las sentencias. Los</w:t>
      </w:r>
      <w:r w:rsidRPr="007A5A43">
        <w:rPr>
          <w:rFonts w:ascii="Verdana" w:hAnsi="Verdana" w:cs="Arial"/>
          <w:sz w:val="20"/>
        </w:rPr>
        <w:t xml:space="preserve"> jueces de adscripción territorial han dictado el </w:t>
      </w:r>
      <w:r w:rsidR="00D159A0" w:rsidRPr="007A5A43">
        <w:rPr>
          <w:rFonts w:ascii="Verdana" w:hAnsi="Verdana" w:cs="Arial"/>
          <w:sz w:val="20"/>
        </w:rPr>
        <w:t>1</w:t>
      </w:r>
      <w:r w:rsidRPr="007A5A43">
        <w:rPr>
          <w:rFonts w:ascii="Verdana" w:hAnsi="Verdana" w:cs="Arial"/>
          <w:sz w:val="20"/>
        </w:rPr>
        <w:t>,</w:t>
      </w:r>
      <w:r w:rsidR="00D159A0" w:rsidRPr="007A5A43">
        <w:rPr>
          <w:rFonts w:ascii="Verdana" w:hAnsi="Verdana" w:cs="Arial"/>
          <w:sz w:val="20"/>
        </w:rPr>
        <w:t>1</w:t>
      </w:r>
      <w:r w:rsidRPr="007A5A43">
        <w:rPr>
          <w:rFonts w:ascii="Verdana" w:hAnsi="Verdana" w:cs="Arial"/>
          <w:sz w:val="20"/>
        </w:rPr>
        <w:t>%</w:t>
      </w:r>
      <w:r w:rsidR="00D159A0" w:rsidRPr="007A5A43">
        <w:rPr>
          <w:rFonts w:ascii="Verdana" w:hAnsi="Verdana" w:cs="Arial"/>
          <w:sz w:val="20"/>
        </w:rPr>
        <w:t xml:space="preserve"> de las sentencias actuando como titulares y el 0,5% como refuerzos. Destaca especialmente Ca</w:t>
      </w:r>
      <w:r w:rsidR="00EE0B66" w:rsidRPr="007A5A43">
        <w:rPr>
          <w:rFonts w:ascii="Verdana" w:hAnsi="Verdana" w:cs="Arial"/>
          <w:sz w:val="20"/>
        </w:rPr>
        <w:t>s</w:t>
      </w:r>
      <w:r w:rsidR="00D159A0" w:rsidRPr="007A5A43">
        <w:rPr>
          <w:rFonts w:ascii="Verdana" w:hAnsi="Verdana" w:cs="Arial"/>
          <w:sz w:val="20"/>
        </w:rPr>
        <w:t xml:space="preserve">tilla y León donde han dictado el 11% y el 0,4% respectivamente. </w:t>
      </w:r>
      <w:r w:rsidRPr="007A5A43">
        <w:rPr>
          <w:rFonts w:ascii="Verdana" w:hAnsi="Verdana" w:cs="Arial"/>
          <w:sz w:val="20"/>
        </w:rPr>
        <w:t>Las sentencias dictadas por sustitutos han representado el 3,</w:t>
      </w:r>
      <w:r w:rsidR="00D159A0" w:rsidRPr="007A5A43">
        <w:rPr>
          <w:rFonts w:ascii="Verdana" w:hAnsi="Verdana" w:cs="Arial"/>
          <w:sz w:val="20"/>
        </w:rPr>
        <w:t>1</w:t>
      </w:r>
      <w:r w:rsidRPr="007A5A43">
        <w:rPr>
          <w:rFonts w:ascii="Verdana" w:hAnsi="Verdana" w:cs="Arial"/>
          <w:sz w:val="20"/>
        </w:rPr>
        <w:t xml:space="preserve">% </w:t>
      </w:r>
      <w:r w:rsidR="00D159A0" w:rsidRPr="007A5A43">
        <w:rPr>
          <w:rFonts w:ascii="Verdana" w:hAnsi="Verdana" w:cs="Arial"/>
          <w:sz w:val="20"/>
        </w:rPr>
        <w:t>actuando en sustitución del titular y el 0,6% como refuerzos. Donde han tenido un papel más relevante ha sido en Illes Balears, con el 5,3% y 8%; Murcia, con el 6,5% y 4,2%;  y en el País Vasco, 8,3% actuando en sustitución del titular.</w:t>
      </w:r>
    </w:p>
    <w:p w:rsidR="008D4244"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 xml:space="preserve">En los juzgados de primera instancia e instrucción, los titulares han dictado el </w:t>
      </w:r>
      <w:r w:rsidR="00591377" w:rsidRPr="007A5A43">
        <w:rPr>
          <w:rFonts w:ascii="Verdana" w:hAnsi="Verdana" w:cs="Arial"/>
          <w:sz w:val="20"/>
        </w:rPr>
        <w:t>84</w:t>
      </w:r>
      <w:r w:rsidRPr="007A5A43">
        <w:rPr>
          <w:rFonts w:ascii="Verdana" w:hAnsi="Verdana" w:cs="Arial"/>
          <w:sz w:val="20"/>
        </w:rPr>
        <w:t>,</w:t>
      </w:r>
      <w:r w:rsidR="00591377" w:rsidRPr="007A5A43">
        <w:rPr>
          <w:rFonts w:ascii="Verdana" w:hAnsi="Verdana" w:cs="Arial"/>
          <w:sz w:val="20"/>
        </w:rPr>
        <w:t>2</w:t>
      </w:r>
      <w:r w:rsidRPr="007A5A43">
        <w:rPr>
          <w:rFonts w:ascii="Verdana" w:hAnsi="Verdana" w:cs="Arial"/>
          <w:sz w:val="20"/>
        </w:rPr>
        <w:t xml:space="preserve">% de las sentencias de juicios de faltas, delitos leves y de conformidad, con máximo </w:t>
      </w:r>
      <w:r w:rsidR="00EE0B66" w:rsidRPr="007A5A43">
        <w:rPr>
          <w:rFonts w:ascii="Verdana" w:hAnsi="Verdana" w:cs="Arial"/>
          <w:sz w:val="20"/>
        </w:rPr>
        <w:t>e</w:t>
      </w:r>
      <w:r w:rsidR="008D4244" w:rsidRPr="007A5A43">
        <w:rPr>
          <w:rFonts w:ascii="Verdana" w:hAnsi="Verdana" w:cs="Arial"/>
          <w:sz w:val="20"/>
        </w:rPr>
        <w:t>n Cantabria, 92,9%</w:t>
      </w:r>
      <w:r w:rsidRPr="007A5A43">
        <w:rPr>
          <w:rFonts w:ascii="Verdana" w:hAnsi="Verdana" w:cs="Arial"/>
          <w:sz w:val="20"/>
        </w:rPr>
        <w:t xml:space="preserve">, y mínimo en </w:t>
      </w:r>
      <w:r w:rsidR="008D4244" w:rsidRPr="007A5A43">
        <w:rPr>
          <w:rFonts w:ascii="Verdana" w:hAnsi="Verdana" w:cs="Arial"/>
          <w:sz w:val="20"/>
        </w:rPr>
        <w:t>Navarra, 77,5%.</w:t>
      </w:r>
      <w:r w:rsidRPr="007A5A43">
        <w:rPr>
          <w:rFonts w:ascii="Verdana" w:hAnsi="Verdana" w:cs="Arial"/>
          <w:sz w:val="20"/>
        </w:rPr>
        <w:t xml:space="preserve"> Los jueces sustitutos han dictado a nivel nacional el 1</w:t>
      </w:r>
      <w:r w:rsidR="008D4244" w:rsidRPr="007A5A43">
        <w:rPr>
          <w:rFonts w:ascii="Verdana" w:hAnsi="Verdana" w:cs="Arial"/>
          <w:sz w:val="20"/>
        </w:rPr>
        <w:t>2</w:t>
      </w:r>
      <w:r w:rsidRPr="007A5A43">
        <w:rPr>
          <w:rFonts w:ascii="Verdana" w:hAnsi="Verdana" w:cs="Arial"/>
          <w:sz w:val="20"/>
        </w:rPr>
        <w:t>,</w:t>
      </w:r>
      <w:r w:rsidR="008D4244" w:rsidRPr="007A5A43">
        <w:rPr>
          <w:rFonts w:ascii="Verdana" w:hAnsi="Verdana" w:cs="Arial"/>
          <w:sz w:val="20"/>
        </w:rPr>
        <w:t>7</w:t>
      </w:r>
      <w:r w:rsidRPr="007A5A43">
        <w:rPr>
          <w:rFonts w:ascii="Verdana" w:hAnsi="Verdana" w:cs="Arial"/>
          <w:sz w:val="20"/>
        </w:rPr>
        <w:t xml:space="preserve">%; destacando </w:t>
      </w:r>
      <w:r w:rsidR="008D4244" w:rsidRPr="007A5A43">
        <w:rPr>
          <w:rFonts w:ascii="Verdana" w:hAnsi="Verdana" w:cs="Arial"/>
          <w:sz w:val="20"/>
        </w:rPr>
        <w:t xml:space="preserve">Navarra, 22%; </w:t>
      </w:r>
      <w:r w:rsidRPr="007A5A43">
        <w:rPr>
          <w:rFonts w:ascii="Verdana" w:hAnsi="Verdana" w:cs="Arial"/>
          <w:sz w:val="20"/>
        </w:rPr>
        <w:t xml:space="preserve">Cataluña, </w:t>
      </w:r>
      <w:r w:rsidR="008D4244" w:rsidRPr="007A5A43">
        <w:rPr>
          <w:rFonts w:ascii="Verdana" w:hAnsi="Verdana" w:cs="Arial"/>
          <w:sz w:val="20"/>
        </w:rPr>
        <w:t>19</w:t>
      </w:r>
      <w:r w:rsidRPr="007A5A43">
        <w:rPr>
          <w:rFonts w:ascii="Verdana" w:hAnsi="Verdana" w:cs="Arial"/>
          <w:sz w:val="20"/>
        </w:rPr>
        <w:t>,</w:t>
      </w:r>
      <w:r w:rsidR="008D4244" w:rsidRPr="007A5A43">
        <w:rPr>
          <w:rFonts w:ascii="Verdana" w:hAnsi="Verdana" w:cs="Arial"/>
          <w:sz w:val="20"/>
        </w:rPr>
        <w:t>7</w:t>
      </w:r>
      <w:r w:rsidRPr="007A5A43">
        <w:rPr>
          <w:rFonts w:ascii="Verdana" w:hAnsi="Verdana" w:cs="Arial"/>
          <w:sz w:val="20"/>
        </w:rPr>
        <w:t xml:space="preserve">%; </w:t>
      </w:r>
      <w:r w:rsidR="008D4244" w:rsidRPr="007A5A43">
        <w:rPr>
          <w:rFonts w:ascii="Verdana" w:hAnsi="Verdana" w:cs="Arial"/>
          <w:sz w:val="20"/>
        </w:rPr>
        <w:t xml:space="preserve">Castilla la Mancha, 16%; </w:t>
      </w:r>
      <w:r w:rsidRPr="007A5A43">
        <w:rPr>
          <w:rFonts w:ascii="Verdana" w:hAnsi="Verdana" w:cs="Arial"/>
          <w:sz w:val="20"/>
        </w:rPr>
        <w:t xml:space="preserve">Murcia, </w:t>
      </w:r>
      <w:r w:rsidR="008D4244" w:rsidRPr="007A5A43">
        <w:rPr>
          <w:rFonts w:ascii="Verdana" w:hAnsi="Verdana" w:cs="Arial"/>
          <w:sz w:val="20"/>
        </w:rPr>
        <w:t>15</w:t>
      </w:r>
      <w:r w:rsidRPr="007A5A43">
        <w:rPr>
          <w:rFonts w:ascii="Verdana" w:hAnsi="Verdana" w:cs="Arial"/>
          <w:sz w:val="20"/>
        </w:rPr>
        <w:t xml:space="preserve">%; </w:t>
      </w:r>
      <w:r w:rsidR="008D4244" w:rsidRPr="007A5A43">
        <w:rPr>
          <w:rFonts w:ascii="Verdana" w:hAnsi="Verdana" w:cs="Arial"/>
          <w:sz w:val="20"/>
        </w:rPr>
        <w:t xml:space="preserve">C. Valenciana, 13%; Aragón, 12,8%; e Illes Balears, 12,6%. </w:t>
      </w:r>
      <w:r w:rsidRPr="007A5A43">
        <w:rPr>
          <w:rFonts w:ascii="Verdana" w:hAnsi="Verdana" w:cs="Arial"/>
          <w:sz w:val="20"/>
        </w:rPr>
        <w:t>Los jueces de adscripc</w:t>
      </w:r>
      <w:r w:rsidR="008D4244" w:rsidRPr="007A5A43">
        <w:rPr>
          <w:rFonts w:ascii="Verdana" w:hAnsi="Verdana" w:cs="Arial"/>
          <w:sz w:val="20"/>
        </w:rPr>
        <w:t>ión territorial han dictado el 1</w:t>
      </w:r>
      <w:r w:rsidRPr="007A5A43">
        <w:rPr>
          <w:rFonts w:ascii="Verdana" w:hAnsi="Verdana" w:cs="Arial"/>
          <w:sz w:val="20"/>
        </w:rPr>
        <w:t>,</w:t>
      </w:r>
      <w:r w:rsidR="008D4244" w:rsidRPr="007A5A43">
        <w:rPr>
          <w:rFonts w:ascii="Verdana" w:hAnsi="Verdana" w:cs="Arial"/>
          <w:sz w:val="20"/>
        </w:rPr>
        <w:t>3</w:t>
      </w:r>
      <w:r w:rsidRPr="007A5A43">
        <w:rPr>
          <w:rFonts w:ascii="Verdana" w:hAnsi="Verdana" w:cs="Arial"/>
          <w:sz w:val="20"/>
        </w:rPr>
        <w:t xml:space="preserve">% de las sentencias, aunque en </w:t>
      </w:r>
      <w:r w:rsidR="008D4244" w:rsidRPr="007A5A43">
        <w:rPr>
          <w:rFonts w:ascii="Verdana" w:hAnsi="Verdana" w:cs="Arial"/>
          <w:sz w:val="20"/>
        </w:rPr>
        <w:t xml:space="preserve">Castilla y León han dictado el 5,5%; y en la Rioja el 5,3%. </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 xml:space="preserve">En los juzgados de violencia contra la mujer, los titulares han dictado el </w:t>
      </w:r>
      <w:r w:rsidR="00AD5BDE" w:rsidRPr="007A5A43">
        <w:rPr>
          <w:rFonts w:ascii="Verdana" w:hAnsi="Verdana" w:cs="Arial"/>
          <w:sz w:val="20"/>
        </w:rPr>
        <w:t>83</w:t>
      </w:r>
      <w:r w:rsidRPr="007A5A43">
        <w:rPr>
          <w:rFonts w:ascii="Verdana" w:hAnsi="Verdana" w:cs="Arial"/>
          <w:sz w:val="20"/>
        </w:rPr>
        <w:t>,</w:t>
      </w:r>
      <w:r w:rsidR="00AD5BDE" w:rsidRPr="007A5A43">
        <w:rPr>
          <w:rFonts w:ascii="Verdana" w:hAnsi="Verdana" w:cs="Arial"/>
          <w:sz w:val="20"/>
        </w:rPr>
        <w:t>4</w:t>
      </w:r>
      <w:r w:rsidRPr="007A5A43">
        <w:rPr>
          <w:rFonts w:ascii="Verdana" w:hAnsi="Verdana" w:cs="Arial"/>
          <w:sz w:val="20"/>
        </w:rPr>
        <w:t>% de las sentencias de juicios de faltas</w:t>
      </w:r>
      <w:r w:rsidR="00AD5BDE" w:rsidRPr="007A5A43">
        <w:rPr>
          <w:rFonts w:ascii="Verdana" w:hAnsi="Verdana" w:cs="Arial"/>
          <w:sz w:val="20"/>
        </w:rPr>
        <w:t xml:space="preserve">, sobre delitos leves </w:t>
      </w:r>
      <w:r w:rsidRPr="007A5A43">
        <w:rPr>
          <w:rFonts w:ascii="Verdana" w:hAnsi="Verdana" w:cs="Arial"/>
          <w:sz w:val="20"/>
        </w:rPr>
        <w:t xml:space="preserve"> y de conformidad, con el mayor porcentaje en Asturias, 9</w:t>
      </w:r>
      <w:r w:rsidR="00AD5BDE" w:rsidRPr="007A5A43">
        <w:rPr>
          <w:rFonts w:ascii="Verdana" w:hAnsi="Verdana" w:cs="Arial"/>
          <w:sz w:val="20"/>
        </w:rPr>
        <w:t>2</w:t>
      </w:r>
      <w:r w:rsidRPr="007A5A43">
        <w:rPr>
          <w:rFonts w:ascii="Verdana" w:hAnsi="Verdana" w:cs="Arial"/>
          <w:sz w:val="20"/>
        </w:rPr>
        <w:t>,</w:t>
      </w:r>
      <w:r w:rsidR="00AD5BDE" w:rsidRPr="007A5A43">
        <w:rPr>
          <w:rFonts w:ascii="Verdana" w:hAnsi="Verdana" w:cs="Arial"/>
          <w:sz w:val="20"/>
        </w:rPr>
        <w:t>5</w:t>
      </w:r>
      <w:r w:rsidRPr="007A5A43">
        <w:rPr>
          <w:rFonts w:ascii="Verdana" w:hAnsi="Verdana" w:cs="Arial"/>
          <w:sz w:val="20"/>
        </w:rPr>
        <w:t>%</w:t>
      </w:r>
      <w:r w:rsidR="00AD5BDE" w:rsidRPr="007A5A43">
        <w:rPr>
          <w:rFonts w:ascii="Verdana" w:hAnsi="Verdana" w:cs="Arial"/>
          <w:sz w:val="20"/>
        </w:rPr>
        <w:t xml:space="preserve">; 92,4% en Illes Balears; </w:t>
      </w:r>
      <w:r w:rsidRPr="007A5A43">
        <w:rPr>
          <w:rFonts w:ascii="Verdana" w:hAnsi="Verdana" w:cs="Arial"/>
          <w:sz w:val="20"/>
        </w:rPr>
        <w:t xml:space="preserve"> y menor en </w:t>
      </w:r>
      <w:r w:rsidR="00AD5BDE" w:rsidRPr="007A5A43">
        <w:rPr>
          <w:rFonts w:ascii="Verdana" w:hAnsi="Verdana" w:cs="Arial"/>
          <w:sz w:val="20"/>
        </w:rPr>
        <w:t>Galicia, 63</w:t>
      </w:r>
      <w:r w:rsidRPr="007A5A43">
        <w:rPr>
          <w:rFonts w:ascii="Verdana" w:hAnsi="Verdana" w:cs="Arial"/>
          <w:sz w:val="20"/>
        </w:rPr>
        <w:t>,</w:t>
      </w:r>
      <w:r w:rsidR="00AD5BDE" w:rsidRPr="007A5A43">
        <w:rPr>
          <w:rFonts w:ascii="Verdana" w:hAnsi="Verdana" w:cs="Arial"/>
          <w:sz w:val="20"/>
        </w:rPr>
        <w:t>2</w:t>
      </w:r>
      <w:r w:rsidRPr="007A5A43">
        <w:rPr>
          <w:rFonts w:ascii="Verdana" w:hAnsi="Verdana" w:cs="Arial"/>
          <w:sz w:val="20"/>
        </w:rPr>
        <w:t xml:space="preserve">%.  Los jueces de adscripción territorial han dictado el </w:t>
      </w:r>
      <w:r w:rsidR="00AD5BDE" w:rsidRPr="007A5A43">
        <w:rPr>
          <w:rFonts w:ascii="Verdana" w:hAnsi="Verdana" w:cs="Arial"/>
          <w:sz w:val="20"/>
        </w:rPr>
        <w:t>0</w:t>
      </w:r>
      <w:r w:rsidRPr="007A5A43">
        <w:rPr>
          <w:rFonts w:ascii="Verdana" w:hAnsi="Verdana" w:cs="Arial"/>
          <w:sz w:val="20"/>
        </w:rPr>
        <w:t>,</w:t>
      </w:r>
      <w:r w:rsidR="00AD5BDE" w:rsidRPr="007A5A43">
        <w:rPr>
          <w:rFonts w:ascii="Verdana" w:hAnsi="Verdana" w:cs="Arial"/>
          <w:sz w:val="20"/>
        </w:rPr>
        <w:t>2</w:t>
      </w:r>
      <w:r w:rsidRPr="007A5A43">
        <w:rPr>
          <w:rFonts w:ascii="Verdana" w:hAnsi="Verdana" w:cs="Arial"/>
          <w:sz w:val="20"/>
        </w:rPr>
        <w:t xml:space="preserve">% de las sentencias como titulares y el 0,6% como refuerzo, destacando </w:t>
      </w:r>
      <w:r w:rsidR="00AD5BDE" w:rsidRPr="007A5A43">
        <w:rPr>
          <w:rFonts w:ascii="Verdana" w:hAnsi="Verdana" w:cs="Arial"/>
          <w:sz w:val="20"/>
        </w:rPr>
        <w:t xml:space="preserve">La Rioja, donde han dictado el 5,2% de las </w:t>
      </w:r>
      <w:r w:rsidR="00D159A0" w:rsidRPr="007A5A43">
        <w:rPr>
          <w:rFonts w:ascii="Verdana" w:hAnsi="Verdana" w:cs="Arial"/>
          <w:sz w:val="20"/>
        </w:rPr>
        <w:t>sentencias</w:t>
      </w:r>
      <w:r w:rsidR="00AD5BDE" w:rsidRPr="007A5A43">
        <w:rPr>
          <w:rFonts w:ascii="Verdana" w:hAnsi="Verdana" w:cs="Arial"/>
          <w:sz w:val="20"/>
        </w:rPr>
        <w:t>, como titulares; y Canarias y Galicia donde han dictado como refuerzo el 3,9% y 2,7% respectivamente. J</w:t>
      </w:r>
      <w:r w:rsidRPr="007A5A43">
        <w:rPr>
          <w:rFonts w:ascii="Verdana" w:hAnsi="Verdana" w:cs="Arial"/>
          <w:sz w:val="20"/>
        </w:rPr>
        <w:t>ueces sustitutos ha</w:t>
      </w:r>
      <w:r w:rsidR="00AD5BDE" w:rsidRPr="007A5A43">
        <w:rPr>
          <w:rFonts w:ascii="Verdana" w:hAnsi="Verdana" w:cs="Arial"/>
          <w:sz w:val="20"/>
        </w:rPr>
        <w:t xml:space="preserve">n dictado el 9,7% reemplazando al titular, y el 0,2% como refuerzo. En Galicia han dictado el 32,1%; en </w:t>
      </w:r>
      <w:r w:rsidR="00EE0B66" w:rsidRPr="007A5A43">
        <w:rPr>
          <w:rFonts w:ascii="Verdana" w:hAnsi="Verdana" w:cs="Arial"/>
          <w:sz w:val="20"/>
        </w:rPr>
        <w:t>N</w:t>
      </w:r>
      <w:r w:rsidR="00AD5BDE" w:rsidRPr="007A5A43">
        <w:rPr>
          <w:rFonts w:ascii="Verdana" w:hAnsi="Verdana" w:cs="Arial"/>
          <w:sz w:val="20"/>
        </w:rPr>
        <w:t xml:space="preserve">avarra el 18%; en Aragón el 16,6%; en Extremadura el 15%; en País </w:t>
      </w:r>
      <w:r w:rsidR="00D159A0" w:rsidRPr="007A5A43">
        <w:rPr>
          <w:rFonts w:ascii="Verdana" w:hAnsi="Verdana" w:cs="Arial"/>
          <w:sz w:val="20"/>
        </w:rPr>
        <w:t>Vasco</w:t>
      </w:r>
      <w:r w:rsidR="00AD5BDE" w:rsidRPr="007A5A43">
        <w:rPr>
          <w:rFonts w:ascii="Verdana" w:hAnsi="Verdana" w:cs="Arial"/>
          <w:sz w:val="20"/>
        </w:rPr>
        <w:t xml:space="preserve"> el 12,4%; en </w:t>
      </w:r>
      <w:r w:rsidR="00D159A0" w:rsidRPr="007A5A43">
        <w:rPr>
          <w:rFonts w:ascii="Verdana" w:hAnsi="Verdana" w:cs="Arial"/>
          <w:sz w:val="20"/>
        </w:rPr>
        <w:t>Cataluña</w:t>
      </w:r>
      <w:r w:rsidR="00AD5BDE" w:rsidRPr="007A5A43">
        <w:rPr>
          <w:rFonts w:ascii="Verdana" w:hAnsi="Verdana" w:cs="Arial"/>
          <w:sz w:val="20"/>
        </w:rPr>
        <w:t xml:space="preserve"> el 9,8% y en Castilla y León el 9,4%.</w:t>
      </w:r>
      <w:r w:rsidRPr="007A5A43">
        <w:rPr>
          <w:rFonts w:ascii="Verdana" w:hAnsi="Verdana" w:cs="Arial"/>
          <w:sz w:val="20"/>
        </w:rPr>
        <w:t xml:space="preserve"> </w:t>
      </w:r>
    </w:p>
    <w:p w:rsidR="00EA4F00" w:rsidRPr="007A5A43" w:rsidRDefault="00433902" w:rsidP="00D159A0">
      <w:pPr>
        <w:spacing w:before="120" w:after="120"/>
        <w:ind w:firstLine="357"/>
        <w:jc w:val="both"/>
        <w:rPr>
          <w:rFonts w:ascii="Verdana" w:hAnsi="Verdana" w:cs="Arial"/>
          <w:sz w:val="20"/>
        </w:rPr>
      </w:pPr>
      <w:r w:rsidRPr="007A5A43">
        <w:rPr>
          <w:rFonts w:ascii="Verdana" w:hAnsi="Verdana" w:cs="Arial"/>
          <w:sz w:val="20"/>
        </w:rPr>
        <w:t>En los juzgados de lo penal, los jueces titulares del órgano han dictado el 8</w:t>
      </w:r>
      <w:r w:rsidR="00CD64FB" w:rsidRPr="007A5A43">
        <w:rPr>
          <w:rFonts w:ascii="Verdana" w:hAnsi="Verdana" w:cs="Arial"/>
          <w:sz w:val="20"/>
        </w:rPr>
        <w:t>3</w:t>
      </w:r>
      <w:r w:rsidRPr="007A5A43">
        <w:rPr>
          <w:rFonts w:ascii="Verdana" w:hAnsi="Verdana" w:cs="Arial"/>
          <w:sz w:val="20"/>
        </w:rPr>
        <w:t>% de las sentencias. Los mayores</w:t>
      </w:r>
      <w:r w:rsidR="008B33E6" w:rsidRPr="007A5A43">
        <w:rPr>
          <w:rFonts w:ascii="Verdana" w:hAnsi="Verdana" w:cs="Arial"/>
          <w:sz w:val="20"/>
        </w:rPr>
        <w:t xml:space="preserve"> </w:t>
      </w:r>
      <w:r w:rsidR="00D159A0" w:rsidRPr="007A5A43">
        <w:rPr>
          <w:rFonts w:ascii="Verdana" w:hAnsi="Verdana" w:cs="Arial"/>
          <w:sz w:val="20"/>
        </w:rPr>
        <w:t>porcentajes</w:t>
      </w:r>
      <w:r w:rsidRPr="007A5A43">
        <w:rPr>
          <w:rFonts w:ascii="Verdana" w:hAnsi="Verdana" w:cs="Arial"/>
          <w:sz w:val="20"/>
        </w:rPr>
        <w:t xml:space="preserve"> se han alcanzado en </w:t>
      </w:r>
      <w:r w:rsidR="00CD64FB" w:rsidRPr="007A5A43">
        <w:rPr>
          <w:rFonts w:ascii="Verdana" w:hAnsi="Verdana" w:cs="Arial"/>
          <w:sz w:val="20"/>
        </w:rPr>
        <w:t>Illes Balears, 98,9%; Aragón, 96,4%; Navarra, 96,2%; y Asturias y Murcia, 95,6%.</w:t>
      </w:r>
      <w:r w:rsidRPr="007A5A43">
        <w:rPr>
          <w:rFonts w:ascii="Verdana" w:hAnsi="Verdana" w:cs="Arial"/>
          <w:sz w:val="20"/>
        </w:rPr>
        <w:t xml:space="preserve">   El menor porcentaje se ha dado en </w:t>
      </w:r>
      <w:r w:rsidR="00EA4F00" w:rsidRPr="007A5A43">
        <w:rPr>
          <w:rFonts w:ascii="Verdana" w:hAnsi="Verdana" w:cs="Arial"/>
          <w:sz w:val="20"/>
        </w:rPr>
        <w:t>Castilla la Mancha, 58,1%</w:t>
      </w:r>
      <w:r w:rsidRPr="007A5A43">
        <w:rPr>
          <w:rFonts w:ascii="Verdana" w:hAnsi="Verdana" w:cs="Arial"/>
          <w:sz w:val="20"/>
        </w:rPr>
        <w:t>.   Jueces actuando como refuerzo han dictado el 7,</w:t>
      </w:r>
      <w:r w:rsidR="00EA4F00" w:rsidRPr="007A5A43">
        <w:rPr>
          <w:rFonts w:ascii="Verdana" w:hAnsi="Verdana" w:cs="Arial"/>
          <w:sz w:val="20"/>
        </w:rPr>
        <w:t>5</w:t>
      </w:r>
      <w:r w:rsidRPr="007A5A43">
        <w:rPr>
          <w:rFonts w:ascii="Verdana" w:hAnsi="Verdana" w:cs="Arial"/>
          <w:sz w:val="20"/>
        </w:rPr>
        <w:t>% de las sentencias, destacando La Rioja con el 2</w:t>
      </w:r>
      <w:r w:rsidR="00EA4F00" w:rsidRPr="007A5A43">
        <w:rPr>
          <w:rFonts w:ascii="Verdana" w:hAnsi="Verdana" w:cs="Arial"/>
          <w:sz w:val="20"/>
        </w:rPr>
        <w:t>2</w:t>
      </w:r>
      <w:r w:rsidRPr="007A5A43">
        <w:rPr>
          <w:rFonts w:ascii="Verdana" w:hAnsi="Verdana" w:cs="Arial"/>
          <w:sz w:val="20"/>
        </w:rPr>
        <w:t xml:space="preserve">,1%; </w:t>
      </w:r>
      <w:r w:rsidR="00EA4F00" w:rsidRPr="007A5A43">
        <w:rPr>
          <w:rFonts w:ascii="Verdana" w:hAnsi="Verdana" w:cs="Arial"/>
          <w:sz w:val="20"/>
        </w:rPr>
        <w:t xml:space="preserve">Extremadura, 18,3%; </w:t>
      </w:r>
      <w:r w:rsidRPr="007A5A43">
        <w:rPr>
          <w:rFonts w:ascii="Verdana" w:hAnsi="Verdana" w:cs="Arial"/>
          <w:sz w:val="20"/>
        </w:rPr>
        <w:t>la C. Valenciana, 1</w:t>
      </w:r>
      <w:r w:rsidR="00EA4F00" w:rsidRPr="007A5A43">
        <w:rPr>
          <w:rFonts w:ascii="Verdana" w:hAnsi="Verdana" w:cs="Arial"/>
          <w:sz w:val="20"/>
        </w:rPr>
        <w:t>8,2%</w:t>
      </w:r>
      <w:r w:rsidRPr="007A5A43">
        <w:rPr>
          <w:rFonts w:ascii="Verdana" w:hAnsi="Verdana" w:cs="Arial"/>
          <w:sz w:val="20"/>
        </w:rPr>
        <w:t>; y C</w:t>
      </w:r>
      <w:r w:rsidR="00EA4F00" w:rsidRPr="007A5A43">
        <w:rPr>
          <w:rFonts w:ascii="Verdana" w:hAnsi="Verdana" w:cs="Arial"/>
          <w:sz w:val="20"/>
        </w:rPr>
        <w:t xml:space="preserve">astilla la Mancha, 17%. </w:t>
      </w:r>
      <w:r w:rsidRPr="007A5A43">
        <w:rPr>
          <w:rFonts w:ascii="Verdana" w:hAnsi="Verdana" w:cs="Arial"/>
          <w:sz w:val="20"/>
        </w:rPr>
        <w:t xml:space="preserve"> </w:t>
      </w:r>
      <w:r w:rsidR="00EA4F00" w:rsidRPr="007A5A43">
        <w:rPr>
          <w:rFonts w:ascii="Verdana" w:hAnsi="Verdana" w:cs="Arial"/>
          <w:sz w:val="20"/>
        </w:rPr>
        <w:t xml:space="preserve">El </w:t>
      </w:r>
      <w:r w:rsidRPr="007A5A43">
        <w:rPr>
          <w:rFonts w:ascii="Verdana" w:hAnsi="Verdana" w:cs="Arial"/>
          <w:sz w:val="20"/>
        </w:rPr>
        <w:t>porcentaje de sentencias dictadas por jueces sustitutos ha sido del 6,</w:t>
      </w:r>
      <w:r w:rsidR="00EA4F00" w:rsidRPr="007A5A43">
        <w:rPr>
          <w:rFonts w:ascii="Verdana" w:hAnsi="Verdana" w:cs="Arial"/>
          <w:sz w:val="20"/>
        </w:rPr>
        <w:t>7</w:t>
      </w:r>
      <w:r w:rsidRPr="007A5A43">
        <w:rPr>
          <w:rFonts w:ascii="Verdana" w:hAnsi="Verdana" w:cs="Arial"/>
          <w:sz w:val="20"/>
        </w:rPr>
        <w:t>%, llegando a representar el 2</w:t>
      </w:r>
      <w:r w:rsidR="00EA4F00" w:rsidRPr="007A5A43">
        <w:rPr>
          <w:rFonts w:ascii="Verdana" w:hAnsi="Verdana" w:cs="Arial"/>
          <w:sz w:val="20"/>
        </w:rPr>
        <w:t>2</w:t>
      </w:r>
      <w:r w:rsidRPr="007A5A43">
        <w:rPr>
          <w:rFonts w:ascii="Verdana" w:hAnsi="Verdana" w:cs="Arial"/>
          <w:sz w:val="20"/>
        </w:rPr>
        <w:t>,</w:t>
      </w:r>
      <w:r w:rsidR="00EA4F00" w:rsidRPr="007A5A43">
        <w:rPr>
          <w:rFonts w:ascii="Verdana" w:hAnsi="Verdana" w:cs="Arial"/>
          <w:sz w:val="20"/>
        </w:rPr>
        <w:t>1</w:t>
      </w:r>
      <w:r w:rsidRPr="007A5A43">
        <w:rPr>
          <w:rFonts w:ascii="Verdana" w:hAnsi="Verdana" w:cs="Arial"/>
          <w:sz w:val="20"/>
        </w:rPr>
        <w:t xml:space="preserve">% </w:t>
      </w:r>
      <w:r w:rsidR="00EA4F00" w:rsidRPr="007A5A43">
        <w:rPr>
          <w:rFonts w:ascii="Verdana" w:hAnsi="Verdana" w:cs="Arial"/>
          <w:sz w:val="20"/>
        </w:rPr>
        <w:t xml:space="preserve">en Castilla la Mancha, el 3,5% como refuerzo; el 16% en Cataluña; el 11,3% en Cantabria; </w:t>
      </w:r>
      <w:r w:rsidRPr="007A5A43">
        <w:rPr>
          <w:rFonts w:ascii="Verdana" w:hAnsi="Verdana" w:cs="Arial"/>
          <w:sz w:val="20"/>
        </w:rPr>
        <w:t xml:space="preserve">el </w:t>
      </w:r>
      <w:r w:rsidR="00EA4F00" w:rsidRPr="007A5A43">
        <w:rPr>
          <w:rFonts w:ascii="Verdana" w:hAnsi="Verdana" w:cs="Arial"/>
          <w:sz w:val="20"/>
        </w:rPr>
        <w:t>8</w:t>
      </w:r>
      <w:r w:rsidRPr="007A5A43">
        <w:rPr>
          <w:rFonts w:ascii="Verdana" w:hAnsi="Verdana" w:cs="Arial"/>
          <w:sz w:val="20"/>
        </w:rPr>
        <w:t>,</w:t>
      </w:r>
      <w:r w:rsidR="00EA4F00" w:rsidRPr="007A5A43">
        <w:rPr>
          <w:rFonts w:ascii="Verdana" w:hAnsi="Verdana" w:cs="Arial"/>
          <w:sz w:val="20"/>
        </w:rPr>
        <w:t>4</w:t>
      </w:r>
      <w:r w:rsidRPr="007A5A43">
        <w:rPr>
          <w:rFonts w:ascii="Verdana" w:hAnsi="Verdana" w:cs="Arial"/>
          <w:sz w:val="20"/>
        </w:rPr>
        <w:t xml:space="preserve">% en el País Vasco; y el </w:t>
      </w:r>
      <w:r w:rsidR="00EA4F00" w:rsidRPr="007A5A43">
        <w:rPr>
          <w:rFonts w:ascii="Verdana" w:hAnsi="Verdana" w:cs="Arial"/>
          <w:sz w:val="20"/>
        </w:rPr>
        <w:t>8</w:t>
      </w:r>
      <w:r w:rsidRPr="007A5A43">
        <w:rPr>
          <w:rFonts w:ascii="Verdana" w:hAnsi="Verdana" w:cs="Arial"/>
          <w:sz w:val="20"/>
        </w:rPr>
        <w:t>,</w:t>
      </w:r>
      <w:r w:rsidR="00EA4F00" w:rsidRPr="007A5A43">
        <w:rPr>
          <w:rFonts w:ascii="Verdana" w:hAnsi="Verdana" w:cs="Arial"/>
          <w:sz w:val="20"/>
        </w:rPr>
        <w:t>1</w:t>
      </w:r>
      <w:r w:rsidRPr="007A5A43">
        <w:rPr>
          <w:rFonts w:ascii="Verdana" w:hAnsi="Verdana" w:cs="Arial"/>
          <w:sz w:val="20"/>
        </w:rPr>
        <w:t>% en</w:t>
      </w:r>
      <w:r w:rsidR="00EA4F00" w:rsidRPr="007A5A43">
        <w:rPr>
          <w:rFonts w:ascii="Verdana" w:hAnsi="Verdana" w:cs="Arial"/>
          <w:sz w:val="20"/>
        </w:rPr>
        <w:t xml:space="preserve"> la C. Valenciana</w:t>
      </w:r>
      <w:r w:rsidRPr="007A5A43">
        <w:rPr>
          <w:rFonts w:ascii="Verdana" w:hAnsi="Verdana" w:cs="Arial"/>
          <w:sz w:val="20"/>
        </w:rPr>
        <w:t xml:space="preserve">. Los jueces de adscripción territorial han dictado el </w:t>
      </w:r>
      <w:r w:rsidR="00EA4F00" w:rsidRPr="007A5A43">
        <w:rPr>
          <w:rFonts w:ascii="Verdana" w:hAnsi="Verdana" w:cs="Arial"/>
          <w:sz w:val="20"/>
        </w:rPr>
        <w:t>1</w:t>
      </w:r>
      <w:r w:rsidRPr="007A5A43">
        <w:rPr>
          <w:rFonts w:ascii="Verdana" w:hAnsi="Verdana" w:cs="Arial"/>
          <w:sz w:val="20"/>
        </w:rPr>
        <w:t>,</w:t>
      </w:r>
      <w:r w:rsidR="00EA4F00" w:rsidRPr="007A5A43">
        <w:rPr>
          <w:rFonts w:ascii="Verdana" w:hAnsi="Verdana" w:cs="Arial"/>
          <w:sz w:val="20"/>
        </w:rPr>
        <w:t>4</w:t>
      </w:r>
      <w:r w:rsidRPr="007A5A43">
        <w:rPr>
          <w:rFonts w:ascii="Verdana" w:hAnsi="Verdana" w:cs="Arial"/>
          <w:sz w:val="20"/>
        </w:rPr>
        <w:t xml:space="preserve">% de las sentencias actuando como titulares, y el 5% actuando como refuerzo. </w:t>
      </w:r>
      <w:r w:rsidR="00EA4F00" w:rsidRPr="007A5A43">
        <w:rPr>
          <w:rFonts w:ascii="Verdana" w:hAnsi="Verdana" w:cs="Arial"/>
          <w:sz w:val="20"/>
        </w:rPr>
        <w:t>En Extremadura han dictado el 16,2% de las sentencias, todas como refuerzo; en Canarias, el 1,1% como sustitución, y el 12,7% como refuerzo; en Castilla la Mancha el 4,7% como titulares y el 8,9% como refuerzo; y en Madrid el 3,2% como titulares y el 6,4% como refuerzo.</w:t>
      </w:r>
    </w:p>
    <w:p w:rsidR="00433902" w:rsidRPr="007A5A43" w:rsidRDefault="00BD42C7" w:rsidP="00433902">
      <w:pPr>
        <w:spacing w:before="120" w:after="120"/>
        <w:ind w:firstLine="357"/>
        <w:jc w:val="both"/>
        <w:rPr>
          <w:rFonts w:ascii="Verdana" w:hAnsi="Verdana" w:cs="Arial"/>
          <w:sz w:val="20"/>
        </w:rPr>
      </w:pPr>
      <w:r w:rsidRPr="007A5A43">
        <w:rPr>
          <w:rFonts w:ascii="Verdana" w:hAnsi="Verdana" w:cs="Arial"/>
          <w:sz w:val="20"/>
        </w:rPr>
        <w:lastRenderedPageBreak/>
        <w:t>E</w:t>
      </w:r>
      <w:r w:rsidR="00433902" w:rsidRPr="007A5A43">
        <w:rPr>
          <w:rFonts w:ascii="Verdana" w:hAnsi="Verdana" w:cs="Arial"/>
          <w:sz w:val="20"/>
        </w:rPr>
        <w:t xml:space="preserve">n los juzgados de menores </w:t>
      </w:r>
      <w:r w:rsidRPr="007A5A43">
        <w:rPr>
          <w:rFonts w:ascii="Verdana" w:hAnsi="Verdana" w:cs="Arial"/>
          <w:sz w:val="20"/>
        </w:rPr>
        <w:t xml:space="preserve">los titulares han dictado el </w:t>
      </w:r>
      <w:r w:rsidR="00433902" w:rsidRPr="007A5A43">
        <w:rPr>
          <w:rFonts w:ascii="Verdana" w:hAnsi="Verdana" w:cs="Arial"/>
          <w:sz w:val="20"/>
        </w:rPr>
        <w:t>9</w:t>
      </w:r>
      <w:r w:rsidRPr="007A5A43">
        <w:rPr>
          <w:rFonts w:ascii="Verdana" w:hAnsi="Verdana" w:cs="Arial"/>
          <w:sz w:val="20"/>
        </w:rPr>
        <w:t>6</w:t>
      </w:r>
      <w:r w:rsidR="00433902" w:rsidRPr="007A5A43">
        <w:rPr>
          <w:rFonts w:ascii="Verdana" w:hAnsi="Verdana" w:cs="Arial"/>
          <w:sz w:val="20"/>
        </w:rPr>
        <w:t>,</w:t>
      </w:r>
      <w:r w:rsidRPr="007A5A43">
        <w:rPr>
          <w:rFonts w:ascii="Verdana" w:hAnsi="Verdana" w:cs="Arial"/>
          <w:sz w:val="20"/>
        </w:rPr>
        <w:t>7</w:t>
      </w:r>
      <w:r w:rsidR="00433902" w:rsidRPr="007A5A43">
        <w:rPr>
          <w:rFonts w:ascii="Verdana" w:hAnsi="Verdana" w:cs="Arial"/>
          <w:sz w:val="20"/>
        </w:rPr>
        <w:t>%</w:t>
      </w:r>
      <w:r w:rsidRPr="007A5A43">
        <w:rPr>
          <w:rFonts w:ascii="Verdana" w:hAnsi="Verdana" w:cs="Arial"/>
          <w:sz w:val="20"/>
        </w:rPr>
        <w:t xml:space="preserve"> de las </w:t>
      </w:r>
      <w:r w:rsidR="00F921EB" w:rsidRPr="007A5A43">
        <w:rPr>
          <w:rFonts w:ascii="Verdana" w:hAnsi="Verdana" w:cs="Arial"/>
          <w:sz w:val="20"/>
        </w:rPr>
        <w:t>sentencias</w:t>
      </w:r>
      <w:r w:rsidR="00433902" w:rsidRPr="007A5A43">
        <w:rPr>
          <w:rFonts w:ascii="Verdana" w:hAnsi="Verdana" w:cs="Arial"/>
          <w:sz w:val="20"/>
        </w:rPr>
        <w:t xml:space="preserve">, habiéndose llegado al 100% en </w:t>
      </w:r>
      <w:r w:rsidRPr="007A5A43">
        <w:rPr>
          <w:rFonts w:ascii="Verdana" w:hAnsi="Verdana" w:cs="Arial"/>
          <w:sz w:val="20"/>
        </w:rPr>
        <w:t xml:space="preserve">Aragón, </w:t>
      </w:r>
      <w:r w:rsidR="00433902" w:rsidRPr="007A5A43">
        <w:rPr>
          <w:rFonts w:ascii="Verdana" w:hAnsi="Verdana" w:cs="Arial"/>
          <w:sz w:val="20"/>
        </w:rPr>
        <w:t xml:space="preserve">Asturias, </w:t>
      </w:r>
      <w:r w:rsidRPr="007A5A43">
        <w:rPr>
          <w:rFonts w:ascii="Verdana" w:hAnsi="Verdana" w:cs="Arial"/>
          <w:sz w:val="20"/>
        </w:rPr>
        <w:t xml:space="preserve">Galicia, Madrid, Murcia y </w:t>
      </w:r>
      <w:r w:rsidR="00433902" w:rsidRPr="007A5A43">
        <w:rPr>
          <w:rFonts w:ascii="Verdana" w:hAnsi="Verdana" w:cs="Arial"/>
          <w:sz w:val="20"/>
        </w:rPr>
        <w:t xml:space="preserve"> Navarra.  El menor porcentaje se ha dado en </w:t>
      </w:r>
      <w:r w:rsidRPr="007A5A43">
        <w:rPr>
          <w:rFonts w:ascii="Verdana" w:hAnsi="Verdana" w:cs="Arial"/>
          <w:sz w:val="20"/>
        </w:rPr>
        <w:t xml:space="preserve">La </w:t>
      </w:r>
      <w:r w:rsidR="00354451" w:rsidRPr="007A5A43">
        <w:rPr>
          <w:rFonts w:ascii="Verdana" w:hAnsi="Verdana" w:cs="Arial"/>
          <w:sz w:val="20"/>
        </w:rPr>
        <w:t>Rioja</w:t>
      </w:r>
      <w:r w:rsidRPr="007A5A43">
        <w:rPr>
          <w:rFonts w:ascii="Verdana" w:hAnsi="Verdana" w:cs="Arial"/>
          <w:sz w:val="20"/>
        </w:rPr>
        <w:t>, 65,7%.</w:t>
      </w:r>
      <w:r w:rsidR="00433902" w:rsidRPr="007A5A43">
        <w:rPr>
          <w:rFonts w:ascii="Verdana" w:hAnsi="Verdana" w:cs="Arial"/>
          <w:sz w:val="20"/>
        </w:rPr>
        <w:t xml:space="preserve"> Las sentencias dictadas por sustitutos han repres</w:t>
      </w:r>
      <w:r w:rsidRPr="007A5A43">
        <w:rPr>
          <w:rFonts w:ascii="Verdana" w:hAnsi="Verdana" w:cs="Arial"/>
          <w:sz w:val="20"/>
        </w:rPr>
        <w:t>entado el 0,9</w:t>
      </w:r>
      <w:r w:rsidR="00433902" w:rsidRPr="007A5A43">
        <w:rPr>
          <w:rFonts w:ascii="Verdana" w:hAnsi="Verdana" w:cs="Arial"/>
          <w:sz w:val="20"/>
        </w:rPr>
        <w:t>% de</w:t>
      </w:r>
      <w:r w:rsidR="00745C9F" w:rsidRPr="007A5A43">
        <w:rPr>
          <w:rFonts w:ascii="Verdana" w:hAnsi="Verdana" w:cs="Arial"/>
          <w:sz w:val="20"/>
        </w:rPr>
        <w:t xml:space="preserve">l total, pero han alcanzado el 34,3 en La Rioja; y </w:t>
      </w:r>
      <w:r w:rsidR="0086352F" w:rsidRPr="007A5A43">
        <w:rPr>
          <w:rFonts w:ascii="Verdana" w:hAnsi="Verdana" w:cs="Arial"/>
          <w:sz w:val="20"/>
        </w:rPr>
        <w:t xml:space="preserve"> 12</w:t>
      </w:r>
      <w:r w:rsidR="00433902" w:rsidRPr="007A5A43">
        <w:rPr>
          <w:rFonts w:ascii="Verdana" w:hAnsi="Verdana" w:cs="Arial"/>
          <w:sz w:val="20"/>
        </w:rPr>
        <w:t>,</w:t>
      </w:r>
      <w:r w:rsidR="0086352F" w:rsidRPr="007A5A43">
        <w:rPr>
          <w:rFonts w:ascii="Verdana" w:hAnsi="Verdana" w:cs="Arial"/>
          <w:sz w:val="20"/>
        </w:rPr>
        <w:t>6</w:t>
      </w:r>
      <w:r w:rsidR="00433902" w:rsidRPr="007A5A43">
        <w:rPr>
          <w:rFonts w:ascii="Verdana" w:hAnsi="Verdana" w:cs="Arial"/>
          <w:sz w:val="20"/>
        </w:rPr>
        <w:t>% en País Vasco.</w:t>
      </w:r>
    </w:p>
    <w:p w:rsidR="00466FB8"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En las secciones penales de las audiencias provinciales, el porcentaje de sentencias dictadas por titulares del órgano ha sido del 9</w:t>
      </w:r>
      <w:r w:rsidR="00AD5BDE" w:rsidRPr="007A5A43">
        <w:rPr>
          <w:rFonts w:ascii="Verdana" w:hAnsi="Verdana" w:cs="Arial"/>
          <w:sz w:val="20"/>
        </w:rPr>
        <w:t>1</w:t>
      </w:r>
      <w:r w:rsidRPr="007A5A43">
        <w:rPr>
          <w:rFonts w:ascii="Verdana" w:hAnsi="Verdana" w:cs="Arial"/>
          <w:sz w:val="20"/>
        </w:rPr>
        <w:t>,</w:t>
      </w:r>
      <w:r w:rsidR="00AD5BDE" w:rsidRPr="007A5A43">
        <w:rPr>
          <w:rFonts w:ascii="Verdana" w:hAnsi="Verdana" w:cs="Arial"/>
          <w:sz w:val="20"/>
        </w:rPr>
        <w:t>1</w:t>
      </w:r>
      <w:r w:rsidRPr="007A5A43">
        <w:rPr>
          <w:rFonts w:ascii="Verdana" w:hAnsi="Verdana" w:cs="Arial"/>
          <w:sz w:val="20"/>
        </w:rPr>
        <w:t>% como actuación ordinaria y del 0,</w:t>
      </w:r>
      <w:r w:rsidR="00AD5BDE" w:rsidRPr="007A5A43">
        <w:rPr>
          <w:rFonts w:ascii="Verdana" w:hAnsi="Verdana" w:cs="Arial"/>
          <w:sz w:val="20"/>
        </w:rPr>
        <w:t>6</w:t>
      </w:r>
      <w:r w:rsidRPr="007A5A43">
        <w:rPr>
          <w:rFonts w:ascii="Verdana" w:hAnsi="Verdana" w:cs="Arial"/>
          <w:sz w:val="20"/>
        </w:rPr>
        <w:t xml:space="preserve">% como auto refuerzo. </w:t>
      </w:r>
      <w:r w:rsidR="00541AAF" w:rsidRPr="007A5A43">
        <w:rPr>
          <w:rFonts w:ascii="Verdana" w:hAnsi="Verdana" w:cs="Arial"/>
          <w:sz w:val="20"/>
        </w:rPr>
        <w:t>En</w:t>
      </w:r>
      <w:r w:rsidRPr="007A5A43">
        <w:rPr>
          <w:rFonts w:ascii="Verdana" w:hAnsi="Verdana" w:cs="Arial"/>
          <w:sz w:val="20"/>
        </w:rPr>
        <w:t xml:space="preserve"> Navarra</w:t>
      </w:r>
      <w:r w:rsidR="00541AAF" w:rsidRPr="007A5A43">
        <w:rPr>
          <w:rFonts w:ascii="Verdana" w:hAnsi="Verdana" w:cs="Arial"/>
          <w:sz w:val="20"/>
        </w:rPr>
        <w:t xml:space="preserve"> han dictado el 100%; en La Rioja el 94,5%; en Murcia los titulares han dictado el 73,7% en actuación ordinaria, y el 18,7% como </w:t>
      </w:r>
      <w:r w:rsidR="00D159A0" w:rsidRPr="007A5A43">
        <w:rPr>
          <w:rFonts w:ascii="Verdana" w:hAnsi="Verdana" w:cs="Arial"/>
          <w:sz w:val="20"/>
        </w:rPr>
        <w:t>auto refuerzo</w:t>
      </w:r>
      <w:r w:rsidR="00541AAF" w:rsidRPr="007A5A43">
        <w:rPr>
          <w:rFonts w:ascii="Verdana" w:hAnsi="Verdana" w:cs="Arial"/>
          <w:sz w:val="20"/>
        </w:rPr>
        <w:t xml:space="preserve">. A nivel nacional, el 3,8% de las sentencias las han puesto refuerzos. En </w:t>
      </w:r>
      <w:r w:rsidRPr="007A5A43">
        <w:rPr>
          <w:rFonts w:ascii="Verdana" w:hAnsi="Verdana" w:cs="Arial"/>
          <w:sz w:val="20"/>
        </w:rPr>
        <w:t xml:space="preserve">Murcia, </w:t>
      </w:r>
      <w:r w:rsidR="00541AAF" w:rsidRPr="007A5A43">
        <w:rPr>
          <w:rFonts w:ascii="Verdana" w:hAnsi="Verdana" w:cs="Arial"/>
          <w:sz w:val="20"/>
        </w:rPr>
        <w:t xml:space="preserve">además del 18,7% de sentencias en </w:t>
      </w:r>
      <w:r w:rsidR="00D159A0" w:rsidRPr="007A5A43">
        <w:rPr>
          <w:rFonts w:ascii="Verdana" w:hAnsi="Verdana" w:cs="Arial"/>
          <w:sz w:val="20"/>
        </w:rPr>
        <w:t>auto refuerzo</w:t>
      </w:r>
      <w:r w:rsidR="00541AAF" w:rsidRPr="007A5A43">
        <w:rPr>
          <w:rFonts w:ascii="Verdana" w:hAnsi="Verdana" w:cs="Arial"/>
          <w:sz w:val="20"/>
        </w:rPr>
        <w:t xml:space="preserve">, se ha dictado un 7,6% adicional por magistrados de </w:t>
      </w:r>
      <w:r w:rsidR="00D159A0" w:rsidRPr="007A5A43">
        <w:rPr>
          <w:rFonts w:ascii="Verdana" w:hAnsi="Verdana" w:cs="Arial"/>
          <w:sz w:val="20"/>
        </w:rPr>
        <w:t>otros</w:t>
      </w:r>
      <w:r w:rsidR="00541AAF" w:rsidRPr="007A5A43">
        <w:rPr>
          <w:rFonts w:ascii="Verdana" w:hAnsi="Verdana" w:cs="Arial"/>
          <w:sz w:val="20"/>
        </w:rPr>
        <w:t xml:space="preserve"> órganos y JAT actuando como refuerzo. </w:t>
      </w:r>
      <w:r w:rsidRPr="007A5A43">
        <w:rPr>
          <w:rFonts w:ascii="Verdana" w:hAnsi="Verdana" w:cs="Arial"/>
          <w:sz w:val="20"/>
        </w:rPr>
        <w:t xml:space="preserve"> Los magistrados suplentes han dictado el 2,4% a nivel nacional actuando en sustitución de titulares y el 0</w:t>
      </w:r>
      <w:r w:rsidR="00541AAF" w:rsidRPr="007A5A43">
        <w:rPr>
          <w:rFonts w:ascii="Verdana" w:hAnsi="Verdana" w:cs="Arial"/>
          <w:sz w:val="20"/>
        </w:rPr>
        <w:t>,9</w:t>
      </w:r>
      <w:r w:rsidRPr="007A5A43">
        <w:rPr>
          <w:rFonts w:ascii="Verdana" w:hAnsi="Verdana" w:cs="Arial"/>
          <w:sz w:val="20"/>
        </w:rPr>
        <w:t xml:space="preserve">% como refuerzo. En </w:t>
      </w:r>
      <w:r w:rsidR="00541AAF" w:rsidRPr="007A5A43">
        <w:rPr>
          <w:rFonts w:ascii="Verdana" w:hAnsi="Verdana" w:cs="Arial"/>
          <w:sz w:val="20"/>
        </w:rPr>
        <w:t>Asturias</w:t>
      </w:r>
      <w:r w:rsidRPr="007A5A43">
        <w:rPr>
          <w:rFonts w:ascii="Verdana" w:hAnsi="Verdana" w:cs="Arial"/>
          <w:sz w:val="20"/>
        </w:rPr>
        <w:t xml:space="preserve"> estos porcentajes</w:t>
      </w:r>
      <w:r w:rsidR="00466FB8" w:rsidRPr="007A5A43">
        <w:rPr>
          <w:rFonts w:ascii="Verdana" w:hAnsi="Verdana" w:cs="Arial"/>
          <w:sz w:val="20"/>
        </w:rPr>
        <w:t xml:space="preserve"> han sido del 1</w:t>
      </w:r>
      <w:r w:rsidRPr="007A5A43">
        <w:rPr>
          <w:rFonts w:ascii="Verdana" w:hAnsi="Verdana" w:cs="Arial"/>
          <w:sz w:val="20"/>
        </w:rPr>
        <w:t>,</w:t>
      </w:r>
      <w:r w:rsidR="00466FB8" w:rsidRPr="007A5A43">
        <w:rPr>
          <w:rFonts w:ascii="Verdana" w:hAnsi="Verdana" w:cs="Arial"/>
          <w:sz w:val="20"/>
        </w:rPr>
        <w:t>7</w:t>
      </w:r>
      <w:r w:rsidRPr="007A5A43">
        <w:rPr>
          <w:rFonts w:ascii="Verdana" w:hAnsi="Verdana" w:cs="Arial"/>
          <w:sz w:val="20"/>
        </w:rPr>
        <w:t xml:space="preserve">% y </w:t>
      </w:r>
      <w:r w:rsidR="00466FB8" w:rsidRPr="007A5A43">
        <w:rPr>
          <w:rFonts w:ascii="Verdana" w:hAnsi="Verdana" w:cs="Arial"/>
          <w:sz w:val="20"/>
        </w:rPr>
        <w:t>5,9%</w:t>
      </w:r>
      <w:r w:rsidRPr="007A5A43">
        <w:rPr>
          <w:rFonts w:ascii="Verdana" w:hAnsi="Verdana" w:cs="Arial"/>
          <w:sz w:val="20"/>
        </w:rPr>
        <w:t xml:space="preserve"> respectivamente; en</w:t>
      </w:r>
      <w:r w:rsidR="00466FB8" w:rsidRPr="007A5A43">
        <w:rPr>
          <w:rFonts w:ascii="Verdana" w:hAnsi="Verdana" w:cs="Arial"/>
          <w:sz w:val="20"/>
        </w:rPr>
        <w:t xml:space="preserve"> la C. Valenciana, 4,8% y 1,4%; y en País Vasco, 5,2% y 0,2%.</w:t>
      </w:r>
    </w:p>
    <w:p w:rsidR="00F921EB"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En las secciones mixtas de las audiencias, el 9</w:t>
      </w:r>
      <w:r w:rsidR="00F921EB" w:rsidRPr="007A5A43">
        <w:rPr>
          <w:rFonts w:ascii="Verdana" w:hAnsi="Verdana" w:cs="Arial"/>
          <w:sz w:val="20"/>
        </w:rPr>
        <w:t>0</w:t>
      </w:r>
      <w:r w:rsidRPr="007A5A43">
        <w:rPr>
          <w:rFonts w:ascii="Verdana" w:hAnsi="Verdana" w:cs="Arial"/>
          <w:sz w:val="20"/>
        </w:rPr>
        <w:t>,</w:t>
      </w:r>
      <w:r w:rsidR="00F921EB" w:rsidRPr="007A5A43">
        <w:rPr>
          <w:rFonts w:ascii="Verdana" w:hAnsi="Verdana" w:cs="Arial"/>
          <w:sz w:val="20"/>
        </w:rPr>
        <w:t>2</w:t>
      </w:r>
      <w:r w:rsidRPr="007A5A43">
        <w:rPr>
          <w:rFonts w:ascii="Verdana" w:hAnsi="Verdana" w:cs="Arial"/>
          <w:sz w:val="20"/>
        </w:rPr>
        <w:t xml:space="preserve">% de las sentencias las dictaron titulares del órgano en actuación ordinaria y el </w:t>
      </w:r>
      <w:r w:rsidR="00F921EB" w:rsidRPr="007A5A43">
        <w:rPr>
          <w:rFonts w:ascii="Verdana" w:hAnsi="Verdana" w:cs="Arial"/>
          <w:sz w:val="20"/>
        </w:rPr>
        <w:t>0,9</w:t>
      </w:r>
      <w:r w:rsidRPr="007A5A43">
        <w:rPr>
          <w:rFonts w:ascii="Verdana" w:hAnsi="Verdana" w:cs="Arial"/>
          <w:sz w:val="20"/>
        </w:rPr>
        <w:t xml:space="preserve">% como auto refuerzo; </w:t>
      </w:r>
      <w:r w:rsidR="00772A93" w:rsidRPr="007A5A43">
        <w:rPr>
          <w:rFonts w:ascii="Verdana" w:hAnsi="Verdana" w:cs="Arial"/>
          <w:sz w:val="20"/>
        </w:rPr>
        <w:t>habiéndose alcanzado el 100% en Extremadura</w:t>
      </w:r>
      <w:r w:rsidR="00F921EB" w:rsidRPr="007A5A43">
        <w:rPr>
          <w:rFonts w:ascii="Verdana" w:hAnsi="Verdana" w:cs="Arial"/>
          <w:sz w:val="20"/>
        </w:rPr>
        <w:t xml:space="preserve"> y</w:t>
      </w:r>
      <w:r w:rsidR="00772A93" w:rsidRPr="007A5A43">
        <w:rPr>
          <w:rFonts w:ascii="Verdana" w:hAnsi="Verdana" w:cs="Arial"/>
          <w:sz w:val="20"/>
        </w:rPr>
        <w:t xml:space="preserve"> Navarra. </w:t>
      </w:r>
      <w:r w:rsidRPr="007A5A43">
        <w:rPr>
          <w:rFonts w:ascii="Verdana" w:hAnsi="Verdana" w:cs="Arial"/>
          <w:sz w:val="20"/>
        </w:rPr>
        <w:t xml:space="preserve">Magistrados suplentes han dictado a nivel nacional el </w:t>
      </w:r>
      <w:r w:rsidR="00772A93" w:rsidRPr="007A5A43">
        <w:rPr>
          <w:rFonts w:ascii="Verdana" w:hAnsi="Verdana" w:cs="Arial"/>
          <w:sz w:val="20"/>
        </w:rPr>
        <w:t>0</w:t>
      </w:r>
      <w:r w:rsidRPr="007A5A43">
        <w:rPr>
          <w:rFonts w:ascii="Verdana" w:hAnsi="Verdana" w:cs="Arial"/>
          <w:sz w:val="20"/>
        </w:rPr>
        <w:t>,</w:t>
      </w:r>
      <w:r w:rsidR="00772A93" w:rsidRPr="007A5A43">
        <w:rPr>
          <w:rFonts w:ascii="Verdana" w:hAnsi="Verdana" w:cs="Arial"/>
          <w:sz w:val="20"/>
        </w:rPr>
        <w:t>9</w:t>
      </w:r>
      <w:r w:rsidRPr="007A5A43">
        <w:rPr>
          <w:rFonts w:ascii="Verdana" w:hAnsi="Verdana" w:cs="Arial"/>
          <w:sz w:val="20"/>
        </w:rPr>
        <w:t>% sustituyendo titulares y el 0,</w:t>
      </w:r>
      <w:r w:rsidR="00772A93" w:rsidRPr="007A5A43">
        <w:rPr>
          <w:rFonts w:ascii="Verdana" w:hAnsi="Verdana" w:cs="Arial"/>
          <w:sz w:val="20"/>
        </w:rPr>
        <w:t>7</w:t>
      </w:r>
      <w:r w:rsidRPr="007A5A43">
        <w:rPr>
          <w:rFonts w:ascii="Verdana" w:hAnsi="Verdana" w:cs="Arial"/>
          <w:sz w:val="20"/>
        </w:rPr>
        <w:t xml:space="preserve">% como refuerzo, llegando en </w:t>
      </w:r>
      <w:r w:rsidR="00772A93" w:rsidRPr="007A5A43">
        <w:rPr>
          <w:rFonts w:ascii="Verdana" w:hAnsi="Verdana" w:cs="Arial"/>
          <w:sz w:val="20"/>
        </w:rPr>
        <w:t>País Vasco al 5,8% y  en Aragón al 3,3%.</w:t>
      </w:r>
      <w:r w:rsidRPr="007A5A43">
        <w:rPr>
          <w:rFonts w:ascii="Verdana" w:hAnsi="Verdana" w:cs="Arial"/>
          <w:sz w:val="20"/>
        </w:rPr>
        <w:t xml:space="preserve"> Como refuerzo se han dictado el </w:t>
      </w:r>
      <w:r w:rsidR="00F921EB" w:rsidRPr="007A5A43">
        <w:rPr>
          <w:rFonts w:ascii="Verdana" w:hAnsi="Verdana" w:cs="Arial"/>
          <w:sz w:val="20"/>
        </w:rPr>
        <w:t>4</w:t>
      </w:r>
      <w:r w:rsidRPr="007A5A43">
        <w:rPr>
          <w:rFonts w:ascii="Verdana" w:hAnsi="Verdana" w:cs="Arial"/>
          <w:sz w:val="20"/>
        </w:rPr>
        <w:t>,</w:t>
      </w:r>
      <w:r w:rsidR="00F921EB" w:rsidRPr="007A5A43">
        <w:rPr>
          <w:rFonts w:ascii="Verdana" w:hAnsi="Verdana" w:cs="Arial"/>
          <w:sz w:val="20"/>
        </w:rPr>
        <w:t>7</w:t>
      </w:r>
      <w:r w:rsidRPr="007A5A43">
        <w:rPr>
          <w:rFonts w:ascii="Verdana" w:hAnsi="Verdana" w:cs="Arial"/>
          <w:sz w:val="20"/>
        </w:rPr>
        <w:t xml:space="preserve">% de las sentencias. Destaca </w:t>
      </w:r>
      <w:r w:rsidR="00F921EB" w:rsidRPr="007A5A43">
        <w:rPr>
          <w:rFonts w:ascii="Verdana" w:hAnsi="Verdana" w:cs="Arial"/>
          <w:sz w:val="20"/>
        </w:rPr>
        <w:t xml:space="preserve">Murcia, donde el 16,3% de las sentencias se han dictado por los titulares como auto refuerzo, y el 5% por JATs actuando como refuerzo; en </w:t>
      </w:r>
      <w:r w:rsidRPr="007A5A43">
        <w:rPr>
          <w:rFonts w:ascii="Verdana" w:hAnsi="Verdana" w:cs="Arial"/>
          <w:sz w:val="20"/>
        </w:rPr>
        <w:t xml:space="preserve">Castilla </w:t>
      </w:r>
      <w:r w:rsidR="00F921EB" w:rsidRPr="007A5A43">
        <w:rPr>
          <w:rFonts w:ascii="Verdana" w:hAnsi="Verdana" w:cs="Arial"/>
          <w:sz w:val="20"/>
        </w:rPr>
        <w:t>y León han representado el 8,2%;  en la Rioja el 5,5%; y en Castilla la Mancha el 5,3%.</w:t>
      </w:r>
    </w:p>
    <w:p w:rsidR="002256C6"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 xml:space="preserve">El número de </w:t>
      </w:r>
      <w:r w:rsidRPr="007A5A43">
        <w:rPr>
          <w:rFonts w:ascii="Verdana" w:hAnsi="Verdana" w:cs="Arial"/>
          <w:b/>
          <w:sz w:val="20"/>
        </w:rPr>
        <w:t>decretos finales</w:t>
      </w:r>
      <w:r w:rsidRPr="007A5A43">
        <w:rPr>
          <w:rFonts w:ascii="Verdana" w:hAnsi="Verdana" w:cs="Arial"/>
          <w:sz w:val="20"/>
        </w:rPr>
        <w:t xml:space="preserve"> reportados en los boletines estadísticos  ha disminuido un </w:t>
      </w:r>
      <w:r w:rsidR="002256C6" w:rsidRPr="007A5A43">
        <w:rPr>
          <w:rFonts w:ascii="Verdana" w:hAnsi="Verdana" w:cs="Arial"/>
          <w:sz w:val="20"/>
        </w:rPr>
        <w:t>5</w:t>
      </w:r>
      <w:r w:rsidRPr="007A5A43">
        <w:rPr>
          <w:rFonts w:ascii="Verdana" w:hAnsi="Verdana" w:cs="Arial"/>
          <w:sz w:val="20"/>
        </w:rPr>
        <w:t>,</w:t>
      </w:r>
      <w:r w:rsidR="002256C6" w:rsidRPr="007A5A43">
        <w:rPr>
          <w:rFonts w:ascii="Verdana" w:hAnsi="Verdana" w:cs="Arial"/>
          <w:sz w:val="20"/>
        </w:rPr>
        <w:t>9</w:t>
      </w:r>
      <w:r w:rsidRPr="007A5A43">
        <w:rPr>
          <w:rFonts w:ascii="Verdana" w:hAnsi="Verdana" w:cs="Arial"/>
          <w:sz w:val="20"/>
        </w:rPr>
        <w:t>%</w:t>
      </w:r>
      <w:r w:rsidR="002256C6" w:rsidRPr="007A5A43">
        <w:rPr>
          <w:rFonts w:ascii="Verdana" w:hAnsi="Verdana" w:cs="Arial"/>
          <w:sz w:val="20"/>
        </w:rPr>
        <w:t>. En la fase declarativa la disminución ha sido del 14,4%, mientras que en la de ejecución ha sido del 5,7%.</w:t>
      </w:r>
    </w:p>
    <w:p w:rsidR="00433902" w:rsidRPr="007A5A43" w:rsidRDefault="00433902" w:rsidP="00433902">
      <w:pPr>
        <w:spacing w:before="120" w:after="120"/>
        <w:ind w:firstLine="357"/>
        <w:jc w:val="both"/>
        <w:rPr>
          <w:rFonts w:ascii="Verdana" w:hAnsi="Verdana" w:cs="Arial"/>
          <w:sz w:val="20"/>
        </w:rPr>
      </w:pPr>
    </w:p>
    <w:tbl>
      <w:tblPr>
        <w:tblW w:w="10420" w:type="dxa"/>
        <w:jc w:val="center"/>
        <w:tblInd w:w="55" w:type="dxa"/>
        <w:tblCellMar>
          <w:left w:w="70" w:type="dxa"/>
          <w:right w:w="70" w:type="dxa"/>
        </w:tblCellMar>
        <w:tblLook w:val="04A0" w:firstRow="1" w:lastRow="0" w:firstColumn="1" w:lastColumn="0" w:noHBand="0" w:noVBand="1"/>
      </w:tblPr>
      <w:tblGrid>
        <w:gridCol w:w="3120"/>
        <w:gridCol w:w="1110"/>
        <w:gridCol w:w="1389"/>
        <w:gridCol w:w="1170"/>
        <w:gridCol w:w="1221"/>
        <w:gridCol w:w="1389"/>
        <w:gridCol w:w="1221"/>
      </w:tblGrid>
      <w:tr w:rsidR="00653F0F" w:rsidRPr="007A5A43" w:rsidTr="00653F0F">
        <w:trPr>
          <w:trHeight w:val="1710"/>
          <w:jc w:val="center"/>
        </w:trPr>
        <w:tc>
          <w:tcPr>
            <w:tcW w:w="3120" w:type="dxa"/>
            <w:tcBorders>
              <w:top w:val="nil"/>
              <w:left w:val="nil"/>
              <w:bottom w:val="nil"/>
              <w:right w:val="nil"/>
            </w:tcBorders>
            <w:shd w:val="clear" w:color="auto" w:fill="auto"/>
            <w:noWrap/>
            <w:vAlign w:val="center"/>
            <w:hideMark/>
          </w:tcPr>
          <w:p w:rsidR="00653F0F" w:rsidRPr="007A5A43" w:rsidRDefault="00653F0F">
            <w:pPr>
              <w:rPr>
                <w:color w:val="000000"/>
                <w:sz w:val="20"/>
                <w:szCs w:val="20"/>
              </w:rPr>
            </w:pPr>
          </w:p>
        </w:tc>
        <w:tc>
          <w:tcPr>
            <w:tcW w:w="110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Total decretos finales</w:t>
            </w:r>
          </w:p>
        </w:tc>
        <w:tc>
          <w:tcPr>
            <w:tcW w:w="138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Total decretos en fase declarativa</w:t>
            </w:r>
          </w:p>
        </w:tc>
        <w:tc>
          <w:tcPr>
            <w:tcW w:w="114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Total decretos en fase ejecutiva</w:t>
            </w:r>
          </w:p>
        </w:tc>
        <w:tc>
          <w:tcPr>
            <w:tcW w:w="112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Evolución total decretos finales respecto a 2016</w:t>
            </w:r>
          </w:p>
        </w:tc>
        <w:tc>
          <w:tcPr>
            <w:tcW w:w="136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Evolución  decretos en fase declarativa respecto a 2016</w:t>
            </w:r>
          </w:p>
        </w:tc>
        <w:tc>
          <w:tcPr>
            <w:tcW w:w="1200" w:type="dxa"/>
            <w:tcBorders>
              <w:top w:val="single" w:sz="8" w:space="0" w:color="000080"/>
              <w:left w:val="nil"/>
              <w:bottom w:val="nil"/>
              <w:right w:val="nil"/>
            </w:tcBorders>
            <w:shd w:val="clear" w:color="auto" w:fill="auto"/>
            <w:vAlign w:val="center"/>
            <w:hideMark/>
          </w:tcPr>
          <w:p w:rsidR="00653F0F" w:rsidRPr="007A5A43" w:rsidRDefault="00653F0F">
            <w:pPr>
              <w:jc w:val="center"/>
              <w:rPr>
                <w:rFonts w:ascii="Verdana" w:hAnsi="Verdana" w:cs="Calibri"/>
                <w:b/>
                <w:bCs/>
                <w:color w:val="000080"/>
                <w:sz w:val="20"/>
                <w:szCs w:val="20"/>
              </w:rPr>
            </w:pPr>
            <w:r w:rsidRPr="007A5A43">
              <w:rPr>
                <w:rFonts w:ascii="Verdana" w:hAnsi="Verdana" w:cs="Calibri"/>
                <w:b/>
                <w:bCs/>
                <w:color w:val="000080"/>
                <w:sz w:val="20"/>
                <w:szCs w:val="20"/>
              </w:rPr>
              <w:t>Evolución  decretos en ejecución respecto a 2016</w:t>
            </w:r>
          </w:p>
        </w:tc>
      </w:tr>
      <w:tr w:rsidR="00653F0F" w:rsidRPr="007A5A43" w:rsidTr="00653F0F">
        <w:trPr>
          <w:trHeight w:val="510"/>
          <w:jc w:val="center"/>
        </w:trPr>
        <w:tc>
          <w:tcPr>
            <w:tcW w:w="3120" w:type="dxa"/>
            <w:tcBorders>
              <w:top w:val="single" w:sz="8" w:space="0" w:color="000080"/>
              <w:left w:val="nil"/>
              <w:bottom w:val="nil"/>
              <w:right w:val="nil"/>
            </w:tcBorders>
            <w:shd w:val="clear" w:color="auto" w:fill="auto"/>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Jdos. de Instrucción y 1ª Instancia e Instrucción</w:t>
            </w:r>
          </w:p>
        </w:tc>
        <w:tc>
          <w:tcPr>
            <w:tcW w:w="1100" w:type="dxa"/>
            <w:tcBorders>
              <w:top w:val="single" w:sz="8" w:space="0" w:color="0000FF"/>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52.922</w:t>
            </w:r>
          </w:p>
        </w:tc>
        <w:tc>
          <w:tcPr>
            <w:tcW w:w="1380" w:type="dxa"/>
            <w:tcBorders>
              <w:top w:val="single" w:sz="8" w:space="0" w:color="0000FF"/>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1.148</w:t>
            </w:r>
          </w:p>
        </w:tc>
        <w:tc>
          <w:tcPr>
            <w:tcW w:w="1140" w:type="dxa"/>
            <w:tcBorders>
              <w:top w:val="single" w:sz="8" w:space="0" w:color="0000FF"/>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51.774</w:t>
            </w:r>
          </w:p>
        </w:tc>
        <w:tc>
          <w:tcPr>
            <w:tcW w:w="1120" w:type="dxa"/>
            <w:tcBorders>
              <w:top w:val="single" w:sz="8" w:space="0" w:color="0000FF"/>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-3,3%</w:t>
            </w:r>
          </w:p>
        </w:tc>
        <w:tc>
          <w:tcPr>
            <w:tcW w:w="1360" w:type="dxa"/>
            <w:tcBorders>
              <w:top w:val="single" w:sz="8" w:space="0" w:color="000080"/>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-18,1%</w:t>
            </w:r>
          </w:p>
        </w:tc>
        <w:tc>
          <w:tcPr>
            <w:tcW w:w="1200" w:type="dxa"/>
            <w:tcBorders>
              <w:top w:val="single" w:sz="8" w:space="0" w:color="000080"/>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-2,9%</w:t>
            </w:r>
          </w:p>
        </w:tc>
      </w:tr>
      <w:tr w:rsidR="00653F0F" w:rsidRPr="007A5A43" w:rsidTr="00653F0F">
        <w:trPr>
          <w:trHeight w:val="300"/>
          <w:jc w:val="center"/>
        </w:trPr>
        <w:tc>
          <w:tcPr>
            <w:tcW w:w="3120" w:type="dxa"/>
            <w:tcBorders>
              <w:top w:val="nil"/>
              <w:left w:val="nil"/>
              <w:bottom w:val="nil"/>
              <w:right w:val="nil"/>
            </w:tcBorders>
            <w:shd w:val="clear" w:color="auto" w:fill="auto"/>
            <w:noWrap/>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Jdos. Violencia contra la Mujer</w:t>
            </w:r>
          </w:p>
        </w:tc>
        <w:tc>
          <w:tcPr>
            <w:tcW w:w="110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2.183</w:t>
            </w:r>
          </w:p>
        </w:tc>
        <w:tc>
          <w:tcPr>
            <w:tcW w:w="138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393</w:t>
            </w:r>
          </w:p>
        </w:tc>
        <w:tc>
          <w:tcPr>
            <w:tcW w:w="114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1.790</w:t>
            </w:r>
          </w:p>
        </w:tc>
        <w:tc>
          <w:tcPr>
            <w:tcW w:w="112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7,5%</w:t>
            </w:r>
          </w:p>
        </w:tc>
        <w:tc>
          <w:tcPr>
            <w:tcW w:w="136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39,4%</w:t>
            </w:r>
          </w:p>
        </w:tc>
        <w:tc>
          <w:tcPr>
            <w:tcW w:w="120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2,3%</w:t>
            </w:r>
          </w:p>
        </w:tc>
      </w:tr>
      <w:tr w:rsidR="00653F0F" w:rsidRPr="007A5A43" w:rsidTr="00653F0F">
        <w:trPr>
          <w:trHeight w:val="300"/>
          <w:jc w:val="center"/>
        </w:trPr>
        <w:tc>
          <w:tcPr>
            <w:tcW w:w="3120" w:type="dxa"/>
            <w:tcBorders>
              <w:top w:val="nil"/>
              <w:left w:val="nil"/>
              <w:bottom w:val="nil"/>
              <w:right w:val="nil"/>
            </w:tcBorders>
            <w:shd w:val="clear" w:color="auto" w:fill="auto"/>
            <w:noWrap/>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 xml:space="preserve">Jdos. de Menores                                </w:t>
            </w:r>
          </w:p>
        </w:tc>
        <w:tc>
          <w:tcPr>
            <w:tcW w:w="110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916</w:t>
            </w:r>
          </w:p>
        </w:tc>
        <w:tc>
          <w:tcPr>
            <w:tcW w:w="138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12</w:t>
            </w:r>
          </w:p>
        </w:tc>
        <w:tc>
          <w:tcPr>
            <w:tcW w:w="114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904</w:t>
            </w:r>
          </w:p>
        </w:tc>
        <w:tc>
          <w:tcPr>
            <w:tcW w:w="112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-1,7%</w:t>
            </w:r>
          </w:p>
        </w:tc>
        <w:tc>
          <w:tcPr>
            <w:tcW w:w="136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-36,8%</w:t>
            </w:r>
          </w:p>
        </w:tc>
        <w:tc>
          <w:tcPr>
            <w:tcW w:w="120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-1,0%</w:t>
            </w:r>
          </w:p>
        </w:tc>
      </w:tr>
      <w:tr w:rsidR="00653F0F" w:rsidRPr="007A5A43" w:rsidTr="00653F0F">
        <w:trPr>
          <w:trHeight w:val="300"/>
          <w:jc w:val="center"/>
        </w:trPr>
        <w:tc>
          <w:tcPr>
            <w:tcW w:w="3120" w:type="dxa"/>
            <w:tcBorders>
              <w:top w:val="nil"/>
              <w:left w:val="nil"/>
              <w:bottom w:val="nil"/>
              <w:right w:val="nil"/>
            </w:tcBorders>
            <w:shd w:val="clear" w:color="auto" w:fill="auto"/>
            <w:noWrap/>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 xml:space="preserve">Jdos. de lo Penal                               </w:t>
            </w:r>
          </w:p>
        </w:tc>
        <w:tc>
          <w:tcPr>
            <w:tcW w:w="110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117.560</w:t>
            </w:r>
          </w:p>
        </w:tc>
        <w:tc>
          <w:tcPr>
            <w:tcW w:w="138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518</w:t>
            </w:r>
          </w:p>
        </w:tc>
        <w:tc>
          <w:tcPr>
            <w:tcW w:w="114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117.042</w:t>
            </w:r>
          </w:p>
        </w:tc>
        <w:tc>
          <w:tcPr>
            <w:tcW w:w="112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-7,5%</w:t>
            </w:r>
          </w:p>
        </w:tc>
        <w:tc>
          <w:tcPr>
            <w:tcW w:w="136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-46,0%</w:t>
            </w:r>
          </w:p>
        </w:tc>
        <w:tc>
          <w:tcPr>
            <w:tcW w:w="120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-7,2%</w:t>
            </w:r>
          </w:p>
        </w:tc>
      </w:tr>
      <w:tr w:rsidR="00653F0F" w:rsidRPr="007A5A43" w:rsidTr="00653F0F">
        <w:trPr>
          <w:trHeight w:val="300"/>
          <w:jc w:val="center"/>
        </w:trPr>
        <w:tc>
          <w:tcPr>
            <w:tcW w:w="3120" w:type="dxa"/>
            <w:tcBorders>
              <w:top w:val="nil"/>
              <w:left w:val="nil"/>
              <w:bottom w:val="nil"/>
              <w:right w:val="nil"/>
            </w:tcBorders>
            <w:shd w:val="clear" w:color="auto" w:fill="auto"/>
            <w:noWrap/>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Audiencias provinciales</w:t>
            </w:r>
          </w:p>
        </w:tc>
        <w:tc>
          <w:tcPr>
            <w:tcW w:w="110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7.102</w:t>
            </w:r>
          </w:p>
        </w:tc>
        <w:tc>
          <w:tcPr>
            <w:tcW w:w="138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1.248</w:t>
            </w:r>
          </w:p>
        </w:tc>
        <w:tc>
          <w:tcPr>
            <w:tcW w:w="1140" w:type="dxa"/>
            <w:tcBorders>
              <w:top w:val="nil"/>
              <w:left w:val="nil"/>
              <w:bottom w:val="nil"/>
              <w:right w:val="nil"/>
            </w:tcBorders>
            <w:shd w:val="clear" w:color="auto" w:fill="auto"/>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5.854</w:t>
            </w:r>
          </w:p>
        </w:tc>
        <w:tc>
          <w:tcPr>
            <w:tcW w:w="112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-2,5%</w:t>
            </w:r>
          </w:p>
        </w:tc>
        <w:tc>
          <w:tcPr>
            <w:tcW w:w="136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2,2%</w:t>
            </w:r>
          </w:p>
        </w:tc>
        <w:tc>
          <w:tcPr>
            <w:tcW w:w="1200" w:type="dxa"/>
            <w:tcBorders>
              <w:top w:val="nil"/>
              <w:left w:val="nil"/>
              <w:bottom w:val="nil"/>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-3,5%</w:t>
            </w:r>
          </w:p>
        </w:tc>
      </w:tr>
      <w:tr w:rsidR="00653F0F" w:rsidTr="00653F0F">
        <w:trPr>
          <w:trHeight w:val="315"/>
          <w:jc w:val="center"/>
        </w:trPr>
        <w:tc>
          <w:tcPr>
            <w:tcW w:w="3120" w:type="dxa"/>
            <w:tcBorders>
              <w:top w:val="nil"/>
              <w:left w:val="nil"/>
              <w:bottom w:val="single" w:sz="8" w:space="0" w:color="000080"/>
              <w:right w:val="nil"/>
            </w:tcBorders>
            <w:shd w:val="clear" w:color="auto" w:fill="auto"/>
            <w:noWrap/>
            <w:vAlign w:val="center"/>
            <w:hideMark/>
          </w:tcPr>
          <w:p w:rsidR="00653F0F" w:rsidRPr="007A5A43" w:rsidRDefault="00653F0F">
            <w:pPr>
              <w:rPr>
                <w:rFonts w:ascii="Verdana" w:hAnsi="Verdana" w:cs="Calibri"/>
                <w:color w:val="000000"/>
                <w:sz w:val="20"/>
                <w:szCs w:val="20"/>
              </w:rPr>
            </w:pPr>
            <w:r w:rsidRPr="007A5A43">
              <w:rPr>
                <w:rFonts w:ascii="Verdana" w:hAnsi="Verdana" w:cs="Calibri"/>
                <w:color w:val="000000"/>
                <w:sz w:val="20"/>
                <w:szCs w:val="20"/>
              </w:rPr>
              <w:t xml:space="preserve">T.S.J. Sala Civil y Penal  </w:t>
            </w:r>
          </w:p>
        </w:tc>
        <w:tc>
          <w:tcPr>
            <w:tcW w:w="1100" w:type="dxa"/>
            <w:tcBorders>
              <w:top w:val="nil"/>
              <w:left w:val="nil"/>
              <w:bottom w:val="single" w:sz="8" w:space="0" w:color="000080"/>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20</w:t>
            </w:r>
          </w:p>
        </w:tc>
        <w:tc>
          <w:tcPr>
            <w:tcW w:w="1380" w:type="dxa"/>
            <w:tcBorders>
              <w:top w:val="nil"/>
              <w:left w:val="nil"/>
              <w:bottom w:val="single" w:sz="8" w:space="0" w:color="000080"/>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18</w:t>
            </w:r>
          </w:p>
        </w:tc>
        <w:tc>
          <w:tcPr>
            <w:tcW w:w="1140" w:type="dxa"/>
            <w:tcBorders>
              <w:top w:val="nil"/>
              <w:left w:val="nil"/>
              <w:bottom w:val="single" w:sz="8" w:space="0" w:color="000080"/>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w:t>
            </w:r>
          </w:p>
        </w:tc>
        <w:tc>
          <w:tcPr>
            <w:tcW w:w="1120" w:type="dxa"/>
            <w:tcBorders>
              <w:top w:val="nil"/>
              <w:left w:val="nil"/>
              <w:bottom w:val="single" w:sz="8" w:space="0" w:color="000080"/>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-4,8%</w:t>
            </w:r>
          </w:p>
        </w:tc>
        <w:tc>
          <w:tcPr>
            <w:tcW w:w="1360" w:type="dxa"/>
            <w:tcBorders>
              <w:top w:val="nil"/>
              <w:left w:val="nil"/>
              <w:bottom w:val="single" w:sz="8" w:space="0" w:color="000080"/>
              <w:right w:val="nil"/>
            </w:tcBorders>
            <w:shd w:val="clear" w:color="auto" w:fill="auto"/>
            <w:noWrap/>
            <w:vAlign w:val="center"/>
            <w:hideMark/>
          </w:tcPr>
          <w:p w:rsidR="00653F0F" w:rsidRPr="007A5A43" w:rsidRDefault="00653F0F">
            <w:pPr>
              <w:jc w:val="right"/>
              <w:rPr>
                <w:rFonts w:ascii="Verdana" w:hAnsi="Verdana" w:cs="Calibri"/>
                <w:color w:val="000000"/>
                <w:sz w:val="20"/>
                <w:szCs w:val="20"/>
              </w:rPr>
            </w:pPr>
            <w:r w:rsidRPr="007A5A43">
              <w:rPr>
                <w:rFonts w:ascii="Verdana" w:hAnsi="Verdana" w:cs="Calibri"/>
                <w:color w:val="000000"/>
                <w:sz w:val="20"/>
                <w:szCs w:val="20"/>
              </w:rPr>
              <w:t>28,6%</w:t>
            </w:r>
          </w:p>
        </w:tc>
        <w:tc>
          <w:tcPr>
            <w:tcW w:w="1200" w:type="dxa"/>
            <w:tcBorders>
              <w:top w:val="nil"/>
              <w:left w:val="nil"/>
              <w:bottom w:val="single" w:sz="8" w:space="0" w:color="000080"/>
              <w:right w:val="nil"/>
            </w:tcBorders>
            <w:shd w:val="clear" w:color="auto" w:fill="auto"/>
            <w:noWrap/>
            <w:vAlign w:val="center"/>
            <w:hideMark/>
          </w:tcPr>
          <w:p w:rsidR="00653F0F" w:rsidRDefault="00653F0F">
            <w:pPr>
              <w:jc w:val="right"/>
              <w:rPr>
                <w:rFonts w:ascii="Verdana" w:hAnsi="Verdana" w:cs="Calibri"/>
                <w:color w:val="000000"/>
                <w:sz w:val="20"/>
                <w:szCs w:val="20"/>
              </w:rPr>
            </w:pPr>
            <w:r w:rsidRPr="007A5A43">
              <w:rPr>
                <w:rFonts w:ascii="Verdana" w:hAnsi="Verdana" w:cs="Calibri"/>
                <w:color w:val="000000"/>
                <w:sz w:val="20"/>
                <w:szCs w:val="20"/>
              </w:rPr>
              <w:t>-71,4%</w:t>
            </w:r>
          </w:p>
        </w:tc>
      </w:tr>
    </w:tbl>
    <w:p w:rsidR="00433902" w:rsidRPr="007A6EA4" w:rsidRDefault="00433902" w:rsidP="00433902">
      <w:pPr>
        <w:spacing w:before="120" w:after="120"/>
        <w:ind w:firstLine="357"/>
        <w:jc w:val="both"/>
        <w:rPr>
          <w:rFonts w:ascii="Verdana" w:hAnsi="Verdana" w:cs="Arial"/>
          <w:sz w:val="20"/>
        </w:rPr>
      </w:pPr>
    </w:p>
    <w:p w:rsidR="00433902" w:rsidRPr="007A6EA4" w:rsidRDefault="00433902" w:rsidP="00433902">
      <w:pPr>
        <w:spacing w:before="120" w:after="120"/>
        <w:ind w:firstLine="357"/>
        <w:jc w:val="both"/>
        <w:rPr>
          <w:rFonts w:ascii="Verdana" w:hAnsi="Verdana" w:cs="Arial"/>
          <w:sz w:val="20"/>
        </w:rPr>
      </w:pPr>
      <w:r w:rsidRPr="007A6EA4">
        <w:rPr>
          <w:rFonts w:ascii="Verdana" w:hAnsi="Verdana" w:cs="Arial"/>
          <w:sz w:val="20"/>
        </w:rPr>
        <w:t xml:space="preserve">Respecto a los </w:t>
      </w:r>
      <w:r w:rsidRPr="007A6EA4">
        <w:rPr>
          <w:rFonts w:ascii="Verdana" w:hAnsi="Verdana" w:cs="Arial"/>
          <w:b/>
          <w:sz w:val="20"/>
        </w:rPr>
        <w:t>señalamientos</w:t>
      </w:r>
      <w:r w:rsidRPr="007A6EA4">
        <w:rPr>
          <w:rFonts w:ascii="Verdana" w:hAnsi="Verdana" w:cs="Arial"/>
          <w:sz w:val="20"/>
        </w:rPr>
        <w:t xml:space="preserve">: </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 xml:space="preserve">En la Sala de lo Penal de la Audiencia Nacional se señalaron  </w:t>
      </w:r>
      <w:r w:rsidR="000915CF" w:rsidRPr="007A5A43">
        <w:rPr>
          <w:rFonts w:ascii="Verdana" w:hAnsi="Verdana" w:cs="Arial"/>
          <w:sz w:val="20"/>
        </w:rPr>
        <w:t>713</w:t>
      </w:r>
      <w:r w:rsidRPr="007A5A43">
        <w:rPr>
          <w:rFonts w:ascii="Verdana" w:hAnsi="Verdana" w:cs="Arial"/>
          <w:sz w:val="20"/>
        </w:rPr>
        <w:t xml:space="preserve"> juicios, de los que se han celebrado </w:t>
      </w:r>
      <w:r w:rsidR="000915CF" w:rsidRPr="007A5A43">
        <w:rPr>
          <w:rFonts w:ascii="Verdana" w:hAnsi="Verdana" w:cs="Arial"/>
          <w:sz w:val="20"/>
        </w:rPr>
        <w:t>668</w:t>
      </w:r>
      <w:r w:rsidRPr="007A5A43">
        <w:rPr>
          <w:rFonts w:ascii="Verdana" w:hAnsi="Verdana" w:cs="Arial"/>
          <w:sz w:val="20"/>
        </w:rPr>
        <w:t>, el 9</w:t>
      </w:r>
      <w:r w:rsidR="000915CF" w:rsidRPr="007A5A43">
        <w:rPr>
          <w:rFonts w:ascii="Verdana" w:hAnsi="Verdana" w:cs="Arial"/>
          <w:sz w:val="20"/>
        </w:rPr>
        <w:t>3</w:t>
      </w:r>
      <w:r w:rsidRPr="007A5A43">
        <w:rPr>
          <w:rFonts w:ascii="Verdana" w:hAnsi="Verdana" w:cs="Arial"/>
          <w:sz w:val="20"/>
        </w:rPr>
        <w:t>,</w:t>
      </w:r>
      <w:r w:rsidR="000915CF" w:rsidRPr="007A5A43">
        <w:rPr>
          <w:rFonts w:ascii="Verdana" w:hAnsi="Verdana" w:cs="Arial"/>
          <w:sz w:val="20"/>
        </w:rPr>
        <w:t>7</w:t>
      </w:r>
      <w:r w:rsidRPr="007A5A43">
        <w:rPr>
          <w:rFonts w:ascii="Verdana" w:hAnsi="Verdana" w:cs="Arial"/>
          <w:sz w:val="20"/>
        </w:rPr>
        <w:t xml:space="preserve">%. En el Juzgado Central de lo Penal se han señalado </w:t>
      </w:r>
      <w:r w:rsidR="000915CF" w:rsidRPr="007A5A43">
        <w:rPr>
          <w:rFonts w:ascii="Verdana" w:hAnsi="Verdana" w:cs="Arial"/>
          <w:sz w:val="20"/>
        </w:rPr>
        <w:t>48</w:t>
      </w:r>
      <w:r w:rsidRPr="007A5A43">
        <w:rPr>
          <w:rFonts w:ascii="Verdana" w:hAnsi="Verdana" w:cs="Arial"/>
          <w:sz w:val="20"/>
        </w:rPr>
        <w:t xml:space="preserve"> juicios, </w:t>
      </w:r>
      <w:r w:rsidR="000915CF" w:rsidRPr="007A5A43">
        <w:rPr>
          <w:rFonts w:ascii="Verdana" w:hAnsi="Verdana" w:cs="Arial"/>
          <w:sz w:val="20"/>
        </w:rPr>
        <w:t>y</w:t>
      </w:r>
      <w:r w:rsidRPr="007A5A43">
        <w:rPr>
          <w:rFonts w:ascii="Verdana" w:hAnsi="Verdana" w:cs="Arial"/>
          <w:sz w:val="20"/>
        </w:rPr>
        <w:t xml:space="preserve"> celebrado </w:t>
      </w:r>
      <w:r w:rsidR="000915CF" w:rsidRPr="007A5A43">
        <w:rPr>
          <w:rFonts w:ascii="Verdana" w:hAnsi="Verdana" w:cs="Arial"/>
          <w:sz w:val="20"/>
        </w:rPr>
        <w:t>42</w:t>
      </w:r>
      <w:r w:rsidRPr="007A5A43">
        <w:rPr>
          <w:rFonts w:ascii="Verdana" w:hAnsi="Verdana" w:cs="Arial"/>
          <w:sz w:val="20"/>
        </w:rPr>
        <w:t>.</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En las audiencias provinciales se señalaron 1</w:t>
      </w:r>
      <w:r w:rsidR="000915CF" w:rsidRPr="007A5A43">
        <w:rPr>
          <w:rFonts w:ascii="Verdana" w:hAnsi="Verdana" w:cs="Arial"/>
          <w:sz w:val="20"/>
        </w:rPr>
        <w:t>3</w:t>
      </w:r>
      <w:r w:rsidRPr="007A5A43">
        <w:rPr>
          <w:rFonts w:ascii="Verdana" w:hAnsi="Verdana" w:cs="Arial"/>
          <w:sz w:val="20"/>
        </w:rPr>
        <w:t>.</w:t>
      </w:r>
      <w:r w:rsidR="000915CF" w:rsidRPr="007A5A43">
        <w:rPr>
          <w:rFonts w:ascii="Verdana" w:hAnsi="Verdana" w:cs="Arial"/>
          <w:sz w:val="20"/>
        </w:rPr>
        <w:t>687</w:t>
      </w:r>
      <w:r w:rsidRPr="007A5A43">
        <w:rPr>
          <w:rFonts w:ascii="Verdana" w:hAnsi="Verdana" w:cs="Arial"/>
          <w:sz w:val="20"/>
        </w:rPr>
        <w:t xml:space="preserve"> juicios penales, de los que se ha celebrado un 8</w:t>
      </w:r>
      <w:r w:rsidR="000915CF" w:rsidRPr="007A5A43">
        <w:rPr>
          <w:rFonts w:ascii="Verdana" w:hAnsi="Verdana" w:cs="Arial"/>
          <w:sz w:val="20"/>
        </w:rPr>
        <w:t>2,5</w:t>
      </w:r>
      <w:r w:rsidRPr="007A5A43">
        <w:rPr>
          <w:rFonts w:ascii="Verdana" w:hAnsi="Verdana" w:cs="Arial"/>
          <w:sz w:val="20"/>
        </w:rPr>
        <w:t>%; destacando Navarra, con el 9</w:t>
      </w:r>
      <w:r w:rsidR="000915CF" w:rsidRPr="007A5A43">
        <w:rPr>
          <w:rFonts w:ascii="Verdana" w:hAnsi="Verdana" w:cs="Arial"/>
          <w:sz w:val="20"/>
        </w:rPr>
        <w:t>1</w:t>
      </w:r>
      <w:r w:rsidRPr="007A5A43">
        <w:rPr>
          <w:rFonts w:ascii="Verdana" w:hAnsi="Verdana" w:cs="Arial"/>
          <w:sz w:val="20"/>
        </w:rPr>
        <w:t>,</w:t>
      </w:r>
      <w:r w:rsidR="000915CF" w:rsidRPr="007A5A43">
        <w:rPr>
          <w:rFonts w:ascii="Verdana" w:hAnsi="Verdana" w:cs="Arial"/>
          <w:sz w:val="20"/>
        </w:rPr>
        <w:t>4</w:t>
      </w:r>
      <w:r w:rsidRPr="007A5A43">
        <w:rPr>
          <w:rFonts w:ascii="Verdana" w:hAnsi="Verdana" w:cs="Arial"/>
          <w:sz w:val="20"/>
        </w:rPr>
        <w:t>%;</w:t>
      </w:r>
      <w:r w:rsidR="000915CF" w:rsidRPr="007A5A43">
        <w:rPr>
          <w:rFonts w:ascii="Verdana" w:hAnsi="Verdana" w:cs="Arial"/>
          <w:sz w:val="20"/>
        </w:rPr>
        <w:t xml:space="preserve"> Canarias, 89,4%; y Asturias, 89,2%</w:t>
      </w:r>
      <w:r w:rsidRPr="007A5A43">
        <w:rPr>
          <w:rFonts w:ascii="Verdana" w:hAnsi="Verdana" w:cs="Arial"/>
          <w:sz w:val="20"/>
        </w:rPr>
        <w:t>. El menor porcentaje de celebrados se ha dado en</w:t>
      </w:r>
      <w:r w:rsidR="008750F5" w:rsidRPr="007A5A43">
        <w:rPr>
          <w:rFonts w:ascii="Verdana" w:hAnsi="Verdana" w:cs="Arial"/>
          <w:sz w:val="20"/>
        </w:rPr>
        <w:t xml:space="preserve"> Castilla la Mancha, 73,2%</w:t>
      </w:r>
      <w:r w:rsidRPr="007A5A43">
        <w:rPr>
          <w:rFonts w:ascii="Verdana" w:hAnsi="Verdana" w:cs="Arial"/>
          <w:sz w:val="20"/>
        </w:rPr>
        <w:t>.</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lastRenderedPageBreak/>
        <w:t>En los juzgados de lo penal  se han señalado  21</w:t>
      </w:r>
      <w:r w:rsidR="00744B74" w:rsidRPr="007A5A43">
        <w:rPr>
          <w:rFonts w:ascii="Verdana" w:hAnsi="Verdana" w:cs="Arial"/>
          <w:sz w:val="20"/>
        </w:rPr>
        <w:t>7</w:t>
      </w:r>
      <w:r w:rsidRPr="007A5A43">
        <w:rPr>
          <w:rFonts w:ascii="Verdana" w:hAnsi="Verdana" w:cs="Arial"/>
          <w:sz w:val="20"/>
        </w:rPr>
        <w:t>.</w:t>
      </w:r>
      <w:r w:rsidR="00744B74" w:rsidRPr="007A5A43">
        <w:rPr>
          <w:rFonts w:ascii="Verdana" w:hAnsi="Verdana" w:cs="Arial"/>
          <w:sz w:val="20"/>
        </w:rPr>
        <w:t>467</w:t>
      </w:r>
      <w:r w:rsidRPr="007A5A43">
        <w:rPr>
          <w:rFonts w:ascii="Verdana" w:hAnsi="Verdana" w:cs="Arial"/>
          <w:sz w:val="20"/>
        </w:rPr>
        <w:t xml:space="preserve"> juicios, </w:t>
      </w:r>
      <w:r w:rsidR="00744B74" w:rsidRPr="007A5A43">
        <w:rPr>
          <w:rFonts w:ascii="Verdana" w:hAnsi="Verdana" w:cs="Arial"/>
          <w:sz w:val="20"/>
        </w:rPr>
        <w:t>36</w:t>
      </w:r>
      <w:r w:rsidRPr="007A5A43">
        <w:rPr>
          <w:rFonts w:ascii="Verdana" w:hAnsi="Verdana" w:cs="Arial"/>
          <w:sz w:val="20"/>
        </w:rPr>
        <w:t>.</w:t>
      </w:r>
      <w:r w:rsidR="00744B74" w:rsidRPr="007A5A43">
        <w:rPr>
          <w:rFonts w:ascii="Verdana" w:hAnsi="Verdana" w:cs="Arial"/>
          <w:sz w:val="20"/>
        </w:rPr>
        <w:t>471</w:t>
      </w:r>
      <w:r w:rsidRPr="007A5A43">
        <w:rPr>
          <w:rFonts w:ascii="Verdana" w:hAnsi="Verdana" w:cs="Arial"/>
          <w:sz w:val="20"/>
        </w:rPr>
        <w:t xml:space="preserve"> rápidos.  El porcentaje de celebrados para el total de juicios ha sido del 7</w:t>
      </w:r>
      <w:r w:rsidR="00744B74" w:rsidRPr="007A5A43">
        <w:rPr>
          <w:rFonts w:ascii="Verdana" w:hAnsi="Verdana" w:cs="Arial"/>
          <w:sz w:val="20"/>
        </w:rPr>
        <w:t>4</w:t>
      </w:r>
      <w:r w:rsidRPr="007A5A43">
        <w:rPr>
          <w:rFonts w:ascii="Verdana" w:hAnsi="Verdana" w:cs="Arial"/>
          <w:sz w:val="20"/>
        </w:rPr>
        <w:t xml:space="preserve">,6%, con máximo en Navarra, </w:t>
      </w:r>
      <w:r w:rsidR="00744B74" w:rsidRPr="007A5A43">
        <w:rPr>
          <w:rFonts w:ascii="Verdana" w:hAnsi="Verdana" w:cs="Arial"/>
          <w:sz w:val="20"/>
        </w:rPr>
        <w:t>87</w:t>
      </w:r>
      <w:r w:rsidRPr="007A5A43">
        <w:rPr>
          <w:rFonts w:ascii="Verdana" w:hAnsi="Verdana" w:cs="Arial"/>
          <w:sz w:val="20"/>
        </w:rPr>
        <w:t>,</w:t>
      </w:r>
      <w:r w:rsidR="00744B74" w:rsidRPr="007A5A43">
        <w:rPr>
          <w:rFonts w:ascii="Verdana" w:hAnsi="Verdana" w:cs="Arial"/>
          <w:sz w:val="20"/>
        </w:rPr>
        <w:t>7</w:t>
      </w:r>
      <w:r w:rsidRPr="007A5A43">
        <w:rPr>
          <w:rFonts w:ascii="Verdana" w:hAnsi="Verdana" w:cs="Arial"/>
          <w:sz w:val="20"/>
        </w:rPr>
        <w:t xml:space="preserve">%, seguida de </w:t>
      </w:r>
      <w:r w:rsidR="00744B74" w:rsidRPr="007A5A43">
        <w:rPr>
          <w:rFonts w:ascii="Verdana" w:hAnsi="Verdana" w:cs="Arial"/>
          <w:sz w:val="20"/>
        </w:rPr>
        <w:t>Cantabria, 87,1%; y Asturias, 85,4%.</w:t>
      </w:r>
      <w:r w:rsidRPr="007A5A43">
        <w:rPr>
          <w:rFonts w:ascii="Verdana" w:hAnsi="Verdana" w:cs="Arial"/>
          <w:sz w:val="20"/>
        </w:rPr>
        <w:t xml:space="preserve"> </w:t>
      </w:r>
      <w:r w:rsidR="00744B74" w:rsidRPr="007A5A43">
        <w:rPr>
          <w:rFonts w:ascii="Verdana" w:hAnsi="Verdana" w:cs="Arial"/>
          <w:sz w:val="20"/>
        </w:rPr>
        <w:t>El menor porcentaje de celebrados se ha dado en Castilla la Mancha, 67,9%.</w:t>
      </w:r>
      <w:r w:rsidRPr="007A5A43">
        <w:rPr>
          <w:rFonts w:ascii="Verdana" w:hAnsi="Verdana" w:cs="Arial"/>
          <w:sz w:val="20"/>
        </w:rPr>
        <w:t xml:space="preserve"> Para los juicios rápidos, el porcentaje de celebrados ha sido el </w:t>
      </w:r>
      <w:r w:rsidR="00744B74" w:rsidRPr="007A5A43">
        <w:rPr>
          <w:rFonts w:ascii="Verdana" w:hAnsi="Verdana" w:cs="Arial"/>
          <w:sz w:val="20"/>
        </w:rPr>
        <w:t>79</w:t>
      </w:r>
      <w:r w:rsidRPr="007A5A43">
        <w:rPr>
          <w:rFonts w:ascii="Verdana" w:hAnsi="Verdana" w:cs="Arial"/>
          <w:sz w:val="20"/>
        </w:rPr>
        <w:t>,</w:t>
      </w:r>
      <w:r w:rsidR="00744B74" w:rsidRPr="007A5A43">
        <w:rPr>
          <w:rFonts w:ascii="Verdana" w:hAnsi="Verdana" w:cs="Arial"/>
          <w:sz w:val="20"/>
        </w:rPr>
        <w:t>6</w:t>
      </w:r>
      <w:r w:rsidRPr="007A5A43">
        <w:rPr>
          <w:rFonts w:ascii="Verdana" w:hAnsi="Verdana" w:cs="Arial"/>
          <w:sz w:val="20"/>
        </w:rPr>
        <w:t xml:space="preserve">%,  con los mayores valores </w:t>
      </w:r>
      <w:r w:rsidR="00744B74" w:rsidRPr="007A5A43">
        <w:rPr>
          <w:rFonts w:ascii="Verdana" w:hAnsi="Verdana" w:cs="Arial"/>
          <w:sz w:val="20"/>
        </w:rPr>
        <w:t>en Extremadura, 95</w:t>
      </w:r>
      <w:r w:rsidRPr="007A5A43">
        <w:rPr>
          <w:rFonts w:ascii="Verdana" w:hAnsi="Verdana" w:cs="Arial"/>
          <w:sz w:val="20"/>
        </w:rPr>
        <w:t>,</w:t>
      </w:r>
      <w:r w:rsidR="00744B74" w:rsidRPr="007A5A43">
        <w:rPr>
          <w:rFonts w:ascii="Verdana" w:hAnsi="Verdana" w:cs="Arial"/>
          <w:sz w:val="20"/>
        </w:rPr>
        <w:t>6</w:t>
      </w:r>
      <w:r w:rsidRPr="007A5A43">
        <w:rPr>
          <w:rFonts w:ascii="Verdana" w:hAnsi="Verdana" w:cs="Arial"/>
          <w:sz w:val="20"/>
        </w:rPr>
        <w:t xml:space="preserve">%; </w:t>
      </w:r>
      <w:r w:rsidR="00744B74" w:rsidRPr="007A5A43">
        <w:rPr>
          <w:rFonts w:ascii="Verdana" w:hAnsi="Verdana" w:cs="Arial"/>
          <w:sz w:val="20"/>
        </w:rPr>
        <w:t xml:space="preserve">Asturias, 88,2%; Aragón, 87,2%; y Castilla y León, 87,1%. </w:t>
      </w:r>
      <w:r w:rsidRPr="007A5A43">
        <w:rPr>
          <w:rFonts w:ascii="Verdana" w:hAnsi="Verdana" w:cs="Arial"/>
          <w:sz w:val="20"/>
        </w:rPr>
        <w:t>El mínimo se ha dado en País Vasco con el 7</w:t>
      </w:r>
      <w:r w:rsidR="00744B74" w:rsidRPr="007A5A43">
        <w:rPr>
          <w:rFonts w:ascii="Verdana" w:hAnsi="Verdana" w:cs="Arial"/>
          <w:sz w:val="20"/>
        </w:rPr>
        <w:t>4</w:t>
      </w:r>
      <w:r w:rsidRPr="007A5A43">
        <w:rPr>
          <w:rFonts w:ascii="Verdana" w:hAnsi="Verdana" w:cs="Arial"/>
          <w:sz w:val="20"/>
        </w:rPr>
        <w:t>,</w:t>
      </w:r>
      <w:r w:rsidR="00744B74" w:rsidRPr="007A5A43">
        <w:rPr>
          <w:rFonts w:ascii="Verdana" w:hAnsi="Verdana" w:cs="Arial"/>
          <w:sz w:val="20"/>
        </w:rPr>
        <w:t>1</w:t>
      </w:r>
      <w:r w:rsidRPr="007A5A43">
        <w:rPr>
          <w:rFonts w:ascii="Verdana" w:hAnsi="Verdana" w:cs="Arial"/>
          <w:sz w:val="20"/>
        </w:rPr>
        <w:t xml:space="preserve">%.  </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En los juzgados de menores  se han señalado 2</w:t>
      </w:r>
      <w:r w:rsidR="008750F5" w:rsidRPr="007A5A43">
        <w:rPr>
          <w:rFonts w:ascii="Verdana" w:hAnsi="Verdana" w:cs="Arial"/>
          <w:sz w:val="20"/>
        </w:rPr>
        <w:t>2</w:t>
      </w:r>
      <w:r w:rsidRPr="007A5A43">
        <w:rPr>
          <w:rFonts w:ascii="Verdana" w:hAnsi="Verdana" w:cs="Arial"/>
          <w:sz w:val="20"/>
        </w:rPr>
        <w:t>.</w:t>
      </w:r>
      <w:r w:rsidR="008750F5" w:rsidRPr="007A5A43">
        <w:rPr>
          <w:rFonts w:ascii="Verdana" w:hAnsi="Verdana" w:cs="Arial"/>
          <w:sz w:val="20"/>
        </w:rPr>
        <w:t>356</w:t>
      </w:r>
      <w:r w:rsidRPr="007A5A43">
        <w:rPr>
          <w:rFonts w:ascii="Verdana" w:hAnsi="Verdana" w:cs="Arial"/>
          <w:sz w:val="20"/>
        </w:rPr>
        <w:t xml:space="preserve"> juicios penales, </w:t>
      </w:r>
      <w:r w:rsidR="008750F5" w:rsidRPr="007A5A43">
        <w:rPr>
          <w:rFonts w:ascii="Verdana" w:hAnsi="Verdana" w:cs="Arial"/>
          <w:sz w:val="20"/>
        </w:rPr>
        <w:t xml:space="preserve">habiéndose celebrado </w:t>
      </w:r>
      <w:r w:rsidRPr="007A5A43">
        <w:rPr>
          <w:rFonts w:ascii="Verdana" w:hAnsi="Verdana" w:cs="Arial"/>
          <w:sz w:val="20"/>
        </w:rPr>
        <w:t>el 7</w:t>
      </w:r>
      <w:r w:rsidR="008750F5" w:rsidRPr="007A5A43">
        <w:rPr>
          <w:rFonts w:ascii="Verdana" w:hAnsi="Verdana" w:cs="Arial"/>
          <w:sz w:val="20"/>
        </w:rPr>
        <w:t>8,7</w:t>
      </w:r>
      <w:r w:rsidRPr="007A5A43">
        <w:rPr>
          <w:rFonts w:ascii="Verdana" w:hAnsi="Verdana" w:cs="Arial"/>
          <w:sz w:val="20"/>
        </w:rPr>
        <w:t>%, alcanzándose el 9</w:t>
      </w:r>
      <w:r w:rsidR="008750F5" w:rsidRPr="007A5A43">
        <w:rPr>
          <w:rFonts w:ascii="Verdana" w:hAnsi="Verdana" w:cs="Arial"/>
          <w:sz w:val="20"/>
        </w:rPr>
        <w:t>4,4</w:t>
      </w:r>
      <w:r w:rsidRPr="007A5A43">
        <w:rPr>
          <w:rFonts w:ascii="Verdana" w:hAnsi="Verdana" w:cs="Arial"/>
          <w:sz w:val="20"/>
        </w:rPr>
        <w:t xml:space="preserve">% en </w:t>
      </w:r>
      <w:r w:rsidR="008750F5" w:rsidRPr="007A5A43">
        <w:rPr>
          <w:rFonts w:ascii="Verdana" w:hAnsi="Verdana" w:cs="Arial"/>
          <w:sz w:val="20"/>
        </w:rPr>
        <w:t>La Rioja</w:t>
      </w:r>
      <w:r w:rsidRPr="007A5A43">
        <w:rPr>
          <w:rFonts w:ascii="Verdana" w:hAnsi="Verdana" w:cs="Arial"/>
          <w:sz w:val="20"/>
        </w:rPr>
        <w:t xml:space="preserve">, y </w:t>
      </w:r>
      <w:r w:rsidR="008750F5" w:rsidRPr="007A5A43">
        <w:rPr>
          <w:rFonts w:ascii="Verdana" w:hAnsi="Verdana" w:cs="Arial"/>
          <w:sz w:val="20"/>
        </w:rPr>
        <w:t>el 91,3% en Navarra</w:t>
      </w:r>
      <w:r w:rsidRPr="007A5A43">
        <w:rPr>
          <w:rFonts w:ascii="Verdana" w:hAnsi="Verdana" w:cs="Arial"/>
          <w:sz w:val="20"/>
        </w:rPr>
        <w:t>.</w:t>
      </w:r>
    </w:p>
    <w:p w:rsidR="00433902" w:rsidRPr="00C9757B" w:rsidRDefault="00433902" w:rsidP="00433902">
      <w:pPr>
        <w:spacing w:before="120" w:after="120"/>
        <w:ind w:firstLine="357"/>
        <w:jc w:val="both"/>
        <w:rPr>
          <w:rFonts w:ascii="Verdana" w:hAnsi="Verdana" w:cs="Arial"/>
          <w:sz w:val="20"/>
        </w:rPr>
      </w:pPr>
      <w:r w:rsidRPr="007A5A43">
        <w:rPr>
          <w:rFonts w:ascii="Verdana" w:hAnsi="Verdana" w:cs="Arial"/>
          <w:sz w:val="20"/>
        </w:rPr>
        <w:t>En los juzgados de violencia contra la mujer, el número de señalamientos penales ha sido de 9.</w:t>
      </w:r>
      <w:r w:rsidR="00B71399" w:rsidRPr="007A5A43">
        <w:rPr>
          <w:rFonts w:ascii="Verdana" w:hAnsi="Verdana" w:cs="Arial"/>
          <w:sz w:val="20"/>
        </w:rPr>
        <w:t>308</w:t>
      </w:r>
      <w:r w:rsidRPr="007A5A43">
        <w:rPr>
          <w:rFonts w:ascii="Verdana" w:hAnsi="Verdana" w:cs="Arial"/>
          <w:sz w:val="20"/>
        </w:rPr>
        <w:t xml:space="preserve">, de ellos </w:t>
      </w:r>
      <w:r w:rsidR="00B71399" w:rsidRPr="007A5A43">
        <w:rPr>
          <w:rFonts w:ascii="Verdana" w:hAnsi="Verdana" w:cs="Arial"/>
          <w:sz w:val="20"/>
        </w:rPr>
        <w:t>48</w:t>
      </w:r>
      <w:r w:rsidRPr="007A5A43">
        <w:rPr>
          <w:rFonts w:ascii="Verdana" w:hAnsi="Verdana" w:cs="Arial"/>
          <w:sz w:val="20"/>
        </w:rPr>
        <w:t xml:space="preserve"> rápidos de faltas, </w:t>
      </w:r>
      <w:r w:rsidR="00B71399" w:rsidRPr="007A5A43">
        <w:rPr>
          <w:rFonts w:ascii="Verdana" w:hAnsi="Verdana" w:cs="Arial"/>
          <w:sz w:val="20"/>
        </w:rPr>
        <w:t>que se han celebrado todos</w:t>
      </w:r>
      <w:r w:rsidRPr="007A5A43">
        <w:rPr>
          <w:rFonts w:ascii="Verdana" w:hAnsi="Verdana" w:cs="Arial"/>
          <w:sz w:val="20"/>
        </w:rPr>
        <w:t>.  Del resto d</w:t>
      </w:r>
      <w:r w:rsidR="001975C0" w:rsidRPr="007A5A43">
        <w:rPr>
          <w:rFonts w:ascii="Verdana" w:hAnsi="Verdana" w:cs="Arial"/>
          <w:sz w:val="20"/>
        </w:rPr>
        <w:t xml:space="preserve">e juicios de faltas, </w:t>
      </w:r>
      <w:r w:rsidR="00B71399" w:rsidRPr="007A5A43">
        <w:rPr>
          <w:rFonts w:ascii="Verdana" w:hAnsi="Verdana" w:cs="Arial"/>
          <w:sz w:val="20"/>
        </w:rPr>
        <w:t>83</w:t>
      </w:r>
      <w:r w:rsidR="001975C0" w:rsidRPr="007A5A43">
        <w:rPr>
          <w:rFonts w:ascii="Verdana" w:hAnsi="Verdana" w:cs="Arial"/>
          <w:sz w:val="20"/>
        </w:rPr>
        <w:t>, se ha</w:t>
      </w:r>
      <w:r w:rsidR="00B71399" w:rsidRPr="007A5A43">
        <w:rPr>
          <w:rFonts w:ascii="Verdana" w:hAnsi="Verdana" w:cs="Arial"/>
          <w:sz w:val="20"/>
        </w:rPr>
        <w:t>n</w:t>
      </w:r>
      <w:r w:rsidRPr="007A5A43">
        <w:rPr>
          <w:rFonts w:ascii="Verdana" w:hAnsi="Verdana" w:cs="Arial"/>
          <w:sz w:val="20"/>
        </w:rPr>
        <w:t xml:space="preserve"> celebrado </w:t>
      </w:r>
      <w:r w:rsidR="00B71399" w:rsidRPr="007A5A43">
        <w:rPr>
          <w:rFonts w:ascii="Verdana" w:hAnsi="Verdana" w:cs="Arial"/>
          <w:sz w:val="20"/>
        </w:rPr>
        <w:t>78.</w:t>
      </w:r>
      <w:r w:rsidRPr="007A5A43">
        <w:rPr>
          <w:rFonts w:ascii="Verdana" w:hAnsi="Verdana" w:cs="Arial"/>
          <w:sz w:val="20"/>
        </w:rPr>
        <w:t xml:space="preserve"> </w:t>
      </w:r>
      <w:r w:rsidR="00B71399" w:rsidRPr="007A5A43">
        <w:rPr>
          <w:rFonts w:ascii="Verdana" w:hAnsi="Verdana" w:cs="Arial"/>
          <w:sz w:val="20"/>
        </w:rPr>
        <w:t xml:space="preserve">Se han señalado </w:t>
      </w:r>
      <w:r w:rsidRPr="007A5A43">
        <w:rPr>
          <w:rFonts w:ascii="Verdana" w:hAnsi="Verdana" w:cs="Arial"/>
          <w:sz w:val="20"/>
        </w:rPr>
        <w:t>3.5</w:t>
      </w:r>
      <w:r w:rsidR="00B71399" w:rsidRPr="007A5A43">
        <w:rPr>
          <w:rFonts w:ascii="Verdana" w:hAnsi="Verdana" w:cs="Arial"/>
          <w:sz w:val="20"/>
        </w:rPr>
        <w:t>02</w:t>
      </w:r>
      <w:r w:rsidRPr="007A5A43">
        <w:rPr>
          <w:rFonts w:ascii="Verdana" w:hAnsi="Verdana" w:cs="Arial"/>
          <w:sz w:val="20"/>
        </w:rPr>
        <w:t xml:space="preserve"> juicios por delitos leves de enjuiciamiento inmediato, con un 9</w:t>
      </w:r>
      <w:r w:rsidR="00B71399" w:rsidRPr="007A5A43">
        <w:rPr>
          <w:rFonts w:ascii="Verdana" w:hAnsi="Verdana" w:cs="Arial"/>
          <w:sz w:val="20"/>
        </w:rPr>
        <w:t>6</w:t>
      </w:r>
      <w:r w:rsidRPr="007A5A43">
        <w:rPr>
          <w:rFonts w:ascii="Verdana" w:hAnsi="Verdana" w:cs="Arial"/>
          <w:sz w:val="20"/>
        </w:rPr>
        <w:t>,3% de celebrados; y 5.</w:t>
      </w:r>
      <w:r w:rsidR="00B71399" w:rsidRPr="007A5A43">
        <w:rPr>
          <w:rFonts w:ascii="Verdana" w:hAnsi="Verdana" w:cs="Arial"/>
          <w:sz w:val="20"/>
        </w:rPr>
        <w:t>650</w:t>
      </w:r>
      <w:r w:rsidRPr="007A5A43">
        <w:rPr>
          <w:rFonts w:ascii="Verdana" w:hAnsi="Verdana" w:cs="Arial"/>
          <w:sz w:val="20"/>
        </w:rPr>
        <w:t xml:space="preserve"> del resto de juicios de delitos leves, con el 8</w:t>
      </w:r>
      <w:r w:rsidR="00B71399" w:rsidRPr="007A5A43">
        <w:rPr>
          <w:rFonts w:ascii="Verdana" w:hAnsi="Verdana" w:cs="Arial"/>
          <w:sz w:val="20"/>
        </w:rPr>
        <w:t>6</w:t>
      </w:r>
      <w:r w:rsidRPr="007A5A43">
        <w:rPr>
          <w:rFonts w:ascii="Verdana" w:hAnsi="Verdana" w:cs="Arial"/>
          <w:sz w:val="20"/>
        </w:rPr>
        <w:t>,</w:t>
      </w:r>
      <w:r w:rsidR="00B71399" w:rsidRPr="007A5A43">
        <w:rPr>
          <w:rFonts w:ascii="Verdana" w:hAnsi="Verdana" w:cs="Arial"/>
          <w:sz w:val="20"/>
        </w:rPr>
        <w:t>5</w:t>
      </w:r>
      <w:r w:rsidRPr="007A5A43">
        <w:rPr>
          <w:rFonts w:ascii="Verdana" w:hAnsi="Verdana" w:cs="Arial"/>
          <w:sz w:val="20"/>
        </w:rPr>
        <w:t>% de celebrados.</w:t>
      </w:r>
    </w:p>
    <w:p w:rsidR="00433902" w:rsidRPr="007A5A43" w:rsidRDefault="00433902" w:rsidP="00433902">
      <w:pPr>
        <w:spacing w:before="120" w:after="120"/>
        <w:ind w:firstLine="357"/>
        <w:jc w:val="both"/>
        <w:rPr>
          <w:rFonts w:ascii="Verdana" w:hAnsi="Verdana" w:cs="Arial"/>
          <w:sz w:val="20"/>
        </w:rPr>
      </w:pPr>
      <w:r w:rsidRPr="007A5A43">
        <w:rPr>
          <w:rFonts w:ascii="Verdana" w:hAnsi="Verdana" w:cs="Arial"/>
          <w:sz w:val="20"/>
        </w:rPr>
        <w:t xml:space="preserve">En los juzgados de instrucción y primera instancia e instrucción, el total de señalamientos de juicios de faltas de enjuiciamiento rápido ha sido de </w:t>
      </w:r>
      <w:r w:rsidR="00AD6AD7" w:rsidRPr="007A5A43">
        <w:rPr>
          <w:rFonts w:ascii="Verdana" w:hAnsi="Verdana" w:cs="Arial"/>
          <w:sz w:val="20"/>
        </w:rPr>
        <w:t>224</w:t>
      </w:r>
      <w:r w:rsidRPr="007A5A43">
        <w:rPr>
          <w:rFonts w:ascii="Verdana" w:hAnsi="Verdana" w:cs="Arial"/>
          <w:sz w:val="20"/>
        </w:rPr>
        <w:t>, de los que se ha</w:t>
      </w:r>
      <w:r w:rsidR="00AD6AD7" w:rsidRPr="007A5A43">
        <w:rPr>
          <w:rFonts w:ascii="Verdana" w:hAnsi="Verdana" w:cs="Arial"/>
          <w:sz w:val="20"/>
        </w:rPr>
        <w:t>n</w:t>
      </w:r>
      <w:r w:rsidRPr="007A5A43">
        <w:rPr>
          <w:rFonts w:ascii="Verdana" w:hAnsi="Verdana" w:cs="Arial"/>
          <w:sz w:val="20"/>
        </w:rPr>
        <w:t xml:space="preserve"> celebrado </w:t>
      </w:r>
      <w:r w:rsidR="00AD6AD7" w:rsidRPr="007A5A43">
        <w:rPr>
          <w:rFonts w:ascii="Verdana" w:hAnsi="Verdana" w:cs="Arial"/>
          <w:sz w:val="20"/>
        </w:rPr>
        <w:t>186</w:t>
      </w:r>
      <w:r w:rsidRPr="007A5A43">
        <w:rPr>
          <w:rFonts w:ascii="Verdana" w:hAnsi="Verdana" w:cs="Arial"/>
          <w:sz w:val="20"/>
        </w:rPr>
        <w:t xml:space="preserve">. Del resto de  juicios de faltas señalados, </w:t>
      </w:r>
      <w:r w:rsidR="00AD6AD7" w:rsidRPr="007A5A43">
        <w:rPr>
          <w:rFonts w:ascii="Verdana" w:hAnsi="Verdana" w:cs="Arial"/>
          <w:sz w:val="20"/>
        </w:rPr>
        <w:t>1</w:t>
      </w:r>
      <w:r w:rsidRPr="007A5A43">
        <w:rPr>
          <w:rFonts w:ascii="Verdana" w:hAnsi="Verdana" w:cs="Arial"/>
          <w:sz w:val="20"/>
        </w:rPr>
        <w:t>.</w:t>
      </w:r>
      <w:r w:rsidR="00AD6AD7" w:rsidRPr="007A5A43">
        <w:rPr>
          <w:rFonts w:ascii="Verdana" w:hAnsi="Verdana" w:cs="Arial"/>
          <w:sz w:val="20"/>
        </w:rPr>
        <w:t>101</w:t>
      </w:r>
      <w:r w:rsidRPr="007A5A43">
        <w:rPr>
          <w:rFonts w:ascii="Verdana" w:hAnsi="Verdana" w:cs="Arial"/>
          <w:sz w:val="20"/>
        </w:rPr>
        <w:t>, se ha celebrado el 7</w:t>
      </w:r>
      <w:r w:rsidR="00AD6AD7" w:rsidRPr="007A5A43">
        <w:rPr>
          <w:rFonts w:ascii="Verdana" w:hAnsi="Verdana" w:cs="Arial"/>
          <w:sz w:val="20"/>
        </w:rPr>
        <w:t>2</w:t>
      </w:r>
      <w:r w:rsidRPr="007A5A43">
        <w:rPr>
          <w:rFonts w:ascii="Verdana" w:hAnsi="Verdana" w:cs="Arial"/>
          <w:sz w:val="20"/>
        </w:rPr>
        <w:t>,9%.  Se han señalado 8</w:t>
      </w:r>
      <w:r w:rsidR="00AD6AD7" w:rsidRPr="007A5A43">
        <w:rPr>
          <w:rFonts w:ascii="Verdana" w:hAnsi="Verdana" w:cs="Arial"/>
          <w:sz w:val="20"/>
        </w:rPr>
        <w:t>2</w:t>
      </w:r>
      <w:r w:rsidRPr="007A5A43">
        <w:rPr>
          <w:rFonts w:ascii="Verdana" w:hAnsi="Verdana" w:cs="Arial"/>
          <w:sz w:val="20"/>
        </w:rPr>
        <w:t>.</w:t>
      </w:r>
      <w:r w:rsidR="00AD6AD7" w:rsidRPr="007A5A43">
        <w:rPr>
          <w:rFonts w:ascii="Verdana" w:hAnsi="Verdana" w:cs="Arial"/>
          <w:sz w:val="20"/>
        </w:rPr>
        <w:t>750</w:t>
      </w:r>
      <w:r w:rsidRPr="007A5A43">
        <w:rPr>
          <w:rFonts w:ascii="Verdana" w:hAnsi="Verdana" w:cs="Arial"/>
          <w:sz w:val="20"/>
        </w:rPr>
        <w:t xml:space="preserve"> juicios de delitos leves de enjuiciamiento inmediato, de los que se ha celebrado el 8</w:t>
      </w:r>
      <w:r w:rsidR="00AD6AD7" w:rsidRPr="007A5A43">
        <w:rPr>
          <w:rFonts w:ascii="Verdana" w:hAnsi="Verdana" w:cs="Arial"/>
          <w:sz w:val="20"/>
        </w:rPr>
        <w:t>9</w:t>
      </w:r>
      <w:r w:rsidRPr="007A5A43">
        <w:rPr>
          <w:rFonts w:ascii="Verdana" w:hAnsi="Verdana" w:cs="Arial"/>
          <w:sz w:val="20"/>
        </w:rPr>
        <w:t>,</w:t>
      </w:r>
      <w:r w:rsidR="00AD6AD7" w:rsidRPr="007A5A43">
        <w:rPr>
          <w:rFonts w:ascii="Verdana" w:hAnsi="Verdana" w:cs="Arial"/>
          <w:sz w:val="20"/>
        </w:rPr>
        <w:t>1</w:t>
      </w:r>
      <w:r w:rsidRPr="007A5A43">
        <w:rPr>
          <w:rFonts w:ascii="Verdana" w:hAnsi="Verdana" w:cs="Arial"/>
          <w:sz w:val="20"/>
        </w:rPr>
        <w:t xml:space="preserve">%; de los restantes </w:t>
      </w:r>
      <w:r w:rsidR="00AD6AD7" w:rsidRPr="007A5A43">
        <w:rPr>
          <w:rFonts w:ascii="Verdana" w:hAnsi="Verdana" w:cs="Arial"/>
          <w:sz w:val="20"/>
        </w:rPr>
        <w:t>214</w:t>
      </w:r>
      <w:r w:rsidRPr="007A5A43">
        <w:rPr>
          <w:rFonts w:ascii="Verdana" w:hAnsi="Verdana" w:cs="Arial"/>
          <w:sz w:val="20"/>
        </w:rPr>
        <w:t>.</w:t>
      </w:r>
      <w:r w:rsidR="00AD6AD7" w:rsidRPr="007A5A43">
        <w:rPr>
          <w:rFonts w:ascii="Verdana" w:hAnsi="Verdana" w:cs="Arial"/>
          <w:sz w:val="20"/>
        </w:rPr>
        <w:t>665</w:t>
      </w:r>
      <w:r w:rsidRPr="007A5A43">
        <w:rPr>
          <w:rFonts w:ascii="Verdana" w:hAnsi="Verdana" w:cs="Arial"/>
          <w:sz w:val="20"/>
        </w:rPr>
        <w:t xml:space="preserve"> señalamientos de juicios por delitos leves, se ha celebrado el 78</w:t>
      </w:r>
      <w:r w:rsidR="00AD6AD7" w:rsidRPr="007A5A43">
        <w:rPr>
          <w:rFonts w:ascii="Verdana" w:hAnsi="Verdana" w:cs="Arial"/>
          <w:sz w:val="20"/>
        </w:rPr>
        <w:t>,3</w:t>
      </w:r>
      <w:r w:rsidRPr="007A5A43">
        <w:rPr>
          <w:rFonts w:ascii="Verdana" w:hAnsi="Verdana" w:cs="Arial"/>
          <w:sz w:val="20"/>
        </w:rPr>
        <w:t>%.</w:t>
      </w:r>
      <w:r w:rsidR="00AD6AD7" w:rsidRPr="007A5A43">
        <w:rPr>
          <w:rFonts w:ascii="Verdana" w:hAnsi="Verdana" w:cs="Arial"/>
          <w:sz w:val="20"/>
        </w:rPr>
        <w:t xml:space="preserve">  El total de juicios penales señalados ha sido de 298.921, habiéndose celebrado el 81,3%.</w:t>
      </w:r>
    </w:p>
    <w:p w:rsidR="00433902" w:rsidRPr="007A5A43" w:rsidRDefault="00433902" w:rsidP="00433902">
      <w:pPr>
        <w:spacing w:before="120" w:after="120"/>
        <w:ind w:firstLine="357"/>
        <w:jc w:val="both"/>
        <w:rPr>
          <w:rFonts w:ascii="Verdana" w:hAnsi="Verdana" w:cs="Arial"/>
          <w:sz w:val="20"/>
        </w:rPr>
      </w:pPr>
    </w:p>
    <w:p w:rsidR="00433902" w:rsidRPr="007A5A43" w:rsidRDefault="00433902" w:rsidP="00433902">
      <w:pPr>
        <w:keepNext/>
        <w:keepLines/>
        <w:spacing w:before="120" w:after="120"/>
        <w:ind w:left="360"/>
        <w:outlineLvl w:val="1"/>
        <w:rPr>
          <w:rFonts w:ascii="Verdana" w:hAnsi="Verdana"/>
          <w:b/>
          <w:color w:val="333399"/>
        </w:rPr>
      </w:pPr>
      <w:r w:rsidRPr="007A5A43">
        <w:rPr>
          <w:rFonts w:ascii="Verdana" w:hAnsi="Verdana"/>
          <w:b/>
          <w:color w:val="333399"/>
        </w:rPr>
        <w:t>3.3 Duraciones medias de los procesos</w:t>
      </w:r>
    </w:p>
    <w:p w:rsidR="00433902" w:rsidRPr="007A6EA4" w:rsidRDefault="00433902" w:rsidP="00433902">
      <w:pPr>
        <w:spacing w:before="120" w:after="120"/>
        <w:ind w:firstLine="357"/>
        <w:jc w:val="both"/>
        <w:rPr>
          <w:rFonts w:ascii="Verdana" w:hAnsi="Verdana" w:cs="Arial"/>
          <w:sz w:val="20"/>
        </w:rPr>
      </w:pPr>
      <w:r w:rsidRPr="007A5A43">
        <w:rPr>
          <w:rFonts w:ascii="Verdana" w:hAnsi="Verdana" w:cs="Arial"/>
          <w:sz w:val="20"/>
        </w:rPr>
        <w:t>La duración media de los procesos terminados en los últimos años en los distintos tipos de órganos de esta jurisdicción ha sido:</w:t>
      </w:r>
    </w:p>
    <w:tbl>
      <w:tblPr>
        <w:tblW w:w="7472" w:type="dxa"/>
        <w:jc w:val="center"/>
        <w:tblInd w:w="-46" w:type="dxa"/>
        <w:tblLayout w:type="fixed"/>
        <w:tblCellMar>
          <w:left w:w="70" w:type="dxa"/>
          <w:right w:w="70" w:type="dxa"/>
        </w:tblCellMar>
        <w:tblLook w:val="0000" w:firstRow="0" w:lastRow="0" w:firstColumn="0" w:lastColumn="0" w:noHBand="0" w:noVBand="0"/>
      </w:tblPr>
      <w:tblGrid>
        <w:gridCol w:w="3775"/>
        <w:gridCol w:w="739"/>
        <w:gridCol w:w="739"/>
        <w:gridCol w:w="740"/>
        <w:gridCol w:w="739"/>
        <w:gridCol w:w="740"/>
      </w:tblGrid>
      <w:tr w:rsidR="00653F0F" w:rsidRPr="007A6EA4" w:rsidTr="007967E0">
        <w:trPr>
          <w:trHeight w:val="270"/>
          <w:jc w:val="center"/>
        </w:trPr>
        <w:tc>
          <w:tcPr>
            <w:tcW w:w="3775" w:type="dxa"/>
            <w:tcBorders>
              <w:top w:val="single" w:sz="8" w:space="0" w:color="auto"/>
              <w:left w:val="nil"/>
              <w:bottom w:val="nil"/>
              <w:right w:val="nil"/>
            </w:tcBorders>
            <w:shd w:val="clear" w:color="auto" w:fill="FFFFFF"/>
            <w:noWrap/>
            <w:vAlign w:val="center"/>
          </w:tcPr>
          <w:p w:rsidR="00653F0F" w:rsidRPr="007A6EA4" w:rsidRDefault="00653F0F" w:rsidP="007967E0">
            <w:pPr>
              <w:rPr>
                <w:rFonts w:ascii="Arial" w:hAnsi="Arial" w:cs="Arial"/>
                <w:color w:val="000080"/>
                <w:sz w:val="20"/>
                <w:szCs w:val="20"/>
              </w:rPr>
            </w:pPr>
            <w:bookmarkStart w:id="7" w:name="OLE_LINK23"/>
            <w:bookmarkStart w:id="8" w:name="OLE_LINK24"/>
            <w:r w:rsidRPr="007A6EA4">
              <w:rPr>
                <w:rFonts w:ascii="Arial" w:hAnsi="Arial" w:cs="Arial"/>
                <w:color w:val="000080"/>
                <w:sz w:val="20"/>
                <w:szCs w:val="20"/>
              </w:rPr>
              <w:t> </w:t>
            </w:r>
          </w:p>
        </w:tc>
        <w:tc>
          <w:tcPr>
            <w:tcW w:w="739" w:type="dxa"/>
            <w:tcBorders>
              <w:top w:val="single" w:sz="8" w:space="0" w:color="auto"/>
              <w:left w:val="nil"/>
              <w:bottom w:val="single" w:sz="8" w:space="0" w:color="auto"/>
              <w:right w:val="nil"/>
            </w:tcBorders>
            <w:shd w:val="clear" w:color="auto" w:fill="auto"/>
            <w:vAlign w:val="bottom"/>
          </w:tcPr>
          <w:p w:rsidR="00653F0F" w:rsidRPr="007A6EA4" w:rsidRDefault="00653F0F" w:rsidP="00653F0F">
            <w:pPr>
              <w:jc w:val="right"/>
              <w:rPr>
                <w:rFonts w:ascii="Verdana" w:hAnsi="Verdana" w:cs="Arial"/>
                <w:b/>
                <w:bCs/>
                <w:color w:val="000080"/>
                <w:sz w:val="20"/>
                <w:szCs w:val="20"/>
              </w:rPr>
            </w:pPr>
            <w:r w:rsidRPr="007A6EA4">
              <w:rPr>
                <w:rFonts w:ascii="Verdana" w:hAnsi="Verdana" w:cs="Arial"/>
                <w:b/>
                <w:bCs/>
                <w:color w:val="000080"/>
                <w:sz w:val="20"/>
                <w:szCs w:val="20"/>
              </w:rPr>
              <w:t>201</w:t>
            </w:r>
            <w:r>
              <w:rPr>
                <w:rFonts w:ascii="Verdana" w:hAnsi="Verdana" w:cs="Arial"/>
                <w:b/>
                <w:bCs/>
                <w:color w:val="000080"/>
                <w:sz w:val="20"/>
                <w:szCs w:val="20"/>
              </w:rPr>
              <w:t>7</w:t>
            </w:r>
          </w:p>
        </w:tc>
        <w:tc>
          <w:tcPr>
            <w:tcW w:w="739" w:type="dxa"/>
            <w:tcBorders>
              <w:top w:val="single" w:sz="8" w:space="0" w:color="auto"/>
              <w:left w:val="nil"/>
              <w:bottom w:val="single" w:sz="8" w:space="0" w:color="auto"/>
              <w:right w:val="nil"/>
            </w:tcBorders>
            <w:shd w:val="clear" w:color="auto" w:fill="auto"/>
            <w:vAlign w:val="bottom"/>
          </w:tcPr>
          <w:p w:rsidR="00653F0F" w:rsidRPr="007A6EA4" w:rsidRDefault="00653F0F" w:rsidP="005E6A27">
            <w:pPr>
              <w:jc w:val="right"/>
              <w:rPr>
                <w:rFonts w:ascii="Verdana" w:hAnsi="Verdana" w:cs="Arial"/>
                <w:b/>
                <w:bCs/>
                <w:color w:val="000080"/>
                <w:sz w:val="20"/>
                <w:szCs w:val="20"/>
              </w:rPr>
            </w:pPr>
            <w:r w:rsidRPr="007A6EA4">
              <w:rPr>
                <w:rFonts w:ascii="Verdana" w:hAnsi="Verdana" w:cs="Arial"/>
                <w:b/>
                <w:bCs/>
                <w:color w:val="000080"/>
                <w:sz w:val="20"/>
                <w:szCs w:val="20"/>
              </w:rPr>
              <w:t>2016</w:t>
            </w:r>
          </w:p>
        </w:tc>
        <w:tc>
          <w:tcPr>
            <w:tcW w:w="740" w:type="dxa"/>
            <w:tcBorders>
              <w:top w:val="single" w:sz="8" w:space="0" w:color="auto"/>
              <w:left w:val="nil"/>
              <w:bottom w:val="single" w:sz="8" w:space="0" w:color="auto"/>
              <w:right w:val="nil"/>
            </w:tcBorders>
            <w:shd w:val="clear" w:color="auto" w:fill="auto"/>
            <w:vAlign w:val="bottom"/>
          </w:tcPr>
          <w:p w:rsidR="00653F0F" w:rsidRPr="007A6EA4" w:rsidRDefault="00653F0F" w:rsidP="005E6A27">
            <w:pPr>
              <w:jc w:val="right"/>
              <w:rPr>
                <w:rFonts w:ascii="Verdana" w:hAnsi="Verdana" w:cs="Arial"/>
                <w:b/>
                <w:bCs/>
                <w:color w:val="000080"/>
                <w:sz w:val="20"/>
                <w:szCs w:val="20"/>
              </w:rPr>
            </w:pPr>
            <w:r w:rsidRPr="007A6EA4">
              <w:rPr>
                <w:rFonts w:ascii="Verdana" w:hAnsi="Verdana" w:cs="Arial"/>
                <w:b/>
                <w:bCs/>
                <w:color w:val="000080"/>
                <w:sz w:val="20"/>
                <w:szCs w:val="20"/>
              </w:rPr>
              <w:t>2015</w:t>
            </w:r>
          </w:p>
        </w:tc>
        <w:tc>
          <w:tcPr>
            <w:tcW w:w="739" w:type="dxa"/>
            <w:tcBorders>
              <w:top w:val="single" w:sz="8" w:space="0" w:color="auto"/>
              <w:left w:val="nil"/>
              <w:bottom w:val="single" w:sz="8" w:space="0" w:color="auto"/>
              <w:right w:val="nil"/>
            </w:tcBorders>
            <w:shd w:val="clear" w:color="auto" w:fill="auto"/>
            <w:vAlign w:val="bottom"/>
          </w:tcPr>
          <w:p w:rsidR="00653F0F" w:rsidRPr="007A6EA4" w:rsidRDefault="00653F0F" w:rsidP="005E6A27">
            <w:pPr>
              <w:jc w:val="right"/>
              <w:rPr>
                <w:rFonts w:ascii="Verdana" w:hAnsi="Verdana" w:cs="Arial"/>
                <w:b/>
                <w:bCs/>
                <w:color w:val="000080"/>
                <w:sz w:val="20"/>
                <w:szCs w:val="20"/>
              </w:rPr>
            </w:pPr>
            <w:r w:rsidRPr="007A6EA4">
              <w:rPr>
                <w:rFonts w:ascii="Verdana" w:hAnsi="Verdana" w:cs="Arial"/>
                <w:b/>
                <w:bCs/>
                <w:color w:val="000080"/>
                <w:sz w:val="20"/>
                <w:szCs w:val="20"/>
              </w:rPr>
              <w:t>2014</w:t>
            </w:r>
          </w:p>
        </w:tc>
        <w:tc>
          <w:tcPr>
            <w:tcW w:w="740" w:type="dxa"/>
            <w:tcBorders>
              <w:top w:val="single" w:sz="8" w:space="0" w:color="auto"/>
              <w:left w:val="nil"/>
              <w:bottom w:val="single" w:sz="8" w:space="0" w:color="auto"/>
              <w:right w:val="nil"/>
            </w:tcBorders>
            <w:shd w:val="clear" w:color="auto" w:fill="auto"/>
            <w:vAlign w:val="bottom"/>
          </w:tcPr>
          <w:p w:rsidR="00653F0F" w:rsidRPr="007A6EA4" w:rsidRDefault="00653F0F" w:rsidP="005E6A27">
            <w:pPr>
              <w:jc w:val="right"/>
              <w:rPr>
                <w:rFonts w:ascii="Verdana" w:hAnsi="Verdana" w:cs="Arial"/>
                <w:b/>
                <w:bCs/>
                <w:color w:val="000080"/>
                <w:sz w:val="20"/>
                <w:szCs w:val="20"/>
              </w:rPr>
            </w:pPr>
            <w:r w:rsidRPr="007A6EA4">
              <w:rPr>
                <w:rFonts w:ascii="Verdana" w:hAnsi="Verdana" w:cs="Arial"/>
                <w:b/>
                <w:bCs/>
                <w:color w:val="000080"/>
                <w:sz w:val="20"/>
                <w:szCs w:val="20"/>
              </w:rPr>
              <w:t>2013</w:t>
            </w:r>
          </w:p>
        </w:tc>
      </w:tr>
      <w:tr w:rsidR="00653F0F" w:rsidRPr="007A6EA4" w:rsidTr="005E6A27">
        <w:trPr>
          <w:trHeight w:val="285"/>
          <w:jc w:val="center"/>
        </w:trPr>
        <w:tc>
          <w:tcPr>
            <w:tcW w:w="3775" w:type="dxa"/>
            <w:tcBorders>
              <w:top w:val="single" w:sz="8" w:space="0" w:color="auto"/>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Jdos. 1ª Instª. e Instr. y Jdos. Instrucción </w:t>
            </w:r>
          </w:p>
        </w:tc>
        <w:tc>
          <w:tcPr>
            <w:tcW w:w="739" w:type="dxa"/>
            <w:tcBorders>
              <w:top w:val="nil"/>
              <w:left w:val="nil"/>
              <w:bottom w:val="nil"/>
              <w:right w:val="nil"/>
            </w:tcBorders>
            <w:shd w:val="clear" w:color="auto" w:fill="auto"/>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2,3</w:t>
            </w:r>
          </w:p>
        </w:tc>
        <w:tc>
          <w:tcPr>
            <w:tcW w:w="739" w:type="dxa"/>
            <w:tcBorders>
              <w:top w:val="nil"/>
              <w:left w:val="nil"/>
              <w:bottom w:val="nil"/>
              <w:right w:val="nil"/>
            </w:tcBorders>
            <w:shd w:val="clear" w:color="auto" w:fill="auto"/>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2,3</w:t>
            </w:r>
          </w:p>
        </w:tc>
        <w:tc>
          <w:tcPr>
            <w:tcW w:w="740" w:type="dxa"/>
            <w:tcBorders>
              <w:top w:val="nil"/>
              <w:left w:val="nil"/>
              <w:bottom w:val="nil"/>
              <w:right w:val="nil"/>
            </w:tcBorders>
            <w:shd w:val="clear" w:color="auto" w:fill="auto"/>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1,5</w:t>
            </w:r>
          </w:p>
        </w:tc>
        <w:tc>
          <w:tcPr>
            <w:tcW w:w="739" w:type="dxa"/>
            <w:tcBorders>
              <w:top w:val="nil"/>
              <w:left w:val="nil"/>
              <w:bottom w:val="nil"/>
              <w:right w:val="nil"/>
            </w:tcBorders>
            <w:shd w:val="clear" w:color="auto" w:fill="auto"/>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1,6</w:t>
            </w:r>
          </w:p>
        </w:tc>
        <w:tc>
          <w:tcPr>
            <w:tcW w:w="740" w:type="dxa"/>
            <w:tcBorders>
              <w:top w:val="nil"/>
              <w:left w:val="nil"/>
              <w:bottom w:val="nil"/>
              <w:right w:val="nil"/>
            </w:tcBorders>
            <w:shd w:val="clear" w:color="auto" w:fill="auto"/>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1,7</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Juzgados de Violencia sobre la Mujer</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2,0</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2,1</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2,1</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2,2</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Jdos. de Menores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6,2</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5,7</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5,6</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5,7</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5,7</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Jdos. Vigilancia Penitenciaria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1,9</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1,8</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1,7</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1,7</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1,2</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Jdos. de lo Penal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9,6</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10,2</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10,8</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10,9</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10,6</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jc w:val="both"/>
              <w:rPr>
                <w:rFonts w:ascii="Arial" w:hAnsi="Arial" w:cs="Arial"/>
                <w:sz w:val="20"/>
                <w:szCs w:val="20"/>
              </w:rPr>
            </w:pPr>
            <w:r w:rsidRPr="007A6EA4">
              <w:rPr>
                <w:rFonts w:ascii="Arial" w:hAnsi="Arial" w:cs="Arial"/>
                <w:sz w:val="20"/>
                <w:szCs w:val="20"/>
              </w:rPr>
              <w:t xml:space="preserve">Audiencias Provinciales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2,0</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2,2</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2,4</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2,6</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2,7</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T.S.J. Sala Civil y Penal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2,1</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1,8</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0,7</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2,4</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1,9</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Jdos Centrales Instrucción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5,3</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5,1</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5,3</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5,7</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5,8</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 xml:space="preserve">Jdo Central de lo Penal </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9,2</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16</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11,1</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5,8</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5,9</w:t>
            </w:r>
          </w:p>
        </w:tc>
      </w:tr>
      <w:tr w:rsidR="00653F0F" w:rsidRPr="007A6EA4" w:rsidTr="005E6A27">
        <w:trPr>
          <w:trHeight w:val="255"/>
          <w:jc w:val="center"/>
        </w:trPr>
        <w:tc>
          <w:tcPr>
            <w:tcW w:w="3775" w:type="dxa"/>
            <w:tcBorders>
              <w:top w:val="nil"/>
              <w:left w:val="nil"/>
              <w:bottom w:val="nil"/>
              <w:right w:val="nil"/>
            </w:tcBorders>
            <w:shd w:val="clear" w:color="auto" w:fill="auto"/>
            <w:vAlign w:val="center"/>
          </w:tcPr>
          <w:p w:rsidR="00653F0F" w:rsidRPr="007A6EA4" w:rsidRDefault="00653F0F" w:rsidP="007967E0">
            <w:pPr>
              <w:jc w:val="both"/>
              <w:rPr>
                <w:rFonts w:ascii="Arial" w:hAnsi="Arial" w:cs="Arial"/>
                <w:sz w:val="20"/>
                <w:szCs w:val="20"/>
              </w:rPr>
            </w:pPr>
            <w:r w:rsidRPr="007A6EA4">
              <w:rPr>
                <w:rFonts w:ascii="Arial" w:hAnsi="Arial" w:cs="Arial"/>
                <w:sz w:val="20"/>
                <w:szCs w:val="20"/>
              </w:rPr>
              <w:t>A.N. Sala Penal</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0,9</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1,2</w:t>
            </w:r>
          </w:p>
        </w:tc>
        <w:tc>
          <w:tcPr>
            <w:tcW w:w="739"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1,3</w:t>
            </w:r>
          </w:p>
        </w:tc>
        <w:tc>
          <w:tcPr>
            <w:tcW w:w="740" w:type="dxa"/>
            <w:tcBorders>
              <w:top w:val="nil"/>
              <w:left w:val="nil"/>
              <w:bottom w:val="nil"/>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1,5</w:t>
            </w:r>
          </w:p>
        </w:tc>
      </w:tr>
      <w:tr w:rsidR="00653F0F" w:rsidRPr="007A6EA4" w:rsidTr="005E6A27">
        <w:trPr>
          <w:trHeight w:val="270"/>
          <w:jc w:val="center"/>
        </w:trPr>
        <w:tc>
          <w:tcPr>
            <w:tcW w:w="3775" w:type="dxa"/>
            <w:tcBorders>
              <w:top w:val="nil"/>
              <w:left w:val="nil"/>
              <w:bottom w:val="single" w:sz="8" w:space="0" w:color="auto"/>
              <w:right w:val="nil"/>
            </w:tcBorders>
            <w:shd w:val="clear" w:color="auto" w:fill="auto"/>
            <w:vAlign w:val="center"/>
          </w:tcPr>
          <w:p w:rsidR="00653F0F" w:rsidRPr="007A6EA4" w:rsidRDefault="00653F0F" w:rsidP="007967E0">
            <w:pPr>
              <w:rPr>
                <w:rFonts w:ascii="Arial" w:hAnsi="Arial" w:cs="Arial"/>
                <w:sz w:val="20"/>
                <w:szCs w:val="20"/>
              </w:rPr>
            </w:pPr>
            <w:r w:rsidRPr="007A6EA4">
              <w:rPr>
                <w:rFonts w:ascii="Arial" w:hAnsi="Arial" w:cs="Arial"/>
                <w:sz w:val="20"/>
                <w:szCs w:val="20"/>
              </w:rPr>
              <w:t>Tribunal Supremo: Sala 2ª</w:t>
            </w:r>
          </w:p>
        </w:tc>
        <w:tc>
          <w:tcPr>
            <w:tcW w:w="739" w:type="dxa"/>
            <w:tcBorders>
              <w:top w:val="nil"/>
              <w:left w:val="nil"/>
              <w:bottom w:val="single" w:sz="8" w:space="0" w:color="auto"/>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5,2</w:t>
            </w:r>
          </w:p>
        </w:tc>
        <w:tc>
          <w:tcPr>
            <w:tcW w:w="739" w:type="dxa"/>
            <w:tcBorders>
              <w:top w:val="nil"/>
              <w:left w:val="nil"/>
              <w:bottom w:val="single" w:sz="8" w:space="0" w:color="auto"/>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5,3</w:t>
            </w:r>
          </w:p>
        </w:tc>
        <w:tc>
          <w:tcPr>
            <w:tcW w:w="740" w:type="dxa"/>
            <w:tcBorders>
              <w:top w:val="nil"/>
              <w:left w:val="nil"/>
              <w:bottom w:val="single" w:sz="8" w:space="0" w:color="auto"/>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5,1</w:t>
            </w:r>
          </w:p>
        </w:tc>
        <w:tc>
          <w:tcPr>
            <w:tcW w:w="739" w:type="dxa"/>
            <w:tcBorders>
              <w:top w:val="nil"/>
              <w:left w:val="nil"/>
              <w:bottom w:val="single" w:sz="8" w:space="0" w:color="auto"/>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5,1</w:t>
            </w:r>
          </w:p>
        </w:tc>
        <w:tc>
          <w:tcPr>
            <w:tcW w:w="740" w:type="dxa"/>
            <w:tcBorders>
              <w:top w:val="nil"/>
              <w:left w:val="nil"/>
              <w:bottom w:val="single" w:sz="8" w:space="0" w:color="auto"/>
              <w:right w:val="nil"/>
            </w:tcBorders>
            <w:shd w:val="clear" w:color="auto" w:fill="auto"/>
            <w:noWrap/>
            <w:vAlign w:val="center"/>
          </w:tcPr>
          <w:p w:rsidR="00653F0F" w:rsidRDefault="00653F0F">
            <w:pPr>
              <w:jc w:val="right"/>
              <w:rPr>
                <w:rFonts w:ascii="Verdana" w:hAnsi="Verdana" w:cs="Calibri"/>
                <w:color w:val="000000"/>
                <w:sz w:val="20"/>
                <w:szCs w:val="20"/>
              </w:rPr>
            </w:pPr>
            <w:r>
              <w:rPr>
                <w:rFonts w:ascii="Verdana" w:hAnsi="Verdana" w:cs="Calibri"/>
                <w:color w:val="000000"/>
                <w:sz w:val="20"/>
                <w:szCs w:val="20"/>
              </w:rPr>
              <w:t>6</w:t>
            </w:r>
          </w:p>
        </w:tc>
      </w:tr>
    </w:tbl>
    <w:bookmarkEnd w:id="7"/>
    <w:bookmarkEnd w:id="8"/>
    <w:p w:rsidR="00C815DF" w:rsidRDefault="00C815DF" w:rsidP="00433902">
      <w:pPr>
        <w:spacing w:before="120" w:after="120"/>
        <w:ind w:firstLine="357"/>
        <w:jc w:val="both"/>
        <w:rPr>
          <w:rFonts w:ascii="Verdana" w:hAnsi="Verdana" w:cs="Arial"/>
          <w:color w:val="0070C0"/>
          <w:sz w:val="20"/>
        </w:rPr>
      </w:pPr>
      <w:r w:rsidRPr="007A5A43">
        <w:rPr>
          <w:rFonts w:ascii="Verdana" w:hAnsi="Verdana" w:cs="Arial"/>
          <w:sz w:val="20"/>
        </w:rPr>
        <w:t xml:space="preserve">Las duraciones medias de los procesos </w:t>
      </w:r>
      <w:r w:rsidR="00E54EC8" w:rsidRPr="007A5A43">
        <w:rPr>
          <w:rFonts w:ascii="Verdana" w:hAnsi="Verdana" w:cs="Arial"/>
          <w:sz w:val="20"/>
        </w:rPr>
        <w:t xml:space="preserve">en los juzgados de instrucción y de primera instancia e instrucción, una vez normalizada la entrada de asuntos tras la modificación de operada por la Ley 41/2015, son muy similares a las de 2016.  Las duraciones </w:t>
      </w:r>
      <w:r w:rsidR="001C4981" w:rsidRPr="007A5A43">
        <w:rPr>
          <w:rFonts w:ascii="Verdana" w:hAnsi="Verdana" w:cs="Arial"/>
          <w:sz w:val="20"/>
        </w:rPr>
        <w:t xml:space="preserve">han aumentado en los juzgados de menores, juzgados centrales de instrucción, y juzgados de vigilancia </w:t>
      </w:r>
      <w:r w:rsidR="00750DCB" w:rsidRPr="007A5A43">
        <w:rPr>
          <w:rFonts w:ascii="Verdana" w:hAnsi="Verdana" w:cs="Arial"/>
          <w:sz w:val="20"/>
        </w:rPr>
        <w:t>penitenciaria</w:t>
      </w:r>
      <w:r w:rsidR="001C4981" w:rsidRPr="007A5A43">
        <w:rPr>
          <w:rFonts w:ascii="Verdana" w:hAnsi="Verdana" w:cs="Arial"/>
          <w:sz w:val="20"/>
        </w:rPr>
        <w:t>, así como en las salas civiles y penales de los tribunales superiores de justicia. En estos últimos órganos, el motivo se encuentra en las nuevas competencias de los mismos para el conocimiento de los recursos de apelación contra las sentencias dictadas por las audiencias provinciales en procedimientos abreviados y sumarios.</w:t>
      </w:r>
    </w:p>
    <w:p w:rsidR="00892298" w:rsidRPr="00C9757B" w:rsidRDefault="00892298" w:rsidP="00892298">
      <w:pPr>
        <w:spacing w:before="120" w:after="120"/>
        <w:ind w:firstLine="357"/>
        <w:jc w:val="both"/>
        <w:rPr>
          <w:rFonts w:ascii="Verdana" w:hAnsi="Verdana" w:cs="Arial"/>
          <w:sz w:val="20"/>
        </w:rPr>
      </w:pPr>
      <w:r w:rsidRPr="007A5A43">
        <w:rPr>
          <w:rFonts w:ascii="Verdana" w:hAnsi="Verdana" w:cs="Arial"/>
          <w:sz w:val="20"/>
        </w:rPr>
        <w:t>La duración media de los asuntos terminados en 2016 en los juzgados de instrucción y primera instancia e instrucción ha sido de 2,3 meses, siendo la más alta en Castilla-La Mancha, 3,</w:t>
      </w:r>
      <w:r w:rsidR="00AE25C3" w:rsidRPr="007A5A43">
        <w:rPr>
          <w:rFonts w:ascii="Verdana" w:hAnsi="Verdana" w:cs="Arial"/>
          <w:sz w:val="20"/>
        </w:rPr>
        <w:t>9</w:t>
      </w:r>
      <w:r w:rsidRPr="007A5A43">
        <w:rPr>
          <w:rFonts w:ascii="Verdana" w:hAnsi="Verdana" w:cs="Arial"/>
          <w:sz w:val="20"/>
        </w:rPr>
        <w:t xml:space="preserve"> meses; La Rioja, 3,2; Illes Balears, 3</w:t>
      </w:r>
      <w:r w:rsidR="00AE25C3" w:rsidRPr="007A5A43">
        <w:rPr>
          <w:rFonts w:ascii="Verdana" w:hAnsi="Verdana" w:cs="Arial"/>
          <w:sz w:val="20"/>
        </w:rPr>
        <w:t>,1.</w:t>
      </w:r>
      <w:r w:rsidRPr="007A5A43">
        <w:rPr>
          <w:rFonts w:ascii="Verdana" w:hAnsi="Verdana" w:cs="Arial"/>
          <w:sz w:val="20"/>
        </w:rPr>
        <w:t xml:space="preserve"> La duración media de los sumarios en fase de instrucción ha sido de </w:t>
      </w:r>
      <w:r w:rsidR="00AE25C3" w:rsidRPr="007A5A43">
        <w:rPr>
          <w:rFonts w:ascii="Verdana" w:hAnsi="Verdana" w:cs="Arial"/>
          <w:sz w:val="20"/>
        </w:rPr>
        <w:t>7</w:t>
      </w:r>
      <w:r w:rsidRPr="007A5A43">
        <w:rPr>
          <w:rFonts w:ascii="Verdana" w:hAnsi="Verdana" w:cs="Arial"/>
          <w:sz w:val="20"/>
        </w:rPr>
        <w:t>,</w:t>
      </w:r>
      <w:r w:rsidR="00AE25C3" w:rsidRPr="007A5A43">
        <w:rPr>
          <w:rFonts w:ascii="Verdana" w:hAnsi="Verdana" w:cs="Arial"/>
          <w:sz w:val="20"/>
        </w:rPr>
        <w:t>1</w:t>
      </w:r>
      <w:r w:rsidRPr="007A5A43">
        <w:rPr>
          <w:rFonts w:ascii="Verdana" w:hAnsi="Verdana" w:cs="Arial"/>
          <w:sz w:val="20"/>
        </w:rPr>
        <w:t xml:space="preserve"> meses, la de los procedimientos abreviados de 7,</w:t>
      </w:r>
      <w:r w:rsidR="00AE25C3" w:rsidRPr="007A5A43">
        <w:rPr>
          <w:rFonts w:ascii="Verdana" w:hAnsi="Verdana" w:cs="Arial"/>
          <w:sz w:val="20"/>
        </w:rPr>
        <w:t>5</w:t>
      </w:r>
      <w:r w:rsidRPr="007A5A43">
        <w:rPr>
          <w:rFonts w:ascii="Verdana" w:hAnsi="Verdana" w:cs="Arial"/>
          <w:sz w:val="20"/>
        </w:rPr>
        <w:t>, y la de los procedimientos de jurado de 1</w:t>
      </w:r>
      <w:r w:rsidR="00AE25C3" w:rsidRPr="007A5A43">
        <w:rPr>
          <w:rFonts w:ascii="Verdana" w:hAnsi="Verdana" w:cs="Arial"/>
          <w:sz w:val="20"/>
        </w:rPr>
        <w:t>3</w:t>
      </w:r>
      <w:r w:rsidRPr="007A5A43">
        <w:rPr>
          <w:rFonts w:ascii="Verdana" w:hAnsi="Verdana" w:cs="Arial"/>
          <w:sz w:val="20"/>
        </w:rPr>
        <w:t xml:space="preserve"> meses. La duración media de los juic</w:t>
      </w:r>
      <w:r w:rsidR="007A5A43" w:rsidRPr="007A5A43">
        <w:rPr>
          <w:rFonts w:ascii="Verdana" w:hAnsi="Verdana" w:cs="Arial"/>
          <w:sz w:val="20"/>
        </w:rPr>
        <w:t>ios de faltas terminados en 2017</w:t>
      </w:r>
      <w:r w:rsidRPr="007A5A43">
        <w:rPr>
          <w:rFonts w:ascii="Verdana" w:hAnsi="Verdana" w:cs="Arial"/>
          <w:sz w:val="20"/>
        </w:rPr>
        <w:t xml:space="preserve"> de </w:t>
      </w:r>
      <w:r w:rsidR="00AE25C3" w:rsidRPr="007A5A43">
        <w:rPr>
          <w:rFonts w:ascii="Verdana" w:hAnsi="Verdana" w:cs="Arial"/>
          <w:sz w:val="20"/>
        </w:rPr>
        <w:t>9</w:t>
      </w:r>
      <w:r w:rsidRPr="007A5A43">
        <w:rPr>
          <w:rFonts w:ascii="Verdana" w:hAnsi="Verdana" w:cs="Arial"/>
          <w:sz w:val="20"/>
        </w:rPr>
        <w:t>,</w:t>
      </w:r>
      <w:r w:rsidR="00AE25C3" w:rsidRPr="007A5A43">
        <w:rPr>
          <w:rFonts w:ascii="Verdana" w:hAnsi="Verdana" w:cs="Arial"/>
          <w:sz w:val="20"/>
        </w:rPr>
        <w:t>9</w:t>
      </w:r>
      <w:r w:rsidRPr="007A5A43">
        <w:rPr>
          <w:rFonts w:ascii="Verdana" w:hAnsi="Verdana" w:cs="Arial"/>
          <w:sz w:val="20"/>
        </w:rPr>
        <w:t xml:space="preserve"> meses, y la de los juicios por delitos leves de 2,</w:t>
      </w:r>
      <w:r w:rsidR="00AE25C3" w:rsidRPr="007A5A43">
        <w:rPr>
          <w:rFonts w:ascii="Verdana" w:hAnsi="Verdana" w:cs="Arial"/>
          <w:sz w:val="20"/>
        </w:rPr>
        <w:t>5</w:t>
      </w:r>
      <w:r w:rsidRPr="007A5A43">
        <w:rPr>
          <w:rFonts w:ascii="Verdana" w:hAnsi="Verdana" w:cs="Arial"/>
          <w:sz w:val="20"/>
        </w:rPr>
        <w:t>.</w:t>
      </w:r>
    </w:p>
    <w:p w:rsidR="00892298" w:rsidRPr="007A5A43" w:rsidRDefault="00892298" w:rsidP="00892298">
      <w:pPr>
        <w:spacing w:before="120" w:after="120"/>
        <w:ind w:firstLine="357"/>
        <w:jc w:val="both"/>
        <w:rPr>
          <w:rFonts w:ascii="Verdana" w:hAnsi="Verdana" w:cs="Arial"/>
          <w:sz w:val="20"/>
        </w:rPr>
      </w:pPr>
      <w:r w:rsidRPr="007A5A43">
        <w:rPr>
          <w:rFonts w:ascii="Verdana" w:hAnsi="Verdana" w:cs="Arial"/>
          <w:sz w:val="20"/>
        </w:rPr>
        <w:lastRenderedPageBreak/>
        <w:t>En los juzgados de violencia contra la mujer, la duración media d</w:t>
      </w:r>
      <w:r w:rsidR="00E54EC8" w:rsidRPr="007A5A43">
        <w:rPr>
          <w:rFonts w:ascii="Verdana" w:hAnsi="Verdana" w:cs="Arial"/>
          <w:sz w:val="20"/>
        </w:rPr>
        <w:t>e los asuntos terminados en 2017</w:t>
      </w:r>
      <w:r w:rsidRPr="007A5A43">
        <w:rPr>
          <w:rFonts w:ascii="Verdana" w:hAnsi="Verdana" w:cs="Arial"/>
          <w:sz w:val="20"/>
        </w:rPr>
        <w:t xml:space="preserve"> ha sido de 2 meses. En fase de instrucción la duración media de los sumarios ha sido de 7 meses, la de los procedimientos abreviados de 3,</w:t>
      </w:r>
      <w:r w:rsidR="00E54EC8" w:rsidRPr="007A5A43">
        <w:rPr>
          <w:rFonts w:ascii="Verdana" w:hAnsi="Verdana" w:cs="Arial"/>
          <w:sz w:val="20"/>
        </w:rPr>
        <w:t>8</w:t>
      </w:r>
      <w:r w:rsidRPr="007A5A43">
        <w:rPr>
          <w:rFonts w:ascii="Verdana" w:hAnsi="Verdana" w:cs="Arial"/>
          <w:sz w:val="20"/>
        </w:rPr>
        <w:t>, y la de l</w:t>
      </w:r>
      <w:r w:rsidR="00E54EC8" w:rsidRPr="007A5A43">
        <w:rPr>
          <w:rFonts w:ascii="Verdana" w:hAnsi="Verdana" w:cs="Arial"/>
          <w:sz w:val="20"/>
        </w:rPr>
        <w:t>os procedimientos de jurado de 11</w:t>
      </w:r>
      <w:r w:rsidRPr="007A5A43">
        <w:rPr>
          <w:rFonts w:ascii="Verdana" w:hAnsi="Verdana" w:cs="Arial"/>
          <w:sz w:val="20"/>
        </w:rPr>
        <w:t xml:space="preserve"> meses. La duración media de los juicios de faltas de </w:t>
      </w:r>
      <w:r w:rsidR="00E54EC8" w:rsidRPr="007A5A43">
        <w:rPr>
          <w:rFonts w:ascii="Verdana" w:hAnsi="Verdana" w:cs="Arial"/>
          <w:sz w:val="20"/>
        </w:rPr>
        <w:t>8</w:t>
      </w:r>
      <w:r w:rsidRPr="007A5A43">
        <w:rPr>
          <w:rFonts w:ascii="Verdana" w:hAnsi="Verdana" w:cs="Arial"/>
          <w:sz w:val="20"/>
        </w:rPr>
        <w:t>,</w:t>
      </w:r>
      <w:r w:rsidR="00E54EC8" w:rsidRPr="007A5A43">
        <w:rPr>
          <w:rFonts w:ascii="Verdana" w:hAnsi="Verdana" w:cs="Arial"/>
          <w:sz w:val="20"/>
        </w:rPr>
        <w:t>9</w:t>
      </w:r>
      <w:r w:rsidRPr="007A5A43">
        <w:rPr>
          <w:rFonts w:ascii="Verdana" w:hAnsi="Verdana" w:cs="Arial"/>
          <w:sz w:val="20"/>
        </w:rPr>
        <w:t xml:space="preserve"> meses, y la de los juicios por delitos leves de 1,</w:t>
      </w:r>
      <w:r w:rsidR="00E54EC8" w:rsidRPr="007A5A43">
        <w:rPr>
          <w:rFonts w:ascii="Verdana" w:hAnsi="Verdana" w:cs="Arial"/>
          <w:sz w:val="20"/>
        </w:rPr>
        <w:t>7</w:t>
      </w:r>
      <w:r w:rsidRPr="007A5A43">
        <w:rPr>
          <w:rFonts w:ascii="Verdana" w:hAnsi="Verdana" w:cs="Arial"/>
          <w:sz w:val="20"/>
        </w:rPr>
        <w:t xml:space="preserve"> meses.</w:t>
      </w:r>
    </w:p>
    <w:p w:rsidR="00892298" w:rsidRPr="007A5A43" w:rsidRDefault="00892298" w:rsidP="00892298">
      <w:pPr>
        <w:spacing w:before="120" w:after="120"/>
        <w:ind w:firstLine="357"/>
        <w:jc w:val="both"/>
        <w:rPr>
          <w:rFonts w:ascii="Verdana" w:hAnsi="Verdana" w:cs="Arial"/>
          <w:sz w:val="20"/>
        </w:rPr>
      </w:pPr>
      <w:r w:rsidRPr="007A5A43">
        <w:rPr>
          <w:rFonts w:ascii="Verdana" w:hAnsi="Verdana" w:cs="Arial"/>
          <w:sz w:val="20"/>
        </w:rPr>
        <w:t xml:space="preserve">En los juzgados de lo penal las diligencias urgentes han tenido una duración media de </w:t>
      </w:r>
      <w:r w:rsidR="00E54EC8" w:rsidRPr="007A5A43">
        <w:rPr>
          <w:rFonts w:ascii="Verdana" w:hAnsi="Verdana" w:cs="Arial"/>
          <w:sz w:val="20"/>
        </w:rPr>
        <w:t>3,7</w:t>
      </w:r>
      <w:r w:rsidRPr="007A5A43">
        <w:rPr>
          <w:rFonts w:ascii="Verdana" w:hAnsi="Verdana" w:cs="Arial"/>
          <w:sz w:val="20"/>
        </w:rPr>
        <w:t xml:space="preserve"> meses,</w:t>
      </w:r>
      <w:r w:rsidR="00E54EC8" w:rsidRPr="007A5A43">
        <w:rPr>
          <w:rFonts w:ascii="Verdana" w:hAnsi="Verdana" w:cs="Arial"/>
          <w:sz w:val="20"/>
        </w:rPr>
        <w:t xml:space="preserve"> con la más alta en Cataluña, 5</w:t>
      </w:r>
      <w:r w:rsidRPr="007A5A43">
        <w:rPr>
          <w:rFonts w:ascii="Verdana" w:hAnsi="Verdana" w:cs="Arial"/>
          <w:sz w:val="20"/>
        </w:rPr>
        <w:t xml:space="preserve"> meses; </w:t>
      </w:r>
      <w:r w:rsidR="00E54EC8" w:rsidRPr="007A5A43">
        <w:rPr>
          <w:rFonts w:ascii="Verdana" w:hAnsi="Verdana" w:cs="Arial"/>
          <w:sz w:val="20"/>
        </w:rPr>
        <w:t>Canarias</w:t>
      </w:r>
      <w:r w:rsidRPr="007A5A43">
        <w:rPr>
          <w:rFonts w:ascii="Verdana" w:hAnsi="Verdana" w:cs="Arial"/>
          <w:sz w:val="20"/>
        </w:rPr>
        <w:t xml:space="preserve">, 4,9; </w:t>
      </w:r>
      <w:r w:rsidR="00E54EC8" w:rsidRPr="007A5A43">
        <w:rPr>
          <w:rFonts w:ascii="Verdana" w:hAnsi="Verdana" w:cs="Arial"/>
          <w:sz w:val="20"/>
        </w:rPr>
        <w:t>Andalucía</w:t>
      </w:r>
      <w:r w:rsidRPr="007A5A43">
        <w:rPr>
          <w:rFonts w:ascii="Verdana" w:hAnsi="Verdana" w:cs="Arial"/>
          <w:sz w:val="20"/>
        </w:rPr>
        <w:t xml:space="preserve">, 4,5; y C. Valenciana, </w:t>
      </w:r>
      <w:r w:rsidR="00E54EC8" w:rsidRPr="007A5A43">
        <w:rPr>
          <w:rFonts w:ascii="Verdana" w:hAnsi="Verdana" w:cs="Arial"/>
          <w:sz w:val="20"/>
        </w:rPr>
        <w:t>3</w:t>
      </w:r>
      <w:r w:rsidRPr="007A5A43">
        <w:rPr>
          <w:rFonts w:ascii="Verdana" w:hAnsi="Verdana" w:cs="Arial"/>
          <w:sz w:val="20"/>
        </w:rPr>
        <w:t>,</w:t>
      </w:r>
      <w:r w:rsidR="00E54EC8" w:rsidRPr="007A5A43">
        <w:rPr>
          <w:rFonts w:ascii="Verdana" w:hAnsi="Verdana" w:cs="Arial"/>
          <w:sz w:val="20"/>
        </w:rPr>
        <w:t>9</w:t>
      </w:r>
      <w:r w:rsidRPr="007A5A43">
        <w:rPr>
          <w:rFonts w:ascii="Verdana" w:hAnsi="Verdana" w:cs="Arial"/>
          <w:sz w:val="20"/>
        </w:rPr>
        <w:t xml:space="preserve">; mientras que, por el contrario, en </w:t>
      </w:r>
      <w:r w:rsidR="00E54EC8" w:rsidRPr="007A5A43">
        <w:rPr>
          <w:rFonts w:ascii="Verdana" w:hAnsi="Verdana" w:cs="Arial"/>
          <w:sz w:val="20"/>
        </w:rPr>
        <w:t>Murcia ha sido de sólo 0,7</w:t>
      </w:r>
      <w:r w:rsidRPr="007A5A43">
        <w:rPr>
          <w:rFonts w:ascii="Verdana" w:hAnsi="Verdana" w:cs="Arial"/>
          <w:sz w:val="20"/>
        </w:rPr>
        <w:t xml:space="preserve"> meses</w:t>
      </w:r>
      <w:r w:rsidR="00E54EC8" w:rsidRPr="007A5A43">
        <w:rPr>
          <w:rFonts w:ascii="Verdana" w:hAnsi="Verdana" w:cs="Arial"/>
          <w:sz w:val="20"/>
        </w:rPr>
        <w:t xml:space="preserve"> y en Navarra de 0,8</w:t>
      </w:r>
      <w:r w:rsidRPr="007A5A43">
        <w:rPr>
          <w:rFonts w:ascii="Verdana" w:hAnsi="Verdana" w:cs="Arial"/>
          <w:sz w:val="20"/>
        </w:rPr>
        <w:t xml:space="preserve">.  Para los procedimientos abreviados, la duración media ha sido de </w:t>
      </w:r>
      <w:r w:rsidR="00E54EC8" w:rsidRPr="007A5A43">
        <w:rPr>
          <w:rFonts w:ascii="Verdana" w:hAnsi="Verdana" w:cs="Arial"/>
          <w:sz w:val="20"/>
        </w:rPr>
        <w:t>10</w:t>
      </w:r>
      <w:r w:rsidRPr="007A5A43">
        <w:rPr>
          <w:rFonts w:ascii="Verdana" w:hAnsi="Verdana" w:cs="Arial"/>
          <w:sz w:val="20"/>
        </w:rPr>
        <w:t>,</w:t>
      </w:r>
      <w:r w:rsidR="00E54EC8" w:rsidRPr="007A5A43">
        <w:rPr>
          <w:rFonts w:ascii="Verdana" w:hAnsi="Verdana" w:cs="Arial"/>
          <w:sz w:val="20"/>
        </w:rPr>
        <w:t>8</w:t>
      </w:r>
      <w:r w:rsidRPr="007A5A43">
        <w:rPr>
          <w:rFonts w:ascii="Verdana" w:hAnsi="Verdana" w:cs="Arial"/>
          <w:sz w:val="20"/>
        </w:rPr>
        <w:t xml:space="preserve"> meses, con mayores valores en </w:t>
      </w:r>
      <w:r w:rsidR="00E54EC8" w:rsidRPr="007A5A43">
        <w:rPr>
          <w:rFonts w:ascii="Verdana" w:hAnsi="Verdana" w:cs="Arial"/>
          <w:sz w:val="20"/>
        </w:rPr>
        <w:t>Castilla la Mancha</w:t>
      </w:r>
      <w:r w:rsidRPr="007A5A43">
        <w:rPr>
          <w:rFonts w:ascii="Verdana" w:hAnsi="Verdana" w:cs="Arial"/>
          <w:sz w:val="20"/>
        </w:rPr>
        <w:t>, 16; C. Valenciana</w:t>
      </w:r>
      <w:r w:rsidR="00E54EC8" w:rsidRPr="007A5A43">
        <w:rPr>
          <w:rFonts w:ascii="Verdana" w:hAnsi="Verdana" w:cs="Arial"/>
          <w:sz w:val="20"/>
        </w:rPr>
        <w:t xml:space="preserve"> y La Rioja</w:t>
      </w:r>
      <w:r w:rsidRPr="007A5A43">
        <w:rPr>
          <w:rFonts w:ascii="Verdana" w:hAnsi="Verdana" w:cs="Arial"/>
          <w:sz w:val="20"/>
        </w:rPr>
        <w:t>, 1</w:t>
      </w:r>
      <w:r w:rsidR="00E54EC8" w:rsidRPr="007A5A43">
        <w:rPr>
          <w:rFonts w:ascii="Verdana" w:hAnsi="Verdana" w:cs="Arial"/>
          <w:sz w:val="20"/>
        </w:rPr>
        <w:t>4</w:t>
      </w:r>
      <w:r w:rsidRPr="007A5A43">
        <w:rPr>
          <w:rFonts w:ascii="Verdana" w:hAnsi="Verdana" w:cs="Arial"/>
          <w:sz w:val="20"/>
        </w:rPr>
        <w:t>,</w:t>
      </w:r>
      <w:r w:rsidR="00E54EC8" w:rsidRPr="007A5A43">
        <w:rPr>
          <w:rFonts w:ascii="Verdana" w:hAnsi="Verdana" w:cs="Arial"/>
          <w:sz w:val="20"/>
        </w:rPr>
        <w:t>2</w:t>
      </w:r>
      <w:r w:rsidRPr="007A5A43">
        <w:rPr>
          <w:rFonts w:ascii="Verdana" w:hAnsi="Verdana" w:cs="Arial"/>
          <w:sz w:val="20"/>
        </w:rPr>
        <w:t>; y Madrid</w:t>
      </w:r>
      <w:r w:rsidR="00E54EC8" w:rsidRPr="007A5A43">
        <w:rPr>
          <w:rFonts w:ascii="Verdana" w:hAnsi="Verdana" w:cs="Arial"/>
          <w:sz w:val="20"/>
        </w:rPr>
        <w:t xml:space="preserve"> y Murcia</w:t>
      </w:r>
      <w:r w:rsidRPr="007A5A43">
        <w:rPr>
          <w:rFonts w:ascii="Verdana" w:hAnsi="Verdana" w:cs="Arial"/>
          <w:sz w:val="20"/>
        </w:rPr>
        <w:t>, 13,</w:t>
      </w:r>
      <w:r w:rsidR="00E54EC8" w:rsidRPr="007A5A43">
        <w:rPr>
          <w:rFonts w:ascii="Verdana" w:hAnsi="Verdana" w:cs="Arial"/>
          <w:sz w:val="20"/>
        </w:rPr>
        <w:t>3</w:t>
      </w:r>
      <w:r w:rsidRPr="007A5A43">
        <w:rPr>
          <w:rFonts w:ascii="Verdana" w:hAnsi="Verdana" w:cs="Arial"/>
          <w:sz w:val="20"/>
        </w:rPr>
        <w:t xml:space="preserve"> meses.  El menor tiempo medio se ha dado en Illes Balears, 3 meses.</w:t>
      </w:r>
    </w:p>
    <w:p w:rsidR="00892298" w:rsidRPr="007A5A43" w:rsidRDefault="00892298" w:rsidP="00892298">
      <w:pPr>
        <w:spacing w:before="120" w:after="120"/>
        <w:ind w:firstLine="357"/>
        <w:jc w:val="both"/>
        <w:rPr>
          <w:rFonts w:ascii="Verdana" w:hAnsi="Verdana" w:cs="Arial"/>
          <w:sz w:val="20"/>
        </w:rPr>
      </w:pPr>
      <w:r w:rsidRPr="007A5A43">
        <w:rPr>
          <w:rFonts w:ascii="Verdana" w:hAnsi="Verdana" w:cs="Arial"/>
          <w:sz w:val="20"/>
        </w:rPr>
        <w:t>En los juzgados de menores</w:t>
      </w:r>
      <w:r w:rsidR="00C757A1" w:rsidRPr="007A5A43">
        <w:rPr>
          <w:rFonts w:ascii="Verdana" w:hAnsi="Verdana" w:cs="Arial"/>
          <w:sz w:val="20"/>
        </w:rPr>
        <w:t>, la duración media ha sido de 6</w:t>
      </w:r>
      <w:r w:rsidRPr="007A5A43">
        <w:rPr>
          <w:rFonts w:ascii="Verdana" w:hAnsi="Verdana" w:cs="Arial"/>
          <w:sz w:val="20"/>
        </w:rPr>
        <w:t>,</w:t>
      </w:r>
      <w:r w:rsidR="00C757A1" w:rsidRPr="007A5A43">
        <w:rPr>
          <w:rFonts w:ascii="Verdana" w:hAnsi="Verdana" w:cs="Arial"/>
          <w:sz w:val="20"/>
        </w:rPr>
        <w:t>2</w:t>
      </w:r>
      <w:r w:rsidRPr="007A5A43">
        <w:rPr>
          <w:rFonts w:ascii="Verdana" w:hAnsi="Verdana" w:cs="Arial"/>
          <w:sz w:val="20"/>
        </w:rPr>
        <w:t xml:space="preserve"> meses, dándose la mayor en Navarra, 7,</w:t>
      </w:r>
      <w:r w:rsidR="00C757A1" w:rsidRPr="007A5A43">
        <w:rPr>
          <w:rFonts w:ascii="Verdana" w:hAnsi="Verdana" w:cs="Arial"/>
          <w:sz w:val="20"/>
        </w:rPr>
        <w:t>9</w:t>
      </w:r>
      <w:r w:rsidRPr="007A5A43">
        <w:rPr>
          <w:rFonts w:ascii="Verdana" w:hAnsi="Verdana" w:cs="Arial"/>
          <w:sz w:val="20"/>
        </w:rPr>
        <w:t>; Canarias</w:t>
      </w:r>
      <w:r w:rsidR="00C757A1" w:rsidRPr="007A5A43">
        <w:rPr>
          <w:rFonts w:ascii="Verdana" w:hAnsi="Verdana" w:cs="Arial"/>
          <w:sz w:val="20"/>
        </w:rPr>
        <w:t xml:space="preserve">, 7,5; Cantabria, 7,4; Cataluña e Illes Balears, 7,3;  </w:t>
      </w:r>
      <w:r w:rsidRPr="007A5A43">
        <w:rPr>
          <w:rFonts w:ascii="Verdana" w:hAnsi="Verdana" w:cs="Arial"/>
          <w:sz w:val="20"/>
        </w:rPr>
        <w:t xml:space="preserve"> y Castilla-La Mancha, </w:t>
      </w:r>
      <w:r w:rsidR="00C757A1" w:rsidRPr="007A5A43">
        <w:rPr>
          <w:rFonts w:ascii="Verdana" w:hAnsi="Verdana" w:cs="Arial"/>
          <w:sz w:val="20"/>
        </w:rPr>
        <w:t>74</w:t>
      </w:r>
      <w:r w:rsidRPr="007A5A43">
        <w:rPr>
          <w:rFonts w:ascii="Verdana" w:hAnsi="Verdana" w:cs="Arial"/>
          <w:sz w:val="20"/>
        </w:rPr>
        <w:t>.</w:t>
      </w:r>
    </w:p>
    <w:p w:rsidR="00892298" w:rsidRPr="007A5A43" w:rsidRDefault="00892298" w:rsidP="00892298">
      <w:pPr>
        <w:spacing w:before="120" w:after="120"/>
        <w:ind w:firstLine="357"/>
        <w:jc w:val="both"/>
        <w:rPr>
          <w:rFonts w:ascii="Verdana" w:hAnsi="Verdana" w:cs="Arial"/>
          <w:sz w:val="20"/>
        </w:rPr>
      </w:pPr>
      <w:r w:rsidRPr="007A5A43">
        <w:rPr>
          <w:rFonts w:ascii="Verdana" w:hAnsi="Verdana" w:cs="Arial"/>
          <w:sz w:val="20"/>
        </w:rPr>
        <w:t xml:space="preserve">En las audiencias provinciales, los sumarios tuvieron una duración media de </w:t>
      </w:r>
      <w:r w:rsidR="00C757A1" w:rsidRPr="007A5A43">
        <w:rPr>
          <w:rFonts w:ascii="Verdana" w:hAnsi="Verdana" w:cs="Arial"/>
          <w:sz w:val="20"/>
        </w:rPr>
        <w:t>10</w:t>
      </w:r>
      <w:r w:rsidRPr="007A5A43">
        <w:rPr>
          <w:rFonts w:ascii="Verdana" w:hAnsi="Verdana" w:cs="Arial"/>
          <w:sz w:val="20"/>
        </w:rPr>
        <w:t>,</w:t>
      </w:r>
      <w:r w:rsidR="00C757A1" w:rsidRPr="007A5A43">
        <w:rPr>
          <w:rFonts w:ascii="Verdana" w:hAnsi="Verdana" w:cs="Arial"/>
          <w:sz w:val="20"/>
        </w:rPr>
        <w:t>9</w:t>
      </w:r>
      <w:r w:rsidRPr="007A5A43">
        <w:rPr>
          <w:rFonts w:ascii="Verdana" w:hAnsi="Verdana" w:cs="Arial"/>
          <w:sz w:val="20"/>
        </w:rPr>
        <w:t xml:space="preserve"> meses, con mayores duraciones en </w:t>
      </w:r>
      <w:r w:rsidR="00C757A1" w:rsidRPr="007A5A43">
        <w:rPr>
          <w:rFonts w:ascii="Verdana" w:hAnsi="Verdana" w:cs="Arial"/>
          <w:sz w:val="20"/>
        </w:rPr>
        <w:t xml:space="preserve">La Rioja, 22,7; </w:t>
      </w:r>
      <w:r w:rsidRPr="007A5A43">
        <w:rPr>
          <w:rFonts w:ascii="Verdana" w:hAnsi="Verdana" w:cs="Arial"/>
          <w:sz w:val="20"/>
        </w:rPr>
        <w:t>Murcia, 21,</w:t>
      </w:r>
      <w:r w:rsidR="00C757A1" w:rsidRPr="007A5A43">
        <w:rPr>
          <w:rFonts w:ascii="Verdana" w:hAnsi="Verdana" w:cs="Arial"/>
          <w:sz w:val="20"/>
        </w:rPr>
        <w:t>3</w:t>
      </w:r>
      <w:r w:rsidRPr="007A5A43">
        <w:rPr>
          <w:rFonts w:ascii="Verdana" w:hAnsi="Verdana" w:cs="Arial"/>
          <w:sz w:val="20"/>
        </w:rPr>
        <w:t xml:space="preserve"> meses; </w:t>
      </w:r>
      <w:r w:rsidR="00C757A1" w:rsidRPr="007A5A43">
        <w:rPr>
          <w:rFonts w:ascii="Verdana" w:hAnsi="Verdana" w:cs="Arial"/>
          <w:sz w:val="20"/>
        </w:rPr>
        <w:t xml:space="preserve">Cataluña, 13,7; e Illes </w:t>
      </w:r>
      <w:r w:rsidRPr="007A5A43">
        <w:rPr>
          <w:rFonts w:ascii="Verdana" w:hAnsi="Verdana" w:cs="Arial"/>
          <w:sz w:val="20"/>
        </w:rPr>
        <w:t xml:space="preserve">Balears, </w:t>
      </w:r>
      <w:r w:rsidR="00C757A1" w:rsidRPr="007A5A43">
        <w:rPr>
          <w:rFonts w:ascii="Verdana" w:hAnsi="Verdana" w:cs="Arial"/>
          <w:sz w:val="20"/>
        </w:rPr>
        <w:t>11</w:t>
      </w:r>
      <w:r w:rsidRPr="007A5A43">
        <w:rPr>
          <w:rFonts w:ascii="Verdana" w:hAnsi="Verdana" w:cs="Arial"/>
          <w:sz w:val="20"/>
        </w:rPr>
        <w:t>,</w:t>
      </w:r>
      <w:r w:rsidR="00C757A1" w:rsidRPr="007A5A43">
        <w:rPr>
          <w:rFonts w:ascii="Verdana" w:hAnsi="Verdana" w:cs="Arial"/>
          <w:sz w:val="20"/>
        </w:rPr>
        <w:t>9.</w:t>
      </w:r>
      <w:r w:rsidRPr="007A5A43">
        <w:rPr>
          <w:rFonts w:ascii="Verdana" w:hAnsi="Verdana" w:cs="Arial"/>
          <w:sz w:val="20"/>
        </w:rPr>
        <w:t xml:space="preserve">  La duración media de los procedimientos de jurado fue de </w:t>
      </w:r>
      <w:r w:rsidR="00C757A1" w:rsidRPr="007A5A43">
        <w:rPr>
          <w:rFonts w:ascii="Verdana" w:hAnsi="Verdana" w:cs="Arial"/>
          <w:sz w:val="20"/>
        </w:rPr>
        <w:t>6,1</w:t>
      </w:r>
      <w:r w:rsidRPr="007A5A43">
        <w:rPr>
          <w:rFonts w:ascii="Verdana" w:hAnsi="Verdana" w:cs="Arial"/>
          <w:sz w:val="20"/>
        </w:rPr>
        <w:t xml:space="preserve"> meses, destacando </w:t>
      </w:r>
      <w:r w:rsidR="00C757A1" w:rsidRPr="007A5A43">
        <w:rPr>
          <w:rFonts w:ascii="Verdana" w:hAnsi="Verdana" w:cs="Arial"/>
          <w:sz w:val="20"/>
        </w:rPr>
        <w:t>Cantabria</w:t>
      </w:r>
      <w:r w:rsidRPr="007A5A43">
        <w:rPr>
          <w:rFonts w:ascii="Verdana" w:hAnsi="Verdana" w:cs="Arial"/>
          <w:sz w:val="20"/>
        </w:rPr>
        <w:t xml:space="preserve">, 9 meses; </w:t>
      </w:r>
      <w:r w:rsidR="00C757A1" w:rsidRPr="007A5A43">
        <w:rPr>
          <w:rFonts w:ascii="Verdana" w:hAnsi="Verdana" w:cs="Arial"/>
          <w:sz w:val="20"/>
        </w:rPr>
        <w:t xml:space="preserve">Asturias, 8,6; Canarias, 8,4; y Extremadura, 8 meses. </w:t>
      </w:r>
      <w:r w:rsidRPr="007A5A43">
        <w:rPr>
          <w:rFonts w:ascii="Verdana" w:hAnsi="Verdana" w:cs="Arial"/>
          <w:sz w:val="20"/>
        </w:rPr>
        <w:t xml:space="preserve"> Los Procedimientos abreviados tuvieron una duración media de 8,</w:t>
      </w:r>
      <w:r w:rsidR="00C757A1" w:rsidRPr="007A5A43">
        <w:rPr>
          <w:rFonts w:ascii="Verdana" w:hAnsi="Verdana" w:cs="Arial"/>
          <w:sz w:val="20"/>
        </w:rPr>
        <w:t>6</w:t>
      </w:r>
      <w:r w:rsidRPr="007A5A43">
        <w:rPr>
          <w:rFonts w:ascii="Verdana" w:hAnsi="Verdana" w:cs="Arial"/>
          <w:sz w:val="20"/>
        </w:rPr>
        <w:t xml:space="preserve"> meses, con mayores valores en la C. Valenciana, </w:t>
      </w:r>
      <w:r w:rsidR="00C757A1" w:rsidRPr="007A5A43">
        <w:rPr>
          <w:rFonts w:ascii="Verdana" w:hAnsi="Verdana" w:cs="Arial"/>
          <w:sz w:val="20"/>
        </w:rPr>
        <w:t>14,7</w:t>
      </w:r>
      <w:r w:rsidRPr="007A5A43">
        <w:rPr>
          <w:rFonts w:ascii="Verdana" w:hAnsi="Verdana" w:cs="Arial"/>
          <w:sz w:val="20"/>
        </w:rPr>
        <w:t xml:space="preserve">; </w:t>
      </w:r>
      <w:r w:rsidR="00C757A1" w:rsidRPr="007A5A43">
        <w:rPr>
          <w:rFonts w:ascii="Verdana" w:hAnsi="Verdana" w:cs="Arial"/>
          <w:sz w:val="20"/>
        </w:rPr>
        <w:t xml:space="preserve">La Rioja, 13,3; </w:t>
      </w:r>
      <w:r w:rsidRPr="007A5A43">
        <w:rPr>
          <w:rFonts w:ascii="Verdana" w:hAnsi="Verdana" w:cs="Arial"/>
          <w:sz w:val="20"/>
        </w:rPr>
        <w:t>Murcia, 12,</w:t>
      </w:r>
      <w:r w:rsidR="00C757A1" w:rsidRPr="007A5A43">
        <w:rPr>
          <w:rFonts w:ascii="Verdana" w:hAnsi="Verdana" w:cs="Arial"/>
          <w:sz w:val="20"/>
        </w:rPr>
        <w:t>3</w:t>
      </w:r>
      <w:r w:rsidRPr="007A5A43">
        <w:rPr>
          <w:rFonts w:ascii="Verdana" w:hAnsi="Verdana" w:cs="Arial"/>
          <w:sz w:val="20"/>
        </w:rPr>
        <w:t xml:space="preserve">; </w:t>
      </w:r>
      <w:r w:rsidR="00C757A1" w:rsidRPr="007A5A43">
        <w:rPr>
          <w:rFonts w:ascii="Verdana" w:hAnsi="Verdana" w:cs="Arial"/>
          <w:sz w:val="20"/>
        </w:rPr>
        <w:t>Cataluña, 10</w:t>
      </w:r>
      <w:r w:rsidRPr="007A5A43">
        <w:rPr>
          <w:rFonts w:ascii="Verdana" w:hAnsi="Verdana" w:cs="Arial"/>
          <w:sz w:val="20"/>
        </w:rPr>
        <w:t>. La duración media</w:t>
      </w:r>
      <w:r w:rsidR="001D2E70" w:rsidRPr="007A5A43">
        <w:rPr>
          <w:rFonts w:ascii="Verdana" w:hAnsi="Verdana" w:cs="Arial"/>
          <w:sz w:val="20"/>
        </w:rPr>
        <w:t xml:space="preserve"> de los recursos  ha sido de 1,6</w:t>
      </w:r>
      <w:r w:rsidRPr="007A5A43">
        <w:rPr>
          <w:rFonts w:ascii="Verdana" w:hAnsi="Verdana" w:cs="Arial"/>
          <w:sz w:val="20"/>
        </w:rPr>
        <w:t xml:space="preserve"> meses, con mayores duraciones en La Rioja, </w:t>
      </w:r>
      <w:r w:rsidR="001D2E70" w:rsidRPr="007A5A43">
        <w:rPr>
          <w:rFonts w:ascii="Verdana" w:hAnsi="Verdana" w:cs="Arial"/>
          <w:sz w:val="20"/>
        </w:rPr>
        <w:t>5</w:t>
      </w:r>
      <w:r w:rsidRPr="007A5A43">
        <w:rPr>
          <w:rFonts w:ascii="Verdana" w:hAnsi="Verdana" w:cs="Arial"/>
          <w:sz w:val="20"/>
        </w:rPr>
        <w:t>,</w:t>
      </w:r>
      <w:r w:rsidR="001D2E70" w:rsidRPr="007A5A43">
        <w:rPr>
          <w:rFonts w:ascii="Verdana" w:hAnsi="Verdana" w:cs="Arial"/>
          <w:sz w:val="20"/>
        </w:rPr>
        <w:t>9</w:t>
      </w:r>
      <w:r w:rsidRPr="007A5A43">
        <w:rPr>
          <w:rFonts w:ascii="Verdana" w:hAnsi="Verdana" w:cs="Arial"/>
          <w:sz w:val="20"/>
        </w:rPr>
        <w:t xml:space="preserve">; Cantabria, </w:t>
      </w:r>
      <w:r w:rsidR="00AE25C3" w:rsidRPr="007A5A43">
        <w:rPr>
          <w:rFonts w:ascii="Verdana" w:hAnsi="Verdana" w:cs="Arial"/>
          <w:sz w:val="20"/>
        </w:rPr>
        <w:t>4</w:t>
      </w:r>
      <w:r w:rsidRPr="007A5A43">
        <w:rPr>
          <w:rFonts w:ascii="Verdana" w:hAnsi="Verdana" w:cs="Arial"/>
          <w:sz w:val="20"/>
        </w:rPr>
        <w:t>,</w:t>
      </w:r>
      <w:r w:rsidR="00AE25C3" w:rsidRPr="007A5A43">
        <w:rPr>
          <w:rFonts w:ascii="Verdana" w:hAnsi="Verdana" w:cs="Arial"/>
          <w:sz w:val="20"/>
        </w:rPr>
        <w:t>1</w:t>
      </w:r>
      <w:r w:rsidRPr="007A5A43">
        <w:rPr>
          <w:rFonts w:ascii="Verdana" w:hAnsi="Verdana" w:cs="Arial"/>
          <w:sz w:val="20"/>
        </w:rPr>
        <w:t>; y Castilla la Mancha, 2,</w:t>
      </w:r>
      <w:r w:rsidR="00AE25C3" w:rsidRPr="007A5A43">
        <w:rPr>
          <w:rFonts w:ascii="Verdana" w:hAnsi="Verdana" w:cs="Arial"/>
          <w:sz w:val="20"/>
        </w:rPr>
        <w:t>8</w:t>
      </w:r>
      <w:r w:rsidRPr="007A5A43">
        <w:rPr>
          <w:rFonts w:ascii="Verdana" w:hAnsi="Verdana" w:cs="Arial"/>
          <w:sz w:val="20"/>
        </w:rPr>
        <w:t xml:space="preserve"> meses.</w:t>
      </w:r>
    </w:p>
    <w:p w:rsidR="001C4981" w:rsidRPr="007A5A43" w:rsidRDefault="001C4981" w:rsidP="00433902">
      <w:pPr>
        <w:spacing w:before="120" w:after="120"/>
        <w:ind w:firstLine="357"/>
        <w:jc w:val="both"/>
        <w:rPr>
          <w:rFonts w:ascii="Verdana" w:hAnsi="Verdana" w:cs="Arial"/>
          <w:color w:val="0070C0"/>
          <w:sz w:val="20"/>
        </w:rPr>
      </w:pPr>
    </w:p>
    <w:p w:rsidR="00433902" w:rsidRPr="007A5A43" w:rsidRDefault="00433902" w:rsidP="00433902">
      <w:pPr>
        <w:keepNext/>
        <w:keepLines/>
        <w:numPr>
          <w:ilvl w:val="1"/>
          <w:numId w:val="9"/>
        </w:numPr>
        <w:spacing w:before="120" w:after="120"/>
        <w:outlineLvl w:val="1"/>
        <w:rPr>
          <w:rFonts w:ascii="Verdana" w:hAnsi="Verdana"/>
          <w:b/>
          <w:color w:val="333399"/>
        </w:rPr>
      </w:pPr>
      <w:r w:rsidRPr="007A5A43">
        <w:rPr>
          <w:rFonts w:ascii="Verdana" w:hAnsi="Verdana"/>
          <w:b/>
          <w:color w:val="333399"/>
        </w:rPr>
        <w:t xml:space="preserve"> Apelaciones y casaciones</w:t>
      </w:r>
    </w:p>
    <w:p w:rsidR="00433902" w:rsidRPr="007A6EA4" w:rsidRDefault="00433902" w:rsidP="00433902">
      <w:pPr>
        <w:spacing w:before="120" w:after="120"/>
        <w:ind w:firstLine="357"/>
        <w:jc w:val="both"/>
        <w:rPr>
          <w:rFonts w:ascii="Verdana" w:hAnsi="Verdana" w:cs="Arial"/>
          <w:sz w:val="20"/>
        </w:rPr>
      </w:pPr>
      <w:r w:rsidRPr="007A5A43">
        <w:rPr>
          <w:rFonts w:ascii="Verdana" w:hAnsi="Verdana" w:cs="Arial"/>
          <w:sz w:val="20"/>
        </w:rPr>
        <w:t>Las sentencias de apelación devueltas a los juzgados de instrucción, primera instancia e instrucción, de lo penal y de menores durante el año 201</w:t>
      </w:r>
      <w:r w:rsidR="009761AB" w:rsidRPr="007A5A43">
        <w:rPr>
          <w:rFonts w:ascii="Verdana" w:hAnsi="Verdana" w:cs="Arial"/>
          <w:sz w:val="20"/>
        </w:rPr>
        <w:t>7</w:t>
      </w:r>
      <w:r w:rsidRPr="007A5A43">
        <w:rPr>
          <w:rFonts w:ascii="Verdana" w:hAnsi="Verdana" w:cs="Arial"/>
          <w:sz w:val="20"/>
        </w:rPr>
        <w:t xml:space="preserve"> tienen la siguiente distribución:</w:t>
      </w:r>
    </w:p>
    <w:tbl>
      <w:tblPr>
        <w:tblW w:w="9392" w:type="dxa"/>
        <w:tblInd w:w="55" w:type="dxa"/>
        <w:tblCellMar>
          <w:left w:w="70" w:type="dxa"/>
          <w:right w:w="70" w:type="dxa"/>
        </w:tblCellMar>
        <w:tblLook w:val="04A0" w:firstRow="1" w:lastRow="0" w:firstColumn="1" w:lastColumn="0" w:noHBand="0" w:noVBand="1"/>
      </w:tblPr>
      <w:tblGrid>
        <w:gridCol w:w="2680"/>
        <w:gridCol w:w="1880"/>
        <w:gridCol w:w="1666"/>
        <w:gridCol w:w="1666"/>
        <w:gridCol w:w="1500"/>
      </w:tblGrid>
      <w:tr w:rsidR="00433902" w:rsidRPr="007A6EA4" w:rsidTr="007967E0">
        <w:trPr>
          <w:trHeight w:val="585"/>
        </w:trPr>
        <w:tc>
          <w:tcPr>
            <w:tcW w:w="2680" w:type="dxa"/>
            <w:tcBorders>
              <w:top w:val="nil"/>
              <w:left w:val="nil"/>
              <w:bottom w:val="nil"/>
              <w:right w:val="nil"/>
            </w:tcBorders>
            <w:shd w:val="clear" w:color="auto" w:fill="auto"/>
            <w:noWrap/>
            <w:vAlign w:val="center"/>
            <w:hideMark/>
          </w:tcPr>
          <w:p w:rsidR="00433902" w:rsidRPr="007A6EA4" w:rsidRDefault="00433902" w:rsidP="007967E0">
            <w:pPr>
              <w:rPr>
                <w:color w:val="000000"/>
                <w:sz w:val="20"/>
                <w:szCs w:val="20"/>
              </w:rPr>
            </w:pPr>
          </w:p>
        </w:tc>
        <w:tc>
          <w:tcPr>
            <w:tcW w:w="1880"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7A6EA4">
              <w:rPr>
                <w:rFonts w:ascii="Verdana" w:hAnsi="Verdana" w:cs="Arial"/>
                <w:b/>
                <w:bCs/>
                <w:color w:val="000080"/>
                <w:sz w:val="20"/>
                <w:szCs w:val="20"/>
              </w:rPr>
              <w:t>Confirmaciones</w:t>
            </w:r>
          </w:p>
        </w:tc>
        <w:tc>
          <w:tcPr>
            <w:tcW w:w="1666"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7A6EA4">
              <w:rPr>
                <w:rFonts w:ascii="Verdana" w:hAnsi="Verdana" w:cs="Arial"/>
                <w:b/>
                <w:bCs/>
                <w:color w:val="000080"/>
                <w:sz w:val="20"/>
                <w:szCs w:val="20"/>
              </w:rPr>
              <w:t>Revocaciones totales</w:t>
            </w:r>
          </w:p>
        </w:tc>
        <w:tc>
          <w:tcPr>
            <w:tcW w:w="1666"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7A6EA4">
              <w:rPr>
                <w:rFonts w:ascii="Verdana" w:hAnsi="Verdana" w:cs="Arial"/>
                <w:b/>
                <w:bCs/>
                <w:color w:val="000080"/>
                <w:sz w:val="20"/>
                <w:szCs w:val="20"/>
              </w:rPr>
              <w:t>Revocaciones parciales</w:t>
            </w:r>
          </w:p>
        </w:tc>
        <w:tc>
          <w:tcPr>
            <w:tcW w:w="1500" w:type="dxa"/>
            <w:tcBorders>
              <w:top w:val="single" w:sz="8" w:space="0" w:color="auto"/>
              <w:left w:val="nil"/>
              <w:bottom w:val="single" w:sz="8" w:space="0" w:color="auto"/>
              <w:right w:val="nil"/>
            </w:tcBorders>
            <w:shd w:val="clear" w:color="auto" w:fill="auto"/>
            <w:vAlign w:val="center"/>
            <w:hideMark/>
          </w:tcPr>
          <w:p w:rsidR="00433902" w:rsidRPr="007A6EA4" w:rsidRDefault="00433902" w:rsidP="007967E0">
            <w:pPr>
              <w:jc w:val="center"/>
              <w:rPr>
                <w:rFonts w:ascii="Verdana" w:hAnsi="Verdana" w:cs="Calibri"/>
                <w:b/>
                <w:bCs/>
                <w:color w:val="000080"/>
                <w:sz w:val="20"/>
                <w:szCs w:val="20"/>
              </w:rPr>
            </w:pPr>
            <w:r w:rsidRPr="007A6EA4">
              <w:rPr>
                <w:rFonts w:ascii="Verdana" w:hAnsi="Verdana" w:cs="Arial"/>
                <w:b/>
                <w:bCs/>
                <w:color w:val="000080"/>
                <w:sz w:val="20"/>
                <w:szCs w:val="20"/>
              </w:rPr>
              <w:t>Anulaciones</w:t>
            </w:r>
          </w:p>
        </w:tc>
      </w:tr>
      <w:tr w:rsidR="009761AB" w:rsidRPr="007A5A43" w:rsidTr="00150CA6">
        <w:trPr>
          <w:trHeight w:val="510"/>
        </w:trPr>
        <w:tc>
          <w:tcPr>
            <w:tcW w:w="2680" w:type="dxa"/>
            <w:tcBorders>
              <w:top w:val="single" w:sz="8" w:space="0" w:color="auto"/>
              <w:left w:val="nil"/>
              <w:bottom w:val="nil"/>
              <w:right w:val="nil"/>
            </w:tcBorders>
            <w:shd w:val="clear" w:color="auto" w:fill="auto"/>
            <w:vAlign w:val="center"/>
            <w:hideMark/>
          </w:tcPr>
          <w:p w:rsidR="009761AB" w:rsidRPr="007A5A43" w:rsidRDefault="009761AB" w:rsidP="007967E0">
            <w:pPr>
              <w:rPr>
                <w:rFonts w:ascii="Verdana" w:hAnsi="Verdana" w:cs="Calibri"/>
                <w:color w:val="000000"/>
                <w:sz w:val="20"/>
                <w:szCs w:val="20"/>
              </w:rPr>
            </w:pPr>
            <w:r w:rsidRPr="007A5A43">
              <w:rPr>
                <w:rFonts w:ascii="Verdana" w:hAnsi="Verdana" w:cs="Arial"/>
                <w:color w:val="000000"/>
                <w:sz w:val="20"/>
                <w:szCs w:val="20"/>
              </w:rPr>
              <w:t xml:space="preserve">Jdos.  Instrucción  y 1ª Instancia e Instrucción             </w:t>
            </w:r>
          </w:p>
        </w:tc>
        <w:tc>
          <w:tcPr>
            <w:tcW w:w="188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78,3</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12,1</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7,6</w:t>
            </w:r>
          </w:p>
        </w:tc>
        <w:tc>
          <w:tcPr>
            <w:tcW w:w="150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1,9</w:t>
            </w:r>
          </w:p>
        </w:tc>
      </w:tr>
      <w:tr w:rsidR="009761AB" w:rsidRPr="007A5A43" w:rsidTr="007967E0">
        <w:trPr>
          <w:trHeight w:val="510"/>
        </w:trPr>
        <w:tc>
          <w:tcPr>
            <w:tcW w:w="2680" w:type="dxa"/>
            <w:tcBorders>
              <w:top w:val="nil"/>
              <w:left w:val="nil"/>
              <w:bottom w:val="nil"/>
              <w:right w:val="nil"/>
            </w:tcBorders>
            <w:shd w:val="clear" w:color="auto" w:fill="auto"/>
            <w:vAlign w:val="center"/>
            <w:hideMark/>
          </w:tcPr>
          <w:p w:rsidR="009761AB" w:rsidRPr="007A5A43" w:rsidRDefault="009761AB" w:rsidP="007967E0">
            <w:pPr>
              <w:rPr>
                <w:rFonts w:ascii="Verdana" w:hAnsi="Verdana" w:cs="Calibri"/>
                <w:color w:val="000000"/>
                <w:sz w:val="20"/>
                <w:szCs w:val="20"/>
              </w:rPr>
            </w:pPr>
            <w:r w:rsidRPr="007A5A43">
              <w:rPr>
                <w:rFonts w:ascii="Verdana" w:hAnsi="Verdana" w:cs="Arial"/>
                <w:color w:val="000000"/>
                <w:sz w:val="20"/>
                <w:szCs w:val="20"/>
              </w:rPr>
              <w:t>Jdos. Violencia contra la Mujer</w:t>
            </w:r>
          </w:p>
        </w:tc>
        <w:tc>
          <w:tcPr>
            <w:tcW w:w="188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Arial" w:hAnsi="Arial" w:cs="Arial"/>
                <w:sz w:val="20"/>
                <w:szCs w:val="20"/>
              </w:rPr>
            </w:pPr>
            <w:r w:rsidRPr="007A5A43">
              <w:rPr>
                <w:rFonts w:ascii="Arial" w:hAnsi="Arial" w:cs="Arial"/>
                <w:sz w:val="20"/>
                <w:szCs w:val="20"/>
              </w:rPr>
              <w:t>79,1</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Arial" w:hAnsi="Arial" w:cs="Arial"/>
                <w:sz w:val="20"/>
                <w:szCs w:val="20"/>
              </w:rPr>
            </w:pPr>
            <w:r w:rsidRPr="007A5A43">
              <w:rPr>
                <w:rFonts w:ascii="Arial" w:hAnsi="Arial" w:cs="Arial"/>
                <w:sz w:val="20"/>
                <w:szCs w:val="20"/>
              </w:rPr>
              <w:t>15,9</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Arial" w:hAnsi="Arial" w:cs="Arial"/>
                <w:sz w:val="20"/>
                <w:szCs w:val="20"/>
              </w:rPr>
            </w:pPr>
            <w:r w:rsidRPr="007A5A43">
              <w:rPr>
                <w:rFonts w:ascii="Arial" w:hAnsi="Arial" w:cs="Arial"/>
                <w:sz w:val="20"/>
                <w:szCs w:val="20"/>
              </w:rPr>
              <w:t>4,6</w:t>
            </w:r>
          </w:p>
        </w:tc>
        <w:tc>
          <w:tcPr>
            <w:tcW w:w="150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Arial" w:hAnsi="Arial" w:cs="Arial"/>
                <w:sz w:val="20"/>
                <w:szCs w:val="20"/>
              </w:rPr>
              <w:t>0,4</w:t>
            </w:r>
          </w:p>
        </w:tc>
      </w:tr>
      <w:tr w:rsidR="009761AB" w:rsidRPr="007A5A43" w:rsidTr="007967E0">
        <w:trPr>
          <w:trHeight w:val="300"/>
        </w:trPr>
        <w:tc>
          <w:tcPr>
            <w:tcW w:w="2680" w:type="dxa"/>
            <w:tcBorders>
              <w:top w:val="nil"/>
              <w:left w:val="nil"/>
              <w:bottom w:val="nil"/>
              <w:right w:val="nil"/>
            </w:tcBorders>
            <w:shd w:val="clear" w:color="auto" w:fill="auto"/>
            <w:vAlign w:val="center"/>
            <w:hideMark/>
          </w:tcPr>
          <w:p w:rsidR="009761AB" w:rsidRPr="007A5A43" w:rsidRDefault="009761AB" w:rsidP="007967E0">
            <w:pPr>
              <w:rPr>
                <w:rFonts w:ascii="Verdana" w:hAnsi="Verdana" w:cs="Calibri"/>
                <w:color w:val="000000"/>
                <w:sz w:val="20"/>
                <w:szCs w:val="20"/>
              </w:rPr>
            </w:pPr>
            <w:r w:rsidRPr="007A5A43">
              <w:rPr>
                <w:rFonts w:ascii="Verdana" w:hAnsi="Verdana" w:cs="Arial"/>
                <w:color w:val="000000"/>
                <w:sz w:val="20"/>
                <w:szCs w:val="20"/>
              </w:rPr>
              <w:t>Jdos. Penal</w:t>
            </w:r>
          </w:p>
        </w:tc>
        <w:tc>
          <w:tcPr>
            <w:tcW w:w="188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78,3</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9,0</w:t>
            </w:r>
          </w:p>
        </w:tc>
        <w:tc>
          <w:tcPr>
            <w:tcW w:w="1666"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11,6</w:t>
            </w:r>
          </w:p>
        </w:tc>
        <w:tc>
          <w:tcPr>
            <w:tcW w:w="1500" w:type="dxa"/>
            <w:tcBorders>
              <w:top w:val="nil"/>
              <w:left w:val="nil"/>
              <w:bottom w:val="nil"/>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1,1</w:t>
            </w:r>
          </w:p>
        </w:tc>
      </w:tr>
      <w:tr w:rsidR="009761AB" w:rsidRPr="007A5A43" w:rsidTr="007967E0">
        <w:trPr>
          <w:trHeight w:val="315"/>
        </w:trPr>
        <w:tc>
          <w:tcPr>
            <w:tcW w:w="2680" w:type="dxa"/>
            <w:tcBorders>
              <w:top w:val="nil"/>
              <w:left w:val="nil"/>
              <w:bottom w:val="single" w:sz="8" w:space="0" w:color="auto"/>
              <w:right w:val="nil"/>
            </w:tcBorders>
            <w:shd w:val="clear" w:color="auto" w:fill="auto"/>
            <w:vAlign w:val="center"/>
            <w:hideMark/>
          </w:tcPr>
          <w:p w:rsidR="009761AB" w:rsidRPr="007A5A43" w:rsidRDefault="009761AB" w:rsidP="007967E0">
            <w:pPr>
              <w:rPr>
                <w:rFonts w:ascii="Verdana" w:hAnsi="Verdana" w:cs="Calibri"/>
                <w:color w:val="000000"/>
                <w:sz w:val="20"/>
                <w:szCs w:val="20"/>
              </w:rPr>
            </w:pPr>
            <w:r w:rsidRPr="007A5A43">
              <w:rPr>
                <w:rFonts w:ascii="Verdana" w:hAnsi="Verdana" w:cs="Arial"/>
                <w:color w:val="000000"/>
                <w:sz w:val="20"/>
                <w:szCs w:val="20"/>
              </w:rPr>
              <w:t>Jdos. Menores</w:t>
            </w:r>
          </w:p>
        </w:tc>
        <w:tc>
          <w:tcPr>
            <w:tcW w:w="1880" w:type="dxa"/>
            <w:tcBorders>
              <w:top w:val="nil"/>
              <w:left w:val="nil"/>
              <w:bottom w:val="single" w:sz="8" w:space="0" w:color="auto"/>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79,5</w:t>
            </w:r>
          </w:p>
        </w:tc>
        <w:tc>
          <w:tcPr>
            <w:tcW w:w="1666" w:type="dxa"/>
            <w:tcBorders>
              <w:top w:val="nil"/>
              <w:left w:val="nil"/>
              <w:bottom w:val="single" w:sz="8" w:space="0" w:color="auto"/>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12,0</w:t>
            </w:r>
          </w:p>
        </w:tc>
        <w:tc>
          <w:tcPr>
            <w:tcW w:w="1666" w:type="dxa"/>
            <w:tcBorders>
              <w:top w:val="nil"/>
              <w:left w:val="nil"/>
              <w:bottom w:val="single" w:sz="8" w:space="0" w:color="auto"/>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7,5</w:t>
            </w:r>
          </w:p>
        </w:tc>
        <w:tc>
          <w:tcPr>
            <w:tcW w:w="1500" w:type="dxa"/>
            <w:tcBorders>
              <w:top w:val="nil"/>
              <w:left w:val="nil"/>
              <w:bottom w:val="single" w:sz="8" w:space="0" w:color="auto"/>
              <w:right w:val="nil"/>
            </w:tcBorders>
            <w:shd w:val="clear" w:color="auto" w:fill="auto"/>
            <w:noWrap/>
            <w:vAlign w:val="bottom"/>
            <w:hideMark/>
          </w:tcPr>
          <w:p w:rsidR="009761AB" w:rsidRPr="007A5A43" w:rsidRDefault="009761AB" w:rsidP="009761AB">
            <w:pPr>
              <w:jc w:val="center"/>
              <w:rPr>
                <w:rFonts w:ascii="Verdana" w:hAnsi="Verdana" w:cs="Arial"/>
                <w:sz w:val="20"/>
                <w:szCs w:val="20"/>
              </w:rPr>
            </w:pPr>
            <w:r w:rsidRPr="007A5A43">
              <w:rPr>
                <w:rFonts w:ascii="Verdana" w:hAnsi="Verdana" w:cs="Arial"/>
                <w:sz w:val="20"/>
                <w:szCs w:val="20"/>
              </w:rPr>
              <w:t>1,1</w:t>
            </w:r>
          </w:p>
        </w:tc>
      </w:tr>
    </w:tbl>
    <w:p w:rsidR="00433902" w:rsidRPr="00CE68ED" w:rsidRDefault="00CE68ED" w:rsidP="00CE68ED">
      <w:pPr>
        <w:spacing w:before="120" w:after="120"/>
        <w:ind w:firstLine="357"/>
        <w:jc w:val="both"/>
        <w:rPr>
          <w:rFonts w:ascii="Verdana" w:hAnsi="Verdana" w:cs="Arial"/>
          <w:sz w:val="20"/>
          <w:highlight w:val="yellow"/>
        </w:rPr>
      </w:pPr>
      <w:r w:rsidRPr="007A5A43">
        <w:rPr>
          <w:rFonts w:ascii="Verdana" w:hAnsi="Verdana" w:cs="Arial"/>
          <w:sz w:val="20"/>
        </w:rPr>
        <w:t xml:space="preserve">Las audiencias provinciales han elevado 3.719 recursos de casación contra sentencias penales, un 25% menos que en 2016. El resultado de los recursos de casación devueltos durante </w:t>
      </w:r>
      <w:r w:rsidR="00354451" w:rsidRPr="007A5A43">
        <w:rPr>
          <w:rFonts w:ascii="Verdana" w:hAnsi="Verdana" w:cs="Arial"/>
          <w:sz w:val="20"/>
        </w:rPr>
        <w:t>el</w:t>
      </w:r>
      <w:r w:rsidRPr="007A5A43">
        <w:rPr>
          <w:rFonts w:ascii="Verdana" w:hAnsi="Verdana" w:cs="Arial"/>
          <w:sz w:val="20"/>
        </w:rPr>
        <w:t xml:space="preserve"> año 2017 se resume en el siguiente gráfico</w:t>
      </w:r>
      <w:r w:rsidRPr="00CE68ED">
        <w:rPr>
          <w:rFonts w:ascii="Verdana" w:hAnsi="Verdana" w:cs="Arial"/>
          <w:sz w:val="20"/>
          <w:highlight w:val="yellow"/>
        </w:rPr>
        <w:t>.</w:t>
      </w:r>
    </w:p>
    <w:p w:rsidR="00433902" w:rsidRPr="00CE68ED" w:rsidRDefault="00CE68ED" w:rsidP="00CE68ED">
      <w:pPr>
        <w:spacing w:before="120" w:after="120"/>
        <w:ind w:firstLine="357"/>
        <w:jc w:val="both"/>
        <w:rPr>
          <w:rFonts w:ascii="Verdana" w:hAnsi="Verdana" w:cs="Arial"/>
          <w:sz w:val="20"/>
          <w:highlight w:val="yellow"/>
        </w:rPr>
      </w:pPr>
      <w:r w:rsidRPr="00CE68ED">
        <w:rPr>
          <w:rFonts w:ascii="Verdana" w:hAnsi="Verdana" w:cs="Arial"/>
          <w:noProof/>
          <w:sz w:val="20"/>
          <w:highlight w:val="yellow"/>
          <w:lang w:val="es-ES"/>
        </w:rPr>
        <w:lastRenderedPageBreak/>
        <w:drawing>
          <wp:inline distT="0" distB="0" distL="0" distR="0" wp14:anchorId="4FE423BE" wp14:editId="7E3C194B">
            <wp:extent cx="4572000" cy="2743200"/>
            <wp:effectExtent l="0" t="0" r="19050" b="1905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33902" w:rsidRDefault="00433902" w:rsidP="00433902">
      <w:pPr>
        <w:spacing w:before="120" w:after="120"/>
        <w:ind w:firstLine="357"/>
        <w:jc w:val="both"/>
        <w:rPr>
          <w:rFonts w:ascii="Verdana" w:hAnsi="Verdana" w:cs="Arial"/>
          <w:sz w:val="20"/>
        </w:rPr>
      </w:pPr>
    </w:p>
    <w:p w:rsidR="006A7881" w:rsidRPr="007A5A43" w:rsidRDefault="006A7881" w:rsidP="00EC5690">
      <w:pPr>
        <w:spacing w:before="120" w:after="120"/>
        <w:ind w:firstLine="357"/>
        <w:jc w:val="both"/>
        <w:rPr>
          <w:rFonts w:ascii="Verdana" w:hAnsi="Verdana" w:cs="Arial"/>
          <w:sz w:val="20"/>
        </w:rPr>
      </w:pPr>
      <w:r w:rsidRPr="007A5A43">
        <w:rPr>
          <w:rFonts w:ascii="Verdana" w:hAnsi="Verdana" w:cs="Arial"/>
          <w:sz w:val="20"/>
        </w:rPr>
        <w:t xml:space="preserve">Los recursos frente a sentencias dictadas por las audiencias provinciales han sufrido un cambio muy relevante como consecuencia de la generalización de la segunda instancia penal, impuesto por la Ley 41/2015, que analizaremos </w:t>
      </w:r>
      <w:r w:rsidR="00750DCB" w:rsidRPr="007A5A43">
        <w:rPr>
          <w:rFonts w:ascii="Verdana" w:hAnsi="Verdana" w:cs="Arial"/>
          <w:sz w:val="20"/>
        </w:rPr>
        <w:t>individualizadamente</w:t>
      </w:r>
      <w:r w:rsidRPr="007A5A43">
        <w:rPr>
          <w:rFonts w:ascii="Verdana" w:hAnsi="Verdana" w:cs="Arial"/>
          <w:sz w:val="20"/>
        </w:rPr>
        <w:t xml:space="preserve"> al tratar del impacto de las reformas legales. Los datos observados son los siguientes:</w:t>
      </w:r>
    </w:p>
    <w:p w:rsidR="009C7FC3" w:rsidRPr="00EC5690" w:rsidRDefault="009C7FC3" w:rsidP="00EC5690">
      <w:pPr>
        <w:spacing w:before="120" w:after="120"/>
        <w:ind w:firstLine="357"/>
        <w:jc w:val="both"/>
        <w:rPr>
          <w:rFonts w:ascii="Verdana" w:hAnsi="Verdana" w:cs="Arial"/>
          <w:sz w:val="20"/>
          <w:highlight w:val="yellow"/>
        </w:rPr>
      </w:pPr>
    </w:p>
    <w:tbl>
      <w:tblPr>
        <w:tblW w:w="5360" w:type="dxa"/>
        <w:jc w:val="center"/>
        <w:tblInd w:w="55" w:type="dxa"/>
        <w:tblCellMar>
          <w:left w:w="70" w:type="dxa"/>
          <w:right w:w="70" w:type="dxa"/>
        </w:tblCellMar>
        <w:tblLook w:val="04A0" w:firstRow="1" w:lastRow="0" w:firstColumn="1" w:lastColumn="0" w:noHBand="0" w:noVBand="1"/>
      </w:tblPr>
      <w:tblGrid>
        <w:gridCol w:w="2320"/>
        <w:gridCol w:w="920"/>
        <w:gridCol w:w="920"/>
        <w:gridCol w:w="1200"/>
      </w:tblGrid>
      <w:tr w:rsidR="000A1BEA" w:rsidTr="000A1BEA">
        <w:trPr>
          <w:trHeight w:val="315"/>
          <w:jc w:val="center"/>
        </w:trPr>
        <w:tc>
          <w:tcPr>
            <w:tcW w:w="2320" w:type="dxa"/>
            <w:tcBorders>
              <w:top w:val="nil"/>
              <w:left w:val="nil"/>
              <w:bottom w:val="nil"/>
              <w:right w:val="nil"/>
            </w:tcBorders>
            <w:shd w:val="clear" w:color="auto" w:fill="auto"/>
            <w:noWrap/>
            <w:vAlign w:val="bottom"/>
            <w:hideMark/>
          </w:tcPr>
          <w:p w:rsidR="000A1BEA" w:rsidRDefault="000A1BEA">
            <w:pPr>
              <w:rPr>
                <w:sz w:val="20"/>
                <w:szCs w:val="20"/>
              </w:rPr>
            </w:pPr>
          </w:p>
        </w:tc>
        <w:tc>
          <w:tcPr>
            <w:tcW w:w="920" w:type="dxa"/>
            <w:tcBorders>
              <w:top w:val="single" w:sz="8" w:space="0" w:color="auto"/>
              <w:left w:val="nil"/>
              <w:bottom w:val="single" w:sz="8" w:space="0" w:color="auto"/>
              <w:right w:val="nil"/>
            </w:tcBorders>
            <w:shd w:val="clear" w:color="auto" w:fill="auto"/>
            <w:noWrap/>
            <w:vAlign w:val="center"/>
            <w:hideMark/>
          </w:tcPr>
          <w:p w:rsidR="000A1BEA" w:rsidRDefault="000A1BEA">
            <w:pPr>
              <w:jc w:val="center"/>
              <w:rPr>
                <w:rFonts w:ascii="Verdana" w:hAnsi="Verdana" w:cs="Calibri"/>
                <w:sz w:val="20"/>
                <w:szCs w:val="20"/>
              </w:rPr>
            </w:pPr>
            <w:r>
              <w:rPr>
                <w:rFonts w:ascii="Verdana" w:hAnsi="Verdana" w:cs="Calibri"/>
                <w:sz w:val="20"/>
                <w:szCs w:val="20"/>
              </w:rPr>
              <w:t>2016</w:t>
            </w:r>
          </w:p>
        </w:tc>
        <w:tc>
          <w:tcPr>
            <w:tcW w:w="920" w:type="dxa"/>
            <w:tcBorders>
              <w:top w:val="single" w:sz="8" w:space="0" w:color="auto"/>
              <w:left w:val="nil"/>
              <w:bottom w:val="single" w:sz="8" w:space="0" w:color="auto"/>
              <w:right w:val="nil"/>
            </w:tcBorders>
            <w:shd w:val="clear" w:color="auto" w:fill="auto"/>
            <w:noWrap/>
            <w:vAlign w:val="center"/>
            <w:hideMark/>
          </w:tcPr>
          <w:p w:rsidR="000A1BEA" w:rsidRDefault="000A1BEA">
            <w:pPr>
              <w:jc w:val="center"/>
              <w:rPr>
                <w:rFonts w:ascii="Verdana" w:hAnsi="Verdana" w:cs="Calibri"/>
                <w:sz w:val="20"/>
                <w:szCs w:val="20"/>
              </w:rPr>
            </w:pPr>
            <w:r>
              <w:rPr>
                <w:rFonts w:ascii="Verdana" w:hAnsi="Verdana" w:cs="Calibri"/>
                <w:sz w:val="20"/>
                <w:szCs w:val="20"/>
              </w:rPr>
              <w:t>2017</w:t>
            </w:r>
          </w:p>
        </w:tc>
        <w:tc>
          <w:tcPr>
            <w:tcW w:w="1200" w:type="dxa"/>
            <w:tcBorders>
              <w:top w:val="single" w:sz="8" w:space="0" w:color="auto"/>
              <w:left w:val="nil"/>
              <w:bottom w:val="single" w:sz="8" w:space="0" w:color="auto"/>
              <w:right w:val="nil"/>
            </w:tcBorders>
            <w:shd w:val="clear" w:color="auto" w:fill="auto"/>
            <w:noWrap/>
            <w:vAlign w:val="center"/>
            <w:hideMark/>
          </w:tcPr>
          <w:p w:rsidR="000A1BEA" w:rsidRDefault="000A1BEA">
            <w:pPr>
              <w:jc w:val="center"/>
              <w:rPr>
                <w:rFonts w:ascii="Verdana" w:hAnsi="Verdana" w:cs="Calibri"/>
                <w:sz w:val="20"/>
                <w:szCs w:val="20"/>
              </w:rPr>
            </w:pPr>
            <w:r>
              <w:rPr>
                <w:rFonts w:ascii="Verdana" w:hAnsi="Verdana" w:cs="Calibri"/>
                <w:sz w:val="20"/>
                <w:szCs w:val="20"/>
              </w:rPr>
              <w:t>Evolución</w:t>
            </w:r>
          </w:p>
        </w:tc>
      </w:tr>
      <w:tr w:rsidR="000A1BEA" w:rsidTr="000A1BEA">
        <w:trPr>
          <w:trHeight w:val="300"/>
          <w:jc w:val="center"/>
        </w:trPr>
        <w:tc>
          <w:tcPr>
            <w:tcW w:w="2320" w:type="dxa"/>
            <w:tcBorders>
              <w:top w:val="single" w:sz="8" w:space="0" w:color="auto"/>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Andalucía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17</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89</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423,5%</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Aragón</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27</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575,0%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Asturias</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10</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900,0%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Illes Balears</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Canarias</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3</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29</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866,7%</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Cantabria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9</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800,0%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Castilla y León</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164</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138</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-15,9%</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Castilla-La Mancha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126</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183</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45,2%</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Cataluña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30</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110</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266,7%</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rsidP="000A1BEA">
            <w:pPr>
              <w:rPr>
                <w:rFonts w:ascii="Verdana" w:hAnsi="Verdana" w:cs="Calibri"/>
                <w:sz w:val="20"/>
                <w:szCs w:val="20"/>
              </w:rPr>
            </w:pPr>
            <w:r>
              <w:rPr>
                <w:rFonts w:ascii="Verdana" w:hAnsi="Verdana" w:cs="Calibri"/>
                <w:sz w:val="20"/>
                <w:szCs w:val="20"/>
              </w:rPr>
              <w:t>C. Valenciana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10</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85</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750,0%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Extremadura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10</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400,0%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Galicia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22</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1000,0%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Madrid</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32</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120</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275,0%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Murcia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9</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9</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0,0%</w:t>
            </w: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Navarra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0</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p>
        </w:tc>
      </w:tr>
      <w:tr w:rsidR="000A1BEA" w:rsidTr="000A1BEA">
        <w:trPr>
          <w:trHeight w:val="300"/>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País Vasco</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13</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225,0%</w:t>
            </w:r>
          </w:p>
        </w:tc>
      </w:tr>
      <w:tr w:rsidR="000A1BEA" w:rsidTr="000A1BEA">
        <w:trPr>
          <w:trHeight w:val="315"/>
          <w:jc w:val="center"/>
        </w:trPr>
        <w:tc>
          <w:tcPr>
            <w:tcW w:w="2320" w:type="dxa"/>
            <w:tcBorders>
              <w:top w:val="nil"/>
              <w:left w:val="nil"/>
              <w:bottom w:val="nil"/>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La Rioja</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0</w:t>
            </w:r>
          </w:p>
        </w:tc>
        <w:tc>
          <w:tcPr>
            <w:tcW w:w="92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0</w:t>
            </w:r>
          </w:p>
        </w:tc>
        <w:tc>
          <w:tcPr>
            <w:tcW w:w="1200" w:type="dxa"/>
            <w:tcBorders>
              <w:top w:val="nil"/>
              <w:left w:val="nil"/>
              <w:bottom w:val="nil"/>
              <w:right w:val="nil"/>
            </w:tcBorders>
            <w:shd w:val="clear" w:color="auto" w:fill="auto"/>
            <w:noWrap/>
            <w:vAlign w:val="center"/>
            <w:hideMark/>
          </w:tcPr>
          <w:p w:rsidR="000A1BEA" w:rsidRDefault="000A1BEA">
            <w:pPr>
              <w:jc w:val="right"/>
              <w:rPr>
                <w:rFonts w:ascii="Verdana" w:hAnsi="Verdana" w:cs="Calibri"/>
                <w:sz w:val="20"/>
                <w:szCs w:val="20"/>
              </w:rPr>
            </w:pPr>
          </w:p>
        </w:tc>
      </w:tr>
      <w:tr w:rsidR="000A1BEA" w:rsidTr="000A1BEA">
        <w:trPr>
          <w:trHeight w:val="315"/>
          <w:jc w:val="center"/>
        </w:trPr>
        <w:tc>
          <w:tcPr>
            <w:tcW w:w="2320" w:type="dxa"/>
            <w:tcBorders>
              <w:top w:val="single" w:sz="8" w:space="0" w:color="auto"/>
              <w:left w:val="nil"/>
              <w:bottom w:val="single" w:sz="8" w:space="0" w:color="auto"/>
              <w:right w:val="nil"/>
            </w:tcBorders>
            <w:shd w:val="clear" w:color="auto" w:fill="auto"/>
            <w:noWrap/>
            <w:vAlign w:val="center"/>
            <w:hideMark/>
          </w:tcPr>
          <w:p w:rsidR="000A1BEA" w:rsidRDefault="000A1BEA">
            <w:pPr>
              <w:rPr>
                <w:rFonts w:ascii="Verdana" w:hAnsi="Verdana" w:cs="Calibri"/>
                <w:sz w:val="20"/>
                <w:szCs w:val="20"/>
              </w:rPr>
            </w:pPr>
            <w:r>
              <w:rPr>
                <w:rFonts w:ascii="Verdana" w:hAnsi="Verdana" w:cs="Calibri"/>
                <w:sz w:val="20"/>
                <w:szCs w:val="20"/>
              </w:rPr>
              <w:t>Total</w:t>
            </w:r>
          </w:p>
        </w:tc>
        <w:tc>
          <w:tcPr>
            <w:tcW w:w="920" w:type="dxa"/>
            <w:tcBorders>
              <w:top w:val="single" w:sz="8" w:space="0" w:color="auto"/>
              <w:left w:val="nil"/>
              <w:bottom w:val="single" w:sz="8" w:space="0" w:color="auto"/>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407</w:t>
            </w:r>
          </w:p>
        </w:tc>
        <w:tc>
          <w:tcPr>
            <w:tcW w:w="920" w:type="dxa"/>
            <w:tcBorders>
              <w:top w:val="single" w:sz="8" w:space="0" w:color="auto"/>
              <w:left w:val="nil"/>
              <w:bottom w:val="single" w:sz="8" w:space="0" w:color="auto"/>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860</w:t>
            </w:r>
          </w:p>
        </w:tc>
        <w:tc>
          <w:tcPr>
            <w:tcW w:w="1200" w:type="dxa"/>
            <w:tcBorders>
              <w:top w:val="single" w:sz="8" w:space="0" w:color="auto"/>
              <w:left w:val="nil"/>
              <w:bottom w:val="single" w:sz="8" w:space="0" w:color="auto"/>
              <w:right w:val="nil"/>
            </w:tcBorders>
            <w:shd w:val="clear" w:color="auto" w:fill="auto"/>
            <w:noWrap/>
            <w:vAlign w:val="center"/>
            <w:hideMark/>
          </w:tcPr>
          <w:p w:rsidR="000A1BEA" w:rsidRDefault="000A1BEA">
            <w:pPr>
              <w:jc w:val="right"/>
              <w:rPr>
                <w:rFonts w:ascii="Verdana" w:hAnsi="Verdana" w:cs="Calibri"/>
                <w:sz w:val="20"/>
                <w:szCs w:val="20"/>
              </w:rPr>
            </w:pPr>
            <w:r>
              <w:rPr>
                <w:rFonts w:ascii="Verdana" w:hAnsi="Verdana" w:cs="Calibri"/>
                <w:sz w:val="20"/>
                <w:szCs w:val="20"/>
              </w:rPr>
              <w:t>111,3%</w:t>
            </w:r>
          </w:p>
        </w:tc>
      </w:tr>
    </w:tbl>
    <w:p w:rsidR="006A7881" w:rsidRPr="000A1BEA" w:rsidRDefault="006A7881" w:rsidP="000A1BEA">
      <w:pPr>
        <w:spacing w:before="120" w:after="120"/>
        <w:ind w:firstLine="357"/>
        <w:jc w:val="both"/>
        <w:rPr>
          <w:rFonts w:ascii="Verdana" w:hAnsi="Verdana" w:cs="Arial"/>
          <w:sz w:val="20"/>
        </w:rPr>
      </w:pPr>
    </w:p>
    <w:p w:rsidR="006A7881" w:rsidRPr="000A1BEA" w:rsidRDefault="006A7881" w:rsidP="000A1BEA">
      <w:pPr>
        <w:spacing w:before="120" w:after="120"/>
        <w:ind w:firstLine="357"/>
        <w:jc w:val="both"/>
        <w:rPr>
          <w:rFonts w:ascii="Verdana" w:hAnsi="Verdana" w:cs="Arial"/>
          <w:sz w:val="20"/>
        </w:rPr>
      </w:pPr>
      <w:r w:rsidRPr="000A1BEA">
        <w:rPr>
          <w:rFonts w:ascii="Verdana" w:hAnsi="Verdana" w:cs="Arial"/>
          <w:sz w:val="20"/>
        </w:rPr>
        <w:t>En cuanto a los recursos de casación interpuestos contra las sentencias penales dictadas por las audiencias provinciales, en 2017 se elevaron 2.532 recursos, 214 más que en 2016.</w:t>
      </w:r>
    </w:p>
    <w:p w:rsidR="006A7881" w:rsidRPr="006A7881" w:rsidRDefault="006A7881" w:rsidP="00433902">
      <w:pPr>
        <w:spacing w:before="120" w:after="120"/>
        <w:ind w:firstLine="357"/>
        <w:jc w:val="both"/>
        <w:rPr>
          <w:rFonts w:ascii="Verdana" w:hAnsi="Verdana" w:cs="Arial"/>
          <w:sz w:val="20"/>
          <w:lang w:val="es-ES"/>
        </w:rPr>
      </w:pPr>
    </w:p>
    <w:p w:rsidR="00433902" w:rsidRPr="006A7881" w:rsidRDefault="00433902" w:rsidP="002F7EF4">
      <w:pPr>
        <w:spacing w:before="120" w:after="120"/>
        <w:ind w:firstLine="357"/>
        <w:jc w:val="both"/>
        <w:rPr>
          <w:rFonts w:ascii="Verdana" w:hAnsi="Verdana" w:cs="Arial"/>
          <w:sz w:val="20"/>
        </w:rPr>
      </w:pPr>
      <w:r w:rsidRPr="002F7EF4">
        <w:rPr>
          <w:rFonts w:ascii="Verdana" w:hAnsi="Verdana" w:cs="Arial"/>
          <w:sz w:val="20"/>
        </w:rPr>
        <w:lastRenderedPageBreak/>
        <w:t xml:space="preserve">Por comunidades autónomas, superan el porcentaje estatal de confirmaciones totales, </w:t>
      </w:r>
      <w:r w:rsidR="000A1BEA" w:rsidRPr="002F7EF4">
        <w:rPr>
          <w:rFonts w:ascii="Verdana" w:hAnsi="Verdana" w:cs="Arial"/>
          <w:sz w:val="20"/>
        </w:rPr>
        <w:t>Navarra, 93,3%; Murcia, 92,9%; Asturias, 92,7%; Madrid, 91,9%; C</w:t>
      </w:r>
      <w:r w:rsidRPr="002F7EF4">
        <w:rPr>
          <w:rFonts w:ascii="Verdana" w:hAnsi="Verdana" w:cs="Arial"/>
          <w:sz w:val="20"/>
        </w:rPr>
        <w:t>astilla</w:t>
      </w:r>
      <w:r w:rsidR="000A1BEA" w:rsidRPr="002F7EF4">
        <w:rPr>
          <w:rFonts w:ascii="Verdana" w:hAnsi="Verdana" w:cs="Arial"/>
          <w:sz w:val="20"/>
        </w:rPr>
        <w:t xml:space="preserve"> la Mancha, 91,2%; y </w:t>
      </w:r>
      <w:r w:rsidR="008C6727" w:rsidRPr="002F7EF4">
        <w:rPr>
          <w:rFonts w:ascii="Verdana" w:hAnsi="Verdana" w:cs="Arial"/>
          <w:sz w:val="20"/>
        </w:rPr>
        <w:t>Canarias, 87,9</w:t>
      </w:r>
      <w:r w:rsidR="000A1BEA" w:rsidRPr="002F7EF4">
        <w:rPr>
          <w:rFonts w:ascii="Verdana" w:hAnsi="Verdana" w:cs="Arial"/>
          <w:sz w:val="20"/>
        </w:rPr>
        <w:t>%</w:t>
      </w:r>
      <w:r w:rsidRPr="002F7EF4">
        <w:rPr>
          <w:rFonts w:ascii="Verdana" w:hAnsi="Verdana" w:cs="Arial"/>
          <w:sz w:val="20"/>
        </w:rPr>
        <w:t xml:space="preserve">.  El porcentaje más bajo se ha dado en </w:t>
      </w:r>
      <w:r w:rsidR="002F7EF4" w:rsidRPr="002F7EF4">
        <w:rPr>
          <w:rFonts w:ascii="Verdana" w:hAnsi="Verdana" w:cs="Arial"/>
          <w:sz w:val="20"/>
        </w:rPr>
        <w:t xml:space="preserve">Illes Balears, 77,4%. </w:t>
      </w:r>
    </w:p>
    <w:p w:rsidR="00433902" w:rsidRPr="000A1BEA" w:rsidRDefault="00433902" w:rsidP="00433902">
      <w:pPr>
        <w:spacing w:before="120" w:after="120"/>
        <w:ind w:firstLine="357"/>
        <w:jc w:val="both"/>
        <w:rPr>
          <w:rFonts w:ascii="Verdana" w:hAnsi="Verdana" w:cs="Arial"/>
          <w:sz w:val="20"/>
        </w:rPr>
      </w:pPr>
      <w:r w:rsidRPr="000A1BEA">
        <w:rPr>
          <w:rFonts w:ascii="Verdana" w:hAnsi="Verdana" w:cs="Arial"/>
          <w:sz w:val="20"/>
        </w:rPr>
        <w:t>En el Juzgado Central de lo Penal y en la Sala de lo Penal de la Audiencia Nacional el resultado de las sentencias de apelación y casación devueltas en 201</w:t>
      </w:r>
      <w:r w:rsidR="00D21250" w:rsidRPr="000A1BEA">
        <w:rPr>
          <w:rFonts w:ascii="Verdana" w:hAnsi="Verdana" w:cs="Arial"/>
          <w:sz w:val="20"/>
        </w:rPr>
        <w:t>7</w:t>
      </w:r>
      <w:r w:rsidRPr="000A1BEA">
        <w:rPr>
          <w:rFonts w:ascii="Verdana" w:hAnsi="Verdana" w:cs="Arial"/>
          <w:sz w:val="20"/>
        </w:rPr>
        <w:t xml:space="preserve"> ha sido:</w:t>
      </w:r>
    </w:p>
    <w:p w:rsidR="00433902" w:rsidRPr="000A1BEA" w:rsidRDefault="00433902" w:rsidP="00433902">
      <w:pPr>
        <w:spacing w:before="120" w:after="120"/>
        <w:ind w:firstLine="357"/>
        <w:jc w:val="both"/>
        <w:rPr>
          <w:rFonts w:ascii="Verdana" w:hAnsi="Verdana" w:cs="Arial"/>
          <w:sz w:val="20"/>
        </w:rPr>
      </w:pPr>
    </w:p>
    <w:tbl>
      <w:tblPr>
        <w:tblW w:w="9280" w:type="dxa"/>
        <w:tblInd w:w="55" w:type="dxa"/>
        <w:tblCellMar>
          <w:left w:w="70" w:type="dxa"/>
          <w:right w:w="70" w:type="dxa"/>
        </w:tblCellMar>
        <w:tblLook w:val="04A0" w:firstRow="1" w:lastRow="0" w:firstColumn="1" w:lastColumn="0" w:noHBand="0" w:noVBand="1"/>
      </w:tblPr>
      <w:tblGrid>
        <w:gridCol w:w="2680"/>
        <w:gridCol w:w="1840"/>
        <w:gridCol w:w="1660"/>
        <w:gridCol w:w="1640"/>
        <w:gridCol w:w="1460"/>
      </w:tblGrid>
      <w:tr w:rsidR="00433902" w:rsidRPr="000A1BEA" w:rsidTr="007967E0">
        <w:trPr>
          <w:trHeight w:val="525"/>
        </w:trPr>
        <w:tc>
          <w:tcPr>
            <w:tcW w:w="2680" w:type="dxa"/>
            <w:tcBorders>
              <w:top w:val="nil"/>
              <w:left w:val="nil"/>
              <w:bottom w:val="nil"/>
              <w:right w:val="nil"/>
            </w:tcBorders>
            <w:shd w:val="clear" w:color="auto" w:fill="auto"/>
            <w:noWrap/>
            <w:vAlign w:val="center"/>
            <w:hideMark/>
          </w:tcPr>
          <w:p w:rsidR="00433902" w:rsidRPr="000A1BEA" w:rsidRDefault="00433902" w:rsidP="007967E0">
            <w:pPr>
              <w:rPr>
                <w:color w:val="000000"/>
                <w:sz w:val="20"/>
                <w:szCs w:val="20"/>
              </w:rPr>
            </w:pPr>
          </w:p>
        </w:tc>
        <w:tc>
          <w:tcPr>
            <w:tcW w:w="1840" w:type="dxa"/>
            <w:tcBorders>
              <w:top w:val="single" w:sz="8" w:space="0" w:color="auto"/>
              <w:left w:val="nil"/>
              <w:bottom w:val="single" w:sz="8" w:space="0" w:color="auto"/>
              <w:right w:val="nil"/>
            </w:tcBorders>
            <w:shd w:val="clear" w:color="auto" w:fill="auto"/>
            <w:vAlign w:val="center"/>
            <w:hideMark/>
          </w:tcPr>
          <w:p w:rsidR="00433902" w:rsidRPr="000A1BEA" w:rsidRDefault="00433902" w:rsidP="007967E0">
            <w:pPr>
              <w:jc w:val="center"/>
              <w:rPr>
                <w:rFonts w:ascii="Verdana" w:hAnsi="Verdana" w:cs="Calibri"/>
                <w:b/>
                <w:bCs/>
                <w:color w:val="000080"/>
                <w:sz w:val="20"/>
                <w:szCs w:val="20"/>
              </w:rPr>
            </w:pPr>
            <w:r w:rsidRPr="000A1BEA">
              <w:rPr>
                <w:rFonts w:ascii="Verdana" w:hAnsi="Verdana" w:cs="Arial"/>
                <w:b/>
                <w:bCs/>
                <w:color w:val="000080"/>
                <w:sz w:val="20"/>
                <w:szCs w:val="20"/>
              </w:rPr>
              <w:t xml:space="preserve">Confirmando </w:t>
            </w:r>
          </w:p>
        </w:tc>
        <w:tc>
          <w:tcPr>
            <w:tcW w:w="1660" w:type="dxa"/>
            <w:tcBorders>
              <w:top w:val="single" w:sz="8" w:space="0" w:color="auto"/>
              <w:left w:val="nil"/>
              <w:bottom w:val="single" w:sz="8" w:space="0" w:color="auto"/>
              <w:right w:val="nil"/>
            </w:tcBorders>
            <w:shd w:val="clear" w:color="auto" w:fill="auto"/>
            <w:vAlign w:val="center"/>
            <w:hideMark/>
          </w:tcPr>
          <w:p w:rsidR="00433902" w:rsidRPr="000A1BEA" w:rsidRDefault="00433902" w:rsidP="007967E0">
            <w:pPr>
              <w:jc w:val="center"/>
              <w:rPr>
                <w:rFonts w:ascii="Verdana" w:hAnsi="Verdana" w:cs="Calibri"/>
                <w:b/>
                <w:bCs/>
                <w:color w:val="000080"/>
                <w:sz w:val="20"/>
                <w:szCs w:val="20"/>
              </w:rPr>
            </w:pPr>
            <w:r w:rsidRPr="000A1BEA">
              <w:rPr>
                <w:rFonts w:ascii="Verdana" w:hAnsi="Verdana" w:cs="Arial"/>
                <w:b/>
                <w:bCs/>
                <w:color w:val="000080"/>
                <w:sz w:val="20"/>
                <w:szCs w:val="20"/>
              </w:rPr>
              <w:t>Revocando totalmente</w:t>
            </w:r>
          </w:p>
        </w:tc>
        <w:tc>
          <w:tcPr>
            <w:tcW w:w="1640" w:type="dxa"/>
            <w:tcBorders>
              <w:top w:val="single" w:sz="8" w:space="0" w:color="auto"/>
              <w:left w:val="nil"/>
              <w:bottom w:val="single" w:sz="8" w:space="0" w:color="auto"/>
              <w:right w:val="nil"/>
            </w:tcBorders>
            <w:shd w:val="clear" w:color="auto" w:fill="auto"/>
            <w:vAlign w:val="center"/>
            <w:hideMark/>
          </w:tcPr>
          <w:p w:rsidR="00433902" w:rsidRPr="000A1BEA" w:rsidRDefault="00433902" w:rsidP="007967E0">
            <w:pPr>
              <w:jc w:val="center"/>
              <w:rPr>
                <w:rFonts w:ascii="Verdana" w:hAnsi="Verdana" w:cs="Calibri"/>
                <w:b/>
                <w:bCs/>
                <w:color w:val="000080"/>
                <w:sz w:val="20"/>
                <w:szCs w:val="20"/>
              </w:rPr>
            </w:pPr>
            <w:r w:rsidRPr="000A1BEA">
              <w:rPr>
                <w:rFonts w:ascii="Verdana" w:hAnsi="Verdana" w:cs="Arial"/>
                <w:b/>
                <w:bCs/>
                <w:color w:val="000080"/>
                <w:sz w:val="20"/>
                <w:szCs w:val="20"/>
              </w:rPr>
              <w:t>Revocando parcialmente</w:t>
            </w:r>
          </w:p>
        </w:tc>
        <w:tc>
          <w:tcPr>
            <w:tcW w:w="1460" w:type="dxa"/>
            <w:tcBorders>
              <w:top w:val="single" w:sz="8" w:space="0" w:color="auto"/>
              <w:left w:val="nil"/>
              <w:bottom w:val="single" w:sz="8" w:space="0" w:color="auto"/>
              <w:right w:val="nil"/>
            </w:tcBorders>
            <w:shd w:val="clear" w:color="auto" w:fill="auto"/>
            <w:vAlign w:val="center"/>
            <w:hideMark/>
          </w:tcPr>
          <w:p w:rsidR="00433902" w:rsidRPr="000A1BEA" w:rsidRDefault="00433902" w:rsidP="007967E0">
            <w:pPr>
              <w:jc w:val="center"/>
              <w:rPr>
                <w:rFonts w:ascii="Verdana" w:hAnsi="Verdana" w:cs="Calibri"/>
                <w:b/>
                <w:bCs/>
                <w:color w:val="000080"/>
                <w:sz w:val="20"/>
                <w:szCs w:val="20"/>
              </w:rPr>
            </w:pPr>
            <w:r w:rsidRPr="000A1BEA">
              <w:rPr>
                <w:rFonts w:ascii="Verdana" w:hAnsi="Verdana" w:cs="Arial"/>
                <w:b/>
                <w:bCs/>
                <w:color w:val="000080"/>
                <w:sz w:val="20"/>
                <w:szCs w:val="20"/>
              </w:rPr>
              <w:t>Anulando</w:t>
            </w:r>
          </w:p>
        </w:tc>
      </w:tr>
      <w:tr w:rsidR="00433902" w:rsidRPr="000A1BEA" w:rsidTr="007967E0">
        <w:trPr>
          <w:trHeight w:val="510"/>
        </w:trPr>
        <w:tc>
          <w:tcPr>
            <w:tcW w:w="2680" w:type="dxa"/>
            <w:tcBorders>
              <w:top w:val="single" w:sz="8" w:space="0" w:color="auto"/>
              <w:left w:val="nil"/>
              <w:bottom w:val="nil"/>
              <w:right w:val="nil"/>
            </w:tcBorders>
            <w:shd w:val="clear" w:color="auto" w:fill="auto"/>
            <w:vAlign w:val="center"/>
            <w:hideMark/>
          </w:tcPr>
          <w:p w:rsidR="00433902" w:rsidRPr="000A1BEA" w:rsidRDefault="00433902" w:rsidP="007967E0">
            <w:pPr>
              <w:jc w:val="both"/>
              <w:rPr>
                <w:rFonts w:ascii="Verdana" w:hAnsi="Verdana" w:cs="Calibri"/>
                <w:color w:val="000000"/>
                <w:sz w:val="20"/>
                <w:szCs w:val="20"/>
              </w:rPr>
            </w:pPr>
            <w:r w:rsidRPr="000A1BEA">
              <w:rPr>
                <w:rFonts w:ascii="Verdana" w:hAnsi="Verdana" w:cs="Arial"/>
                <w:color w:val="000000"/>
                <w:sz w:val="20"/>
                <w:szCs w:val="20"/>
              </w:rPr>
              <w:t>Juzgado Central de lo Penal</w:t>
            </w:r>
          </w:p>
        </w:tc>
        <w:tc>
          <w:tcPr>
            <w:tcW w:w="1840" w:type="dxa"/>
            <w:tcBorders>
              <w:top w:val="nil"/>
              <w:left w:val="nil"/>
              <w:bottom w:val="nil"/>
              <w:right w:val="nil"/>
            </w:tcBorders>
            <w:shd w:val="clear" w:color="auto" w:fill="auto"/>
            <w:vAlign w:val="center"/>
            <w:hideMark/>
          </w:tcPr>
          <w:p w:rsidR="00433902" w:rsidRPr="000A1BEA" w:rsidRDefault="00D21250" w:rsidP="00D21250">
            <w:pPr>
              <w:jc w:val="center"/>
              <w:rPr>
                <w:rFonts w:ascii="Verdana" w:hAnsi="Verdana" w:cs="Arial"/>
                <w:sz w:val="20"/>
                <w:szCs w:val="20"/>
              </w:rPr>
            </w:pPr>
            <w:r w:rsidRPr="000A1BEA">
              <w:rPr>
                <w:rFonts w:ascii="Verdana" w:hAnsi="Verdana" w:cs="Arial"/>
                <w:sz w:val="20"/>
                <w:szCs w:val="20"/>
              </w:rPr>
              <w:t>100</w:t>
            </w:r>
            <w:r w:rsidR="00433902" w:rsidRPr="000A1BEA">
              <w:rPr>
                <w:rFonts w:ascii="Verdana" w:hAnsi="Verdana" w:cs="Arial"/>
                <w:sz w:val="20"/>
                <w:szCs w:val="20"/>
              </w:rPr>
              <w:t>,</w:t>
            </w:r>
            <w:r w:rsidRPr="000A1BEA">
              <w:rPr>
                <w:rFonts w:ascii="Verdana" w:hAnsi="Verdana" w:cs="Arial"/>
                <w:sz w:val="20"/>
                <w:szCs w:val="20"/>
              </w:rPr>
              <w:t>0</w:t>
            </w:r>
          </w:p>
        </w:tc>
        <w:tc>
          <w:tcPr>
            <w:tcW w:w="1660" w:type="dxa"/>
            <w:tcBorders>
              <w:top w:val="nil"/>
              <w:left w:val="nil"/>
              <w:bottom w:val="nil"/>
              <w:right w:val="nil"/>
            </w:tcBorders>
            <w:shd w:val="clear" w:color="auto" w:fill="auto"/>
            <w:vAlign w:val="center"/>
            <w:hideMark/>
          </w:tcPr>
          <w:p w:rsidR="00433902" w:rsidRPr="000A1BEA" w:rsidRDefault="00D21250" w:rsidP="007967E0">
            <w:pPr>
              <w:jc w:val="center"/>
              <w:rPr>
                <w:rFonts w:ascii="Verdana" w:hAnsi="Verdana" w:cs="Arial"/>
                <w:sz w:val="20"/>
                <w:szCs w:val="20"/>
              </w:rPr>
            </w:pPr>
            <w:r w:rsidRPr="000A1BEA">
              <w:rPr>
                <w:rFonts w:ascii="Verdana" w:hAnsi="Verdana" w:cs="Arial"/>
                <w:sz w:val="20"/>
                <w:szCs w:val="20"/>
              </w:rPr>
              <w:t>0,0</w:t>
            </w:r>
          </w:p>
        </w:tc>
        <w:tc>
          <w:tcPr>
            <w:tcW w:w="1640" w:type="dxa"/>
            <w:tcBorders>
              <w:top w:val="nil"/>
              <w:left w:val="nil"/>
              <w:bottom w:val="nil"/>
              <w:right w:val="nil"/>
            </w:tcBorders>
            <w:shd w:val="clear" w:color="auto" w:fill="auto"/>
            <w:vAlign w:val="center"/>
            <w:hideMark/>
          </w:tcPr>
          <w:p w:rsidR="00433902" w:rsidRPr="000A1BEA" w:rsidRDefault="00433902" w:rsidP="007967E0">
            <w:pPr>
              <w:jc w:val="center"/>
              <w:rPr>
                <w:rFonts w:ascii="Verdana" w:hAnsi="Verdana" w:cs="Arial"/>
                <w:sz w:val="20"/>
                <w:szCs w:val="20"/>
              </w:rPr>
            </w:pPr>
            <w:r w:rsidRPr="000A1BEA">
              <w:rPr>
                <w:rFonts w:ascii="Verdana" w:hAnsi="Verdana" w:cs="Arial"/>
                <w:sz w:val="20"/>
                <w:szCs w:val="20"/>
              </w:rPr>
              <w:t>0,0</w:t>
            </w:r>
          </w:p>
        </w:tc>
        <w:tc>
          <w:tcPr>
            <w:tcW w:w="1460" w:type="dxa"/>
            <w:tcBorders>
              <w:top w:val="nil"/>
              <w:left w:val="nil"/>
              <w:bottom w:val="nil"/>
              <w:right w:val="nil"/>
            </w:tcBorders>
            <w:shd w:val="clear" w:color="auto" w:fill="auto"/>
            <w:vAlign w:val="center"/>
            <w:hideMark/>
          </w:tcPr>
          <w:p w:rsidR="00433902" w:rsidRPr="000A1BEA" w:rsidRDefault="00433902" w:rsidP="007967E0">
            <w:pPr>
              <w:jc w:val="center"/>
              <w:rPr>
                <w:rFonts w:ascii="Verdana" w:hAnsi="Verdana" w:cs="Arial"/>
                <w:sz w:val="20"/>
                <w:szCs w:val="20"/>
              </w:rPr>
            </w:pPr>
            <w:r w:rsidRPr="000A1BEA">
              <w:rPr>
                <w:rFonts w:ascii="Verdana" w:hAnsi="Verdana" w:cs="Arial"/>
                <w:sz w:val="20"/>
                <w:szCs w:val="20"/>
              </w:rPr>
              <w:t>0,0</w:t>
            </w:r>
          </w:p>
        </w:tc>
      </w:tr>
      <w:tr w:rsidR="00433902" w:rsidRPr="000A1BEA" w:rsidTr="007967E0">
        <w:trPr>
          <w:trHeight w:val="525"/>
        </w:trPr>
        <w:tc>
          <w:tcPr>
            <w:tcW w:w="2680" w:type="dxa"/>
            <w:tcBorders>
              <w:top w:val="nil"/>
              <w:left w:val="nil"/>
              <w:bottom w:val="single" w:sz="8" w:space="0" w:color="auto"/>
              <w:right w:val="nil"/>
            </w:tcBorders>
            <w:shd w:val="clear" w:color="auto" w:fill="auto"/>
            <w:vAlign w:val="center"/>
            <w:hideMark/>
          </w:tcPr>
          <w:p w:rsidR="00433902" w:rsidRPr="000A1BEA" w:rsidRDefault="00433902" w:rsidP="007967E0">
            <w:pPr>
              <w:rPr>
                <w:rFonts w:ascii="Verdana" w:hAnsi="Verdana" w:cs="Calibri"/>
                <w:color w:val="000000"/>
                <w:sz w:val="20"/>
                <w:szCs w:val="20"/>
              </w:rPr>
            </w:pPr>
            <w:r w:rsidRPr="000A1BEA">
              <w:rPr>
                <w:rFonts w:ascii="Verdana" w:hAnsi="Verdana" w:cs="Arial"/>
                <w:color w:val="000000"/>
                <w:sz w:val="20"/>
                <w:szCs w:val="20"/>
              </w:rPr>
              <w:t>Sala de lo Penal de la A. Nacional</w:t>
            </w:r>
          </w:p>
        </w:tc>
        <w:tc>
          <w:tcPr>
            <w:tcW w:w="1840" w:type="dxa"/>
            <w:tcBorders>
              <w:top w:val="nil"/>
              <w:left w:val="nil"/>
              <w:bottom w:val="single" w:sz="8" w:space="0" w:color="auto"/>
              <w:right w:val="nil"/>
            </w:tcBorders>
            <w:shd w:val="clear" w:color="auto" w:fill="auto"/>
            <w:vAlign w:val="center"/>
            <w:hideMark/>
          </w:tcPr>
          <w:p w:rsidR="00433902" w:rsidRPr="000A1BEA" w:rsidRDefault="00D21250" w:rsidP="00D21250">
            <w:pPr>
              <w:jc w:val="center"/>
              <w:rPr>
                <w:rFonts w:ascii="Verdana" w:hAnsi="Verdana" w:cs="Arial"/>
                <w:sz w:val="20"/>
                <w:szCs w:val="20"/>
              </w:rPr>
            </w:pPr>
            <w:r w:rsidRPr="000A1BEA">
              <w:rPr>
                <w:rFonts w:ascii="Verdana" w:hAnsi="Verdana" w:cs="Arial"/>
                <w:sz w:val="20"/>
                <w:szCs w:val="20"/>
              </w:rPr>
              <w:t>55</w:t>
            </w:r>
            <w:r w:rsidR="00433902" w:rsidRPr="000A1BEA">
              <w:rPr>
                <w:rFonts w:ascii="Verdana" w:hAnsi="Verdana" w:cs="Arial"/>
                <w:sz w:val="20"/>
                <w:szCs w:val="20"/>
              </w:rPr>
              <w:t>,</w:t>
            </w:r>
            <w:r w:rsidRPr="000A1BEA">
              <w:rPr>
                <w:rFonts w:ascii="Verdana" w:hAnsi="Verdana" w:cs="Arial"/>
                <w:sz w:val="20"/>
                <w:szCs w:val="20"/>
              </w:rPr>
              <w:t>0</w:t>
            </w:r>
          </w:p>
        </w:tc>
        <w:tc>
          <w:tcPr>
            <w:tcW w:w="1660" w:type="dxa"/>
            <w:tcBorders>
              <w:top w:val="nil"/>
              <w:left w:val="nil"/>
              <w:bottom w:val="single" w:sz="8" w:space="0" w:color="auto"/>
              <w:right w:val="nil"/>
            </w:tcBorders>
            <w:shd w:val="clear" w:color="auto" w:fill="auto"/>
            <w:vAlign w:val="center"/>
            <w:hideMark/>
          </w:tcPr>
          <w:p w:rsidR="00433902" w:rsidRPr="000A1BEA" w:rsidRDefault="00D21250" w:rsidP="00D21250">
            <w:pPr>
              <w:jc w:val="center"/>
              <w:rPr>
                <w:rFonts w:ascii="Verdana" w:hAnsi="Verdana" w:cs="Arial"/>
                <w:sz w:val="20"/>
                <w:szCs w:val="20"/>
              </w:rPr>
            </w:pPr>
            <w:r w:rsidRPr="000A1BEA">
              <w:rPr>
                <w:rFonts w:ascii="Verdana" w:hAnsi="Verdana" w:cs="Arial"/>
                <w:sz w:val="20"/>
                <w:szCs w:val="20"/>
              </w:rPr>
              <w:t>12</w:t>
            </w:r>
            <w:r w:rsidR="00433902" w:rsidRPr="000A1BEA">
              <w:rPr>
                <w:rFonts w:ascii="Verdana" w:hAnsi="Verdana" w:cs="Arial"/>
                <w:sz w:val="20"/>
                <w:szCs w:val="20"/>
              </w:rPr>
              <w:t>,</w:t>
            </w:r>
            <w:r w:rsidRPr="000A1BEA">
              <w:rPr>
                <w:rFonts w:ascii="Verdana" w:hAnsi="Verdana" w:cs="Arial"/>
                <w:sz w:val="20"/>
                <w:szCs w:val="20"/>
              </w:rPr>
              <w:t>5</w:t>
            </w:r>
          </w:p>
        </w:tc>
        <w:tc>
          <w:tcPr>
            <w:tcW w:w="1640" w:type="dxa"/>
            <w:tcBorders>
              <w:top w:val="nil"/>
              <w:left w:val="nil"/>
              <w:bottom w:val="single" w:sz="8" w:space="0" w:color="auto"/>
              <w:right w:val="nil"/>
            </w:tcBorders>
            <w:shd w:val="clear" w:color="auto" w:fill="auto"/>
            <w:vAlign w:val="center"/>
            <w:hideMark/>
          </w:tcPr>
          <w:p w:rsidR="00433902" w:rsidRPr="000A1BEA" w:rsidRDefault="00D21250" w:rsidP="00D21250">
            <w:pPr>
              <w:jc w:val="center"/>
              <w:rPr>
                <w:rFonts w:ascii="Verdana" w:hAnsi="Verdana" w:cs="Arial"/>
                <w:sz w:val="20"/>
                <w:szCs w:val="20"/>
              </w:rPr>
            </w:pPr>
            <w:r w:rsidRPr="000A1BEA">
              <w:rPr>
                <w:rFonts w:ascii="Verdana" w:hAnsi="Verdana" w:cs="Arial"/>
                <w:sz w:val="20"/>
                <w:szCs w:val="20"/>
              </w:rPr>
              <w:t>32</w:t>
            </w:r>
            <w:r w:rsidR="00433902" w:rsidRPr="000A1BEA">
              <w:rPr>
                <w:rFonts w:ascii="Verdana" w:hAnsi="Verdana" w:cs="Arial"/>
                <w:sz w:val="20"/>
                <w:szCs w:val="20"/>
              </w:rPr>
              <w:t>,</w:t>
            </w:r>
            <w:r w:rsidRPr="000A1BEA">
              <w:rPr>
                <w:rFonts w:ascii="Verdana" w:hAnsi="Verdana" w:cs="Arial"/>
                <w:sz w:val="20"/>
                <w:szCs w:val="20"/>
              </w:rPr>
              <w:t>5</w:t>
            </w:r>
          </w:p>
        </w:tc>
        <w:tc>
          <w:tcPr>
            <w:tcW w:w="1460" w:type="dxa"/>
            <w:tcBorders>
              <w:top w:val="nil"/>
              <w:left w:val="nil"/>
              <w:bottom w:val="single" w:sz="8" w:space="0" w:color="auto"/>
              <w:right w:val="nil"/>
            </w:tcBorders>
            <w:shd w:val="clear" w:color="auto" w:fill="auto"/>
            <w:vAlign w:val="center"/>
            <w:hideMark/>
          </w:tcPr>
          <w:p w:rsidR="00433902" w:rsidRPr="000A1BEA" w:rsidRDefault="00D21250" w:rsidP="00D21250">
            <w:pPr>
              <w:jc w:val="center"/>
              <w:rPr>
                <w:rFonts w:ascii="Verdana" w:hAnsi="Verdana" w:cs="Arial"/>
                <w:sz w:val="20"/>
                <w:szCs w:val="20"/>
              </w:rPr>
            </w:pPr>
            <w:r w:rsidRPr="000A1BEA">
              <w:rPr>
                <w:rFonts w:ascii="Verdana" w:hAnsi="Verdana" w:cs="Arial"/>
                <w:sz w:val="20"/>
                <w:szCs w:val="20"/>
              </w:rPr>
              <w:t>0</w:t>
            </w:r>
            <w:r w:rsidR="00433902" w:rsidRPr="000A1BEA">
              <w:rPr>
                <w:rFonts w:ascii="Verdana" w:hAnsi="Verdana" w:cs="Arial"/>
                <w:sz w:val="20"/>
                <w:szCs w:val="20"/>
              </w:rPr>
              <w:t>,</w:t>
            </w:r>
            <w:r w:rsidRPr="000A1BEA">
              <w:rPr>
                <w:rFonts w:ascii="Verdana" w:hAnsi="Verdana" w:cs="Arial"/>
                <w:sz w:val="20"/>
                <w:szCs w:val="20"/>
              </w:rPr>
              <w:t>0</w:t>
            </w:r>
          </w:p>
        </w:tc>
      </w:tr>
    </w:tbl>
    <w:p w:rsidR="00433902" w:rsidRPr="000A1BEA" w:rsidRDefault="00433902" w:rsidP="00433902">
      <w:pPr>
        <w:spacing w:before="120" w:after="120"/>
        <w:ind w:left="-1080" w:right="-856" w:firstLine="180"/>
        <w:jc w:val="center"/>
        <w:rPr>
          <w:rFonts w:ascii="Verdana" w:hAnsi="Verdana" w:cs="Arial"/>
        </w:rPr>
      </w:pPr>
    </w:p>
    <w:p w:rsidR="00433902" w:rsidRPr="000A1BEA" w:rsidRDefault="00433902" w:rsidP="00433902">
      <w:pPr>
        <w:spacing w:before="120" w:after="120"/>
        <w:ind w:firstLine="357"/>
        <w:jc w:val="both"/>
        <w:rPr>
          <w:rFonts w:ascii="Verdana" w:hAnsi="Verdana" w:cs="Arial"/>
        </w:rPr>
      </w:pPr>
      <w:r w:rsidRPr="000A1BEA">
        <w:rPr>
          <w:rFonts w:ascii="Verdana" w:hAnsi="Verdana" w:cs="Arial"/>
          <w:sz w:val="20"/>
        </w:rPr>
        <w:t>Como estimación del porcentaje de sentencias recurridas en los órganos de esta jurisdicción, tenemos el ratio entre recursos elevados y sentencias dictadas:</w:t>
      </w:r>
    </w:p>
    <w:tbl>
      <w:tblPr>
        <w:tblW w:w="5458" w:type="dxa"/>
        <w:jc w:val="center"/>
        <w:tblInd w:w="55" w:type="dxa"/>
        <w:tblCellMar>
          <w:left w:w="70" w:type="dxa"/>
          <w:right w:w="70" w:type="dxa"/>
        </w:tblCellMar>
        <w:tblLook w:val="0000" w:firstRow="0" w:lastRow="0" w:firstColumn="0" w:lastColumn="0" w:noHBand="0" w:noVBand="0"/>
      </w:tblPr>
      <w:tblGrid>
        <w:gridCol w:w="3995"/>
        <w:gridCol w:w="1463"/>
      </w:tblGrid>
      <w:tr w:rsidR="00433902" w:rsidRPr="007A6EA4" w:rsidTr="007967E0">
        <w:trPr>
          <w:trHeight w:val="942"/>
          <w:jc w:val="center"/>
        </w:trPr>
        <w:tc>
          <w:tcPr>
            <w:tcW w:w="3995" w:type="dxa"/>
            <w:tcBorders>
              <w:top w:val="nil"/>
              <w:left w:val="nil"/>
              <w:bottom w:val="nil"/>
              <w:right w:val="nil"/>
            </w:tcBorders>
            <w:shd w:val="clear" w:color="auto" w:fill="auto"/>
            <w:noWrap/>
            <w:vAlign w:val="bottom"/>
          </w:tcPr>
          <w:p w:rsidR="00433902" w:rsidRPr="000A1BEA" w:rsidRDefault="00433902" w:rsidP="007967E0">
            <w:pPr>
              <w:rPr>
                <w:rFonts w:ascii="Verdana" w:hAnsi="Verdana" w:cs="Arial"/>
                <w:sz w:val="20"/>
                <w:szCs w:val="20"/>
              </w:rPr>
            </w:pPr>
          </w:p>
        </w:tc>
        <w:tc>
          <w:tcPr>
            <w:tcW w:w="1463" w:type="dxa"/>
            <w:tcBorders>
              <w:top w:val="single" w:sz="8" w:space="0" w:color="auto"/>
              <w:left w:val="nil"/>
              <w:bottom w:val="single" w:sz="8" w:space="0" w:color="auto"/>
              <w:right w:val="nil"/>
            </w:tcBorders>
            <w:shd w:val="clear" w:color="auto" w:fill="auto"/>
            <w:vAlign w:val="bottom"/>
          </w:tcPr>
          <w:p w:rsidR="00433902" w:rsidRPr="007A6EA4" w:rsidRDefault="00433902" w:rsidP="007967E0">
            <w:pPr>
              <w:jc w:val="center"/>
              <w:rPr>
                <w:rFonts w:ascii="Verdana" w:hAnsi="Verdana" w:cs="Arial"/>
                <w:b/>
                <w:bCs/>
                <w:color w:val="000080"/>
                <w:sz w:val="20"/>
                <w:szCs w:val="20"/>
              </w:rPr>
            </w:pPr>
            <w:r w:rsidRPr="000A1BEA">
              <w:rPr>
                <w:rFonts w:ascii="Verdana" w:hAnsi="Verdana" w:cs="Arial"/>
                <w:b/>
                <w:bCs/>
                <w:color w:val="000080"/>
                <w:sz w:val="20"/>
                <w:szCs w:val="20"/>
              </w:rPr>
              <w:t>Recursos elevados / sentencias dictadas</w:t>
            </w:r>
          </w:p>
        </w:tc>
      </w:tr>
      <w:tr w:rsidR="00433902" w:rsidRPr="000A1BEA" w:rsidTr="007967E0">
        <w:trPr>
          <w:trHeight w:val="465"/>
          <w:jc w:val="center"/>
        </w:trPr>
        <w:tc>
          <w:tcPr>
            <w:tcW w:w="3995" w:type="dxa"/>
            <w:tcBorders>
              <w:top w:val="single" w:sz="8" w:space="0" w:color="auto"/>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 xml:space="preserve">Jdos.  Instrucción  y 1ª Instancia e Instrucción </w:t>
            </w:r>
          </w:p>
        </w:tc>
        <w:tc>
          <w:tcPr>
            <w:tcW w:w="1463" w:type="dxa"/>
            <w:tcBorders>
              <w:top w:val="nil"/>
              <w:left w:val="nil"/>
              <w:bottom w:val="nil"/>
              <w:right w:val="nil"/>
            </w:tcBorders>
            <w:shd w:val="clear" w:color="auto" w:fill="auto"/>
            <w:vAlign w:val="center"/>
          </w:tcPr>
          <w:p w:rsidR="00433902" w:rsidRPr="000A1BEA" w:rsidRDefault="00433902" w:rsidP="007967E0">
            <w:pPr>
              <w:ind w:right="155"/>
              <w:jc w:val="right"/>
              <w:rPr>
                <w:rFonts w:ascii="Verdana" w:hAnsi="Verdana" w:cs="Arial"/>
                <w:sz w:val="20"/>
                <w:szCs w:val="20"/>
              </w:rPr>
            </w:pPr>
            <w:r w:rsidRPr="000A1BEA">
              <w:rPr>
                <w:rFonts w:ascii="Verdana" w:hAnsi="Verdana" w:cs="Arial"/>
                <w:sz w:val="20"/>
                <w:szCs w:val="20"/>
              </w:rPr>
              <w:t>6,4</w:t>
            </w:r>
          </w:p>
        </w:tc>
      </w:tr>
      <w:tr w:rsidR="00433902" w:rsidRPr="000A1BEA" w:rsidTr="007967E0">
        <w:trPr>
          <w:trHeight w:val="232"/>
          <w:jc w:val="center"/>
        </w:trPr>
        <w:tc>
          <w:tcPr>
            <w:tcW w:w="3995"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Violencia contra la Mujer</w:t>
            </w:r>
          </w:p>
        </w:tc>
        <w:tc>
          <w:tcPr>
            <w:tcW w:w="1463" w:type="dxa"/>
            <w:tcBorders>
              <w:top w:val="nil"/>
              <w:left w:val="nil"/>
              <w:bottom w:val="nil"/>
              <w:right w:val="nil"/>
            </w:tcBorders>
            <w:shd w:val="clear" w:color="auto" w:fill="auto"/>
            <w:vAlign w:val="center"/>
          </w:tcPr>
          <w:p w:rsidR="00433902" w:rsidRPr="000A1BEA" w:rsidRDefault="00433902" w:rsidP="008B7A76">
            <w:pPr>
              <w:ind w:right="155"/>
              <w:jc w:val="right"/>
              <w:rPr>
                <w:rFonts w:ascii="Verdana" w:hAnsi="Verdana" w:cs="Arial"/>
                <w:sz w:val="20"/>
                <w:szCs w:val="20"/>
              </w:rPr>
            </w:pPr>
            <w:r w:rsidRPr="000A1BEA">
              <w:rPr>
                <w:rFonts w:ascii="Verdana" w:hAnsi="Verdana" w:cs="Arial"/>
                <w:sz w:val="20"/>
                <w:szCs w:val="20"/>
              </w:rPr>
              <w:t>4,</w:t>
            </w:r>
            <w:r w:rsidR="008B7A76" w:rsidRPr="000A1BEA">
              <w:rPr>
                <w:rFonts w:ascii="Verdana" w:hAnsi="Verdana" w:cs="Arial"/>
                <w:sz w:val="20"/>
                <w:szCs w:val="20"/>
              </w:rPr>
              <w:t>2</w:t>
            </w:r>
          </w:p>
        </w:tc>
      </w:tr>
      <w:tr w:rsidR="00433902" w:rsidRPr="000A1BEA" w:rsidTr="007967E0">
        <w:trPr>
          <w:trHeight w:val="232"/>
          <w:jc w:val="center"/>
        </w:trPr>
        <w:tc>
          <w:tcPr>
            <w:tcW w:w="3995"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Penal</w:t>
            </w:r>
          </w:p>
        </w:tc>
        <w:tc>
          <w:tcPr>
            <w:tcW w:w="1463" w:type="dxa"/>
            <w:tcBorders>
              <w:top w:val="nil"/>
              <w:left w:val="nil"/>
              <w:bottom w:val="nil"/>
              <w:right w:val="nil"/>
            </w:tcBorders>
            <w:shd w:val="clear" w:color="auto" w:fill="auto"/>
            <w:vAlign w:val="bottom"/>
          </w:tcPr>
          <w:p w:rsidR="00433902" w:rsidRPr="000A1BEA" w:rsidRDefault="00433902" w:rsidP="008B7A76">
            <w:pPr>
              <w:ind w:right="155"/>
              <w:jc w:val="right"/>
              <w:rPr>
                <w:rFonts w:ascii="Verdana" w:hAnsi="Verdana" w:cs="Arial"/>
                <w:sz w:val="20"/>
                <w:szCs w:val="20"/>
              </w:rPr>
            </w:pPr>
            <w:r w:rsidRPr="000A1BEA">
              <w:rPr>
                <w:rFonts w:ascii="Verdana" w:hAnsi="Verdana" w:cs="Arial"/>
                <w:sz w:val="20"/>
                <w:szCs w:val="20"/>
              </w:rPr>
              <w:t xml:space="preserve"> 18,</w:t>
            </w:r>
            <w:r w:rsidR="008B7A76" w:rsidRPr="000A1BEA">
              <w:rPr>
                <w:rFonts w:ascii="Verdana" w:hAnsi="Verdana" w:cs="Arial"/>
                <w:sz w:val="20"/>
                <w:szCs w:val="20"/>
              </w:rPr>
              <w:t>9</w:t>
            </w:r>
          </w:p>
        </w:tc>
      </w:tr>
      <w:tr w:rsidR="00433902" w:rsidRPr="000A1BEA" w:rsidTr="007967E0">
        <w:trPr>
          <w:trHeight w:val="232"/>
          <w:jc w:val="center"/>
        </w:trPr>
        <w:tc>
          <w:tcPr>
            <w:tcW w:w="3995"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Menores</w:t>
            </w:r>
          </w:p>
        </w:tc>
        <w:tc>
          <w:tcPr>
            <w:tcW w:w="1463" w:type="dxa"/>
            <w:tcBorders>
              <w:top w:val="nil"/>
              <w:left w:val="nil"/>
              <w:bottom w:val="nil"/>
              <w:right w:val="nil"/>
            </w:tcBorders>
            <w:shd w:val="clear" w:color="auto" w:fill="auto"/>
            <w:vAlign w:val="center"/>
          </w:tcPr>
          <w:p w:rsidR="00433902" w:rsidRPr="000A1BEA" w:rsidRDefault="008B7A76" w:rsidP="008B7A76">
            <w:pPr>
              <w:ind w:right="155"/>
              <w:jc w:val="right"/>
              <w:rPr>
                <w:rFonts w:ascii="Verdana" w:hAnsi="Verdana" w:cs="Arial"/>
                <w:sz w:val="20"/>
                <w:szCs w:val="20"/>
              </w:rPr>
            </w:pPr>
            <w:r w:rsidRPr="000A1BEA">
              <w:rPr>
                <w:rFonts w:ascii="Verdana" w:hAnsi="Verdana" w:cs="Arial"/>
                <w:sz w:val="20"/>
                <w:szCs w:val="20"/>
              </w:rPr>
              <w:t>6</w:t>
            </w:r>
            <w:r w:rsidR="00433902" w:rsidRPr="000A1BEA">
              <w:rPr>
                <w:rFonts w:ascii="Verdana" w:hAnsi="Verdana" w:cs="Arial"/>
                <w:sz w:val="20"/>
                <w:szCs w:val="20"/>
              </w:rPr>
              <w:t>,</w:t>
            </w:r>
            <w:r w:rsidRPr="000A1BEA">
              <w:rPr>
                <w:rFonts w:ascii="Verdana" w:hAnsi="Verdana" w:cs="Arial"/>
                <w:sz w:val="20"/>
                <w:szCs w:val="20"/>
              </w:rPr>
              <w:t>9</w:t>
            </w:r>
          </w:p>
        </w:tc>
      </w:tr>
      <w:tr w:rsidR="00433902" w:rsidRPr="000A1BEA" w:rsidTr="007967E0">
        <w:trPr>
          <w:trHeight w:val="232"/>
          <w:jc w:val="center"/>
        </w:trPr>
        <w:tc>
          <w:tcPr>
            <w:tcW w:w="3995"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Audiencias Provinciales</w:t>
            </w:r>
          </w:p>
        </w:tc>
        <w:tc>
          <w:tcPr>
            <w:tcW w:w="1463" w:type="dxa"/>
            <w:tcBorders>
              <w:top w:val="nil"/>
              <w:left w:val="nil"/>
              <w:bottom w:val="nil"/>
              <w:right w:val="nil"/>
            </w:tcBorders>
            <w:shd w:val="clear" w:color="auto" w:fill="auto"/>
            <w:vAlign w:val="center"/>
          </w:tcPr>
          <w:p w:rsidR="00433902" w:rsidRPr="000A1BEA" w:rsidRDefault="00D21250" w:rsidP="00D21250">
            <w:pPr>
              <w:ind w:right="155"/>
              <w:jc w:val="right"/>
              <w:rPr>
                <w:rFonts w:ascii="Verdana" w:hAnsi="Verdana" w:cs="Arial"/>
                <w:sz w:val="20"/>
                <w:szCs w:val="20"/>
              </w:rPr>
            </w:pPr>
            <w:r w:rsidRPr="000A1BEA">
              <w:rPr>
                <w:rFonts w:ascii="Verdana" w:hAnsi="Verdana" w:cs="Arial"/>
                <w:sz w:val="20"/>
                <w:szCs w:val="20"/>
              </w:rPr>
              <w:t>5</w:t>
            </w:r>
            <w:r w:rsidR="00433902" w:rsidRPr="000A1BEA">
              <w:rPr>
                <w:rFonts w:ascii="Verdana" w:hAnsi="Verdana" w:cs="Arial"/>
                <w:sz w:val="20"/>
                <w:szCs w:val="20"/>
              </w:rPr>
              <w:t>,</w:t>
            </w:r>
            <w:r w:rsidRPr="000A1BEA">
              <w:rPr>
                <w:rFonts w:ascii="Verdana" w:hAnsi="Verdana" w:cs="Arial"/>
                <w:sz w:val="20"/>
                <w:szCs w:val="20"/>
              </w:rPr>
              <w:t>7</w:t>
            </w:r>
          </w:p>
        </w:tc>
      </w:tr>
      <w:tr w:rsidR="00433902" w:rsidRPr="000A1BEA" w:rsidTr="007967E0">
        <w:trPr>
          <w:trHeight w:val="232"/>
          <w:jc w:val="center"/>
        </w:trPr>
        <w:tc>
          <w:tcPr>
            <w:tcW w:w="3995"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A. Nacional Sala Penal</w:t>
            </w:r>
          </w:p>
        </w:tc>
        <w:tc>
          <w:tcPr>
            <w:tcW w:w="1463" w:type="dxa"/>
            <w:tcBorders>
              <w:top w:val="nil"/>
              <w:left w:val="nil"/>
              <w:bottom w:val="nil"/>
              <w:right w:val="nil"/>
            </w:tcBorders>
            <w:shd w:val="clear" w:color="auto" w:fill="auto"/>
            <w:vAlign w:val="center"/>
          </w:tcPr>
          <w:p w:rsidR="00433902" w:rsidRPr="000A1BEA" w:rsidRDefault="00433902" w:rsidP="00D21250">
            <w:pPr>
              <w:jc w:val="center"/>
              <w:rPr>
                <w:rFonts w:ascii="Verdana" w:hAnsi="Verdana" w:cs="Arial"/>
                <w:sz w:val="20"/>
                <w:szCs w:val="20"/>
              </w:rPr>
            </w:pPr>
            <w:r w:rsidRPr="000A1BEA">
              <w:rPr>
                <w:rFonts w:ascii="Verdana" w:hAnsi="Verdana" w:cs="Arial"/>
                <w:sz w:val="20"/>
                <w:szCs w:val="20"/>
              </w:rPr>
              <w:t xml:space="preserve">          3</w:t>
            </w:r>
            <w:r w:rsidR="00D21250" w:rsidRPr="000A1BEA">
              <w:rPr>
                <w:rFonts w:ascii="Verdana" w:hAnsi="Verdana" w:cs="Arial"/>
                <w:sz w:val="20"/>
                <w:szCs w:val="20"/>
              </w:rPr>
              <w:t>4</w:t>
            </w:r>
            <w:r w:rsidRPr="000A1BEA">
              <w:rPr>
                <w:rFonts w:ascii="Verdana" w:hAnsi="Verdana" w:cs="Arial"/>
                <w:sz w:val="20"/>
                <w:szCs w:val="20"/>
              </w:rPr>
              <w:t>,</w:t>
            </w:r>
            <w:r w:rsidR="00D21250" w:rsidRPr="000A1BEA">
              <w:rPr>
                <w:rFonts w:ascii="Verdana" w:hAnsi="Verdana" w:cs="Arial"/>
                <w:sz w:val="20"/>
                <w:szCs w:val="20"/>
              </w:rPr>
              <w:t>3</w:t>
            </w:r>
          </w:p>
        </w:tc>
      </w:tr>
      <w:tr w:rsidR="009A1B88" w:rsidRPr="000A1BEA" w:rsidTr="007967E0">
        <w:trPr>
          <w:trHeight w:val="232"/>
          <w:jc w:val="center"/>
        </w:trPr>
        <w:tc>
          <w:tcPr>
            <w:tcW w:w="3995" w:type="dxa"/>
            <w:tcBorders>
              <w:top w:val="nil"/>
              <w:left w:val="nil"/>
              <w:bottom w:val="nil"/>
              <w:right w:val="nil"/>
            </w:tcBorders>
            <w:shd w:val="clear" w:color="auto" w:fill="auto"/>
            <w:vAlign w:val="bottom"/>
          </w:tcPr>
          <w:p w:rsidR="009A1B88" w:rsidRPr="000A1BEA" w:rsidRDefault="009A1B88" w:rsidP="007967E0">
            <w:pPr>
              <w:rPr>
                <w:rFonts w:ascii="Verdana" w:hAnsi="Verdana" w:cs="Arial"/>
                <w:sz w:val="20"/>
                <w:szCs w:val="20"/>
              </w:rPr>
            </w:pPr>
            <w:r w:rsidRPr="000A1BEA">
              <w:rPr>
                <w:rFonts w:ascii="Verdana" w:hAnsi="Verdana" w:cs="Arial"/>
                <w:sz w:val="20"/>
                <w:szCs w:val="20"/>
              </w:rPr>
              <w:t>Jdos. Centrales de instrucción</w:t>
            </w:r>
          </w:p>
        </w:tc>
        <w:tc>
          <w:tcPr>
            <w:tcW w:w="1463" w:type="dxa"/>
            <w:tcBorders>
              <w:top w:val="nil"/>
              <w:left w:val="nil"/>
              <w:bottom w:val="nil"/>
              <w:right w:val="nil"/>
            </w:tcBorders>
            <w:shd w:val="clear" w:color="auto" w:fill="auto"/>
            <w:vAlign w:val="center"/>
          </w:tcPr>
          <w:p w:rsidR="009A1B88" w:rsidRPr="000A1BEA" w:rsidRDefault="009A1B88" w:rsidP="00D21250">
            <w:pPr>
              <w:jc w:val="center"/>
              <w:rPr>
                <w:rFonts w:ascii="Verdana" w:hAnsi="Verdana" w:cs="Arial"/>
                <w:sz w:val="20"/>
                <w:szCs w:val="20"/>
              </w:rPr>
            </w:pPr>
            <w:r w:rsidRPr="000A1BEA">
              <w:rPr>
                <w:rFonts w:ascii="Verdana" w:hAnsi="Verdana" w:cs="Arial"/>
                <w:sz w:val="20"/>
                <w:szCs w:val="20"/>
              </w:rPr>
              <w:t xml:space="preserve">        75,5</w:t>
            </w:r>
          </w:p>
        </w:tc>
      </w:tr>
      <w:tr w:rsidR="00433902" w:rsidRPr="007A6EA4" w:rsidTr="007967E0">
        <w:trPr>
          <w:trHeight w:val="246"/>
          <w:jc w:val="center"/>
        </w:trPr>
        <w:tc>
          <w:tcPr>
            <w:tcW w:w="3995" w:type="dxa"/>
            <w:tcBorders>
              <w:top w:val="nil"/>
              <w:left w:val="nil"/>
              <w:bottom w:val="single" w:sz="8" w:space="0" w:color="auto"/>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 Central Penal</w:t>
            </w:r>
          </w:p>
        </w:tc>
        <w:tc>
          <w:tcPr>
            <w:tcW w:w="1463" w:type="dxa"/>
            <w:tcBorders>
              <w:top w:val="nil"/>
              <w:left w:val="nil"/>
              <w:bottom w:val="single" w:sz="8" w:space="0" w:color="auto"/>
              <w:right w:val="nil"/>
            </w:tcBorders>
            <w:shd w:val="clear" w:color="auto" w:fill="auto"/>
            <w:vAlign w:val="center"/>
          </w:tcPr>
          <w:p w:rsidR="00433902" w:rsidRPr="000E7EFC" w:rsidRDefault="00433902" w:rsidP="00D21250">
            <w:pPr>
              <w:jc w:val="center"/>
              <w:rPr>
                <w:rFonts w:ascii="Verdana" w:hAnsi="Verdana" w:cs="Arial"/>
                <w:sz w:val="20"/>
                <w:szCs w:val="20"/>
              </w:rPr>
            </w:pPr>
            <w:r w:rsidRPr="000A1BEA">
              <w:rPr>
                <w:rFonts w:ascii="Verdana" w:hAnsi="Verdana" w:cs="Arial"/>
                <w:sz w:val="20"/>
                <w:szCs w:val="20"/>
              </w:rPr>
              <w:t xml:space="preserve">         </w:t>
            </w:r>
            <w:r w:rsidR="00D21250" w:rsidRPr="000A1BEA">
              <w:rPr>
                <w:rFonts w:ascii="Verdana" w:hAnsi="Verdana" w:cs="Arial"/>
                <w:sz w:val="20"/>
                <w:szCs w:val="20"/>
              </w:rPr>
              <w:t>4</w:t>
            </w:r>
            <w:r w:rsidRPr="000A1BEA">
              <w:rPr>
                <w:rFonts w:ascii="Verdana" w:hAnsi="Verdana" w:cs="Arial"/>
                <w:sz w:val="20"/>
                <w:szCs w:val="20"/>
              </w:rPr>
              <w:t>,</w:t>
            </w:r>
            <w:r w:rsidR="00D21250" w:rsidRPr="000A1BEA">
              <w:rPr>
                <w:rFonts w:ascii="Verdana" w:hAnsi="Verdana" w:cs="Arial"/>
                <w:sz w:val="20"/>
                <w:szCs w:val="20"/>
              </w:rPr>
              <w:t>8</w:t>
            </w:r>
          </w:p>
        </w:tc>
      </w:tr>
    </w:tbl>
    <w:p w:rsidR="00433902" w:rsidRDefault="00433902" w:rsidP="00433902">
      <w:pPr>
        <w:spacing w:before="120" w:after="120"/>
        <w:ind w:left="-1080" w:right="-856" w:firstLine="180"/>
        <w:jc w:val="both"/>
        <w:rPr>
          <w:rFonts w:ascii="Verdana" w:hAnsi="Verdana" w:cs="Arial"/>
        </w:rPr>
      </w:pPr>
    </w:p>
    <w:p w:rsidR="00433902" w:rsidRPr="007A6EA4" w:rsidRDefault="00433902" w:rsidP="00433902">
      <w:pPr>
        <w:spacing w:before="120" w:after="120"/>
        <w:ind w:left="-1080" w:right="-856" w:firstLine="180"/>
        <w:jc w:val="both"/>
        <w:rPr>
          <w:rFonts w:ascii="Verdana" w:hAnsi="Verdana" w:cs="Arial"/>
        </w:rPr>
      </w:pPr>
    </w:p>
    <w:p w:rsidR="009A1B88" w:rsidRDefault="00433902" w:rsidP="00433902">
      <w:pPr>
        <w:spacing w:before="120" w:after="120"/>
        <w:ind w:firstLine="357"/>
        <w:jc w:val="both"/>
        <w:rPr>
          <w:rFonts w:ascii="Verdana" w:hAnsi="Verdana" w:cs="Arial"/>
          <w:sz w:val="20"/>
        </w:rPr>
      </w:pPr>
      <w:r w:rsidRPr="000A1BEA">
        <w:rPr>
          <w:rFonts w:ascii="Verdana" w:hAnsi="Verdana" w:cs="Arial"/>
          <w:sz w:val="20"/>
        </w:rPr>
        <w:t>El ratio recursos elevados / sentencias dictadas ha mostrado en los juzgados de instrucción y de primera instancia e instrucción un</w:t>
      </w:r>
      <w:r w:rsidR="00D21250" w:rsidRPr="000A1BEA">
        <w:rPr>
          <w:rFonts w:ascii="Verdana" w:hAnsi="Verdana" w:cs="Arial"/>
          <w:sz w:val="20"/>
        </w:rPr>
        <w:t xml:space="preserve"> incremento del 0,2% </w:t>
      </w:r>
      <w:r w:rsidRPr="000A1BEA">
        <w:rPr>
          <w:rFonts w:ascii="Verdana" w:hAnsi="Verdana" w:cs="Arial"/>
          <w:sz w:val="20"/>
        </w:rPr>
        <w:t>respecto a 201</w:t>
      </w:r>
      <w:r w:rsidR="00D21250" w:rsidRPr="000A1BEA">
        <w:rPr>
          <w:rFonts w:ascii="Verdana" w:hAnsi="Verdana" w:cs="Arial"/>
          <w:sz w:val="20"/>
        </w:rPr>
        <w:t>6</w:t>
      </w:r>
      <w:r w:rsidRPr="000A1BEA">
        <w:rPr>
          <w:rFonts w:ascii="Verdana" w:hAnsi="Verdana" w:cs="Arial"/>
          <w:sz w:val="20"/>
        </w:rPr>
        <w:t xml:space="preserve">; </w:t>
      </w:r>
      <w:r w:rsidR="00D21250" w:rsidRPr="000A1BEA">
        <w:rPr>
          <w:rFonts w:ascii="Verdana" w:hAnsi="Verdana" w:cs="Arial"/>
          <w:sz w:val="20"/>
        </w:rPr>
        <w:t>del 1,4% en los juzgados de lo penal; del 25,4% en las secciones penales de las audiencias provinciales</w:t>
      </w:r>
      <w:r w:rsidR="009A1B88" w:rsidRPr="000A1BEA">
        <w:rPr>
          <w:rFonts w:ascii="Verdana" w:hAnsi="Verdana" w:cs="Arial"/>
          <w:sz w:val="20"/>
        </w:rPr>
        <w:t>; del 4,9% en la sala de lo penal de la Audiencia Nacional; del 9,4% en los juzgados centrales de instrucción</w:t>
      </w:r>
      <w:r w:rsidR="00D21250" w:rsidRPr="000A1BEA">
        <w:rPr>
          <w:rFonts w:ascii="Verdana" w:hAnsi="Verdana" w:cs="Arial"/>
          <w:sz w:val="20"/>
        </w:rPr>
        <w:t xml:space="preserve">. Por el contrario, ha mostrado una disminución </w:t>
      </w:r>
      <w:r w:rsidRPr="000A1BEA">
        <w:rPr>
          <w:rFonts w:ascii="Verdana" w:hAnsi="Verdana" w:cs="Arial"/>
          <w:sz w:val="20"/>
        </w:rPr>
        <w:t xml:space="preserve">del </w:t>
      </w:r>
      <w:r w:rsidR="00D21250" w:rsidRPr="000A1BEA">
        <w:rPr>
          <w:rFonts w:ascii="Verdana" w:hAnsi="Verdana" w:cs="Arial"/>
          <w:sz w:val="20"/>
        </w:rPr>
        <w:t>10</w:t>
      </w:r>
      <w:r w:rsidRPr="000A1BEA">
        <w:rPr>
          <w:rFonts w:ascii="Verdana" w:hAnsi="Verdana" w:cs="Arial"/>
          <w:sz w:val="20"/>
        </w:rPr>
        <w:t xml:space="preserve">% en los juzgados de violencia contra la mujer; </w:t>
      </w:r>
      <w:r w:rsidR="009A1B88" w:rsidRPr="000A1BEA">
        <w:rPr>
          <w:rFonts w:ascii="Verdana" w:hAnsi="Verdana" w:cs="Arial"/>
          <w:sz w:val="20"/>
        </w:rPr>
        <w:t>del 72,6% en el juzgado central de lo penal; y del 2,9% en los juzgados de menores.</w:t>
      </w:r>
    </w:p>
    <w:p w:rsidR="00433902" w:rsidRPr="000A1BEA" w:rsidRDefault="00433902" w:rsidP="00433902">
      <w:pPr>
        <w:spacing w:before="120" w:after="120"/>
        <w:ind w:firstLine="357"/>
        <w:jc w:val="both"/>
        <w:rPr>
          <w:rFonts w:ascii="Verdana" w:hAnsi="Verdana" w:cs="Arial"/>
          <w:sz w:val="20"/>
        </w:rPr>
      </w:pPr>
      <w:r w:rsidRPr="000A1BEA">
        <w:rPr>
          <w:rFonts w:ascii="Verdana" w:hAnsi="Verdana" w:cs="Arial"/>
          <w:sz w:val="20"/>
        </w:rPr>
        <w:t xml:space="preserve">Respecto a los </w:t>
      </w:r>
      <w:r w:rsidRPr="000A1BEA">
        <w:rPr>
          <w:rFonts w:ascii="Verdana" w:hAnsi="Verdana" w:cs="Arial"/>
          <w:b/>
          <w:sz w:val="20"/>
        </w:rPr>
        <w:t>recursos de revisión contra los decretos</w:t>
      </w:r>
      <w:r w:rsidRPr="000A1BEA">
        <w:rPr>
          <w:rFonts w:ascii="Verdana" w:hAnsi="Verdana" w:cs="Arial"/>
          <w:sz w:val="20"/>
        </w:rPr>
        <w:t xml:space="preserve"> de los letrados de la administración de justicia tenemos los siguientes datos:</w:t>
      </w:r>
    </w:p>
    <w:tbl>
      <w:tblPr>
        <w:tblW w:w="7018" w:type="dxa"/>
        <w:jc w:val="center"/>
        <w:tblInd w:w="55" w:type="dxa"/>
        <w:tblCellMar>
          <w:left w:w="70" w:type="dxa"/>
          <w:right w:w="70" w:type="dxa"/>
        </w:tblCellMar>
        <w:tblLook w:val="0000" w:firstRow="0" w:lastRow="0" w:firstColumn="0" w:lastColumn="0" w:noHBand="0" w:noVBand="0"/>
      </w:tblPr>
      <w:tblGrid>
        <w:gridCol w:w="3469"/>
        <w:gridCol w:w="1886"/>
        <w:gridCol w:w="1663"/>
      </w:tblGrid>
      <w:tr w:rsidR="00433902" w:rsidRPr="000A1BEA" w:rsidTr="007967E0">
        <w:trPr>
          <w:trHeight w:val="1279"/>
          <w:jc w:val="center"/>
        </w:trPr>
        <w:tc>
          <w:tcPr>
            <w:tcW w:w="3469" w:type="dxa"/>
            <w:tcBorders>
              <w:top w:val="nil"/>
              <w:left w:val="nil"/>
              <w:bottom w:val="nil"/>
              <w:right w:val="nil"/>
            </w:tcBorders>
            <w:shd w:val="clear" w:color="auto" w:fill="auto"/>
            <w:noWrap/>
            <w:vAlign w:val="bottom"/>
          </w:tcPr>
          <w:p w:rsidR="00433902" w:rsidRPr="000A1BEA" w:rsidRDefault="00433902" w:rsidP="007967E0">
            <w:pPr>
              <w:rPr>
                <w:rFonts w:ascii="Verdana" w:hAnsi="Verdana" w:cs="Arial"/>
                <w:sz w:val="20"/>
                <w:szCs w:val="20"/>
              </w:rPr>
            </w:pPr>
          </w:p>
        </w:tc>
        <w:tc>
          <w:tcPr>
            <w:tcW w:w="1886" w:type="dxa"/>
            <w:tcBorders>
              <w:top w:val="single" w:sz="8" w:space="0" w:color="auto"/>
              <w:left w:val="nil"/>
              <w:bottom w:val="single" w:sz="8" w:space="0" w:color="auto"/>
              <w:right w:val="nil"/>
            </w:tcBorders>
            <w:shd w:val="clear" w:color="auto" w:fill="auto"/>
            <w:vAlign w:val="bottom"/>
          </w:tcPr>
          <w:p w:rsidR="00433902" w:rsidRPr="000A1BEA" w:rsidRDefault="00433902" w:rsidP="007967E0">
            <w:pPr>
              <w:jc w:val="center"/>
              <w:rPr>
                <w:rFonts w:ascii="Verdana" w:hAnsi="Verdana" w:cs="Arial"/>
                <w:b/>
                <w:bCs/>
                <w:color w:val="000080"/>
                <w:sz w:val="20"/>
                <w:szCs w:val="20"/>
              </w:rPr>
            </w:pPr>
            <w:r w:rsidRPr="000A1BEA">
              <w:rPr>
                <w:rFonts w:ascii="Verdana" w:hAnsi="Verdana" w:cs="Arial"/>
                <w:b/>
                <w:bCs/>
                <w:color w:val="000080"/>
                <w:sz w:val="20"/>
                <w:szCs w:val="20"/>
              </w:rPr>
              <w:t>Porcentaje de recursos de revisión resueltos confirmando</w:t>
            </w:r>
          </w:p>
        </w:tc>
        <w:tc>
          <w:tcPr>
            <w:tcW w:w="1663" w:type="dxa"/>
            <w:tcBorders>
              <w:top w:val="single" w:sz="8" w:space="0" w:color="auto"/>
              <w:left w:val="nil"/>
              <w:bottom w:val="single" w:sz="8" w:space="0" w:color="auto"/>
              <w:right w:val="nil"/>
            </w:tcBorders>
            <w:shd w:val="clear" w:color="auto" w:fill="auto"/>
            <w:vAlign w:val="center"/>
          </w:tcPr>
          <w:p w:rsidR="00433902" w:rsidRPr="000A1BEA" w:rsidRDefault="00433902" w:rsidP="007967E0">
            <w:pPr>
              <w:jc w:val="center"/>
              <w:rPr>
                <w:rFonts w:ascii="Verdana" w:hAnsi="Verdana" w:cs="Arial"/>
                <w:b/>
                <w:bCs/>
                <w:color w:val="000080"/>
                <w:sz w:val="20"/>
                <w:szCs w:val="20"/>
              </w:rPr>
            </w:pPr>
            <w:r w:rsidRPr="000A1BEA">
              <w:rPr>
                <w:rFonts w:ascii="Verdana" w:hAnsi="Verdana" w:cs="Arial"/>
                <w:b/>
                <w:bCs/>
                <w:color w:val="000080"/>
                <w:sz w:val="20"/>
                <w:szCs w:val="20"/>
              </w:rPr>
              <w:t>Recursos ingresados / decretos finales</w:t>
            </w:r>
          </w:p>
        </w:tc>
      </w:tr>
      <w:tr w:rsidR="00433902" w:rsidRPr="000A1BEA" w:rsidTr="007967E0">
        <w:trPr>
          <w:trHeight w:val="506"/>
          <w:jc w:val="center"/>
        </w:trPr>
        <w:tc>
          <w:tcPr>
            <w:tcW w:w="3469" w:type="dxa"/>
            <w:tcBorders>
              <w:top w:val="single" w:sz="8" w:space="0" w:color="auto"/>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 xml:space="preserve">Jdos.  Instrucción  y 1ª Instancia e Instrucción </w:t>
            </w:r>
          </w:p>
        </w:tc>
        <w:tc>
          <w:tcPr>
            <w:tcW w:w="1886" w:type="dxa"/>
            <w:tcBorders>
              <w:top w:val="nil"/>
              <w:left w:val="nil"/>
              <w:bottom w:val="nil"/>
              <w:right w:val="nil"/>
            </w:tcBorders>
            <w:shd w:val="clear" w:color="auto" w:fill="auto"/>
            <w:noWrap/>
            <w:vAlign w:val="center"/>
          </w:tcPr>
          <w:p w:rsidR="00433902" w:rsidRPr="000A1BEA" w:rsidRDefault="00433902" w:rsidP="005E4554">
            <w:pPr>
              <w:jc w:val="center"/>
              <w:rPr>
                <w:rFonts w:ascii="Verdana" w:hAnsi="Verdana" w:cs="Arial"/>
                <w:sz w:val="18"/>
                <w:szCs w:val="18"/>
              </w:rPr>
            </w:pPr>
            <w:r w:rsidRPr="000A1BEA">
              <w:rPr>
                <w:rFonts w:ascii="Verdana" w:hAnsi="Verdana" w:cs="Arial"/>
                <w:sz w:val="18"/>
                <w:szCs w:val="18"/>
              </w:rPr>
              <w:t>8</w:t>
            </w:r>
            <w:r w:rsidR="005E4554" w:rsidRPr="000A1BEA">
              <w:rPr>
                <w:rFonts w:ascii="Verdana" w:hAnsi="Verdana" w:cs="Arial"/>
                <w:sz w:val="18"/>
                <w:szCs w:val="18"/>
              </w:rPr>
              <w:t>3</w:t>
            </w:r>
            <w:r w:rsidRPr="000A1BEA">
              <w:rPr>
                <w:rFonts w:ascii="Verdana" w:hAnsi="Verdana" w:cs="Arial"/>
                <w:sz w:val="18"/>
                <w:szCs w:val="18"/>
              </w:rPr>
              <w:t>,</w:t>
            </w:r>
            <w:r w:rsidR="005E4554" w:rsidRPr="000A1BEA">
              <w:rPr>
                <w:rFonts w:ascii="Verdana" w:hAnsi="Verdana" w:cs="Arial"/>
                <w:sz w:val="18"/>
                <w:szCs w:val="18"/>
              </w:rPr>
              <w:t>1</w:t>
            </w:r>
            <w:r w:rsidRPr="000A1BEA">
              <w:rPr>
                <w:rFonts w:ascii="Verdana" w:hAnsi="Verdana" w:cs="Arial"/>
                <w:sz w:val="18"/>
                <w:szCs w:val="18"/>
              </w:rPr>
              <w:t>%</w:t>
            </w:r>
          </w:p>
        </w:tc>
        <w:tc>
          <w:tcPr>
            <w:tcW w:w="1663" w:type="dxa"/>
            <w:tcBorders>
              <w:top w:val="nil"/>
              <w:left w:val="nil"/>
              <w:bottom w:val="nil"/>
              <w:right w:val="nil"/>
            </w:tcBorders>
            <w:shd w:val="clear" w:color="auto" w:fill="auto"/>
            <w:noWrap/>
            <w:vAlign w:val="center"/>
          </w:tcPr>
          <w:p w:rsidR="00433902" w:rsidRPr="000A1BEA" w:rsidRDefault="00433902" w:rsidP="005E4554">
            <w:pPr>
              <w:jc w:val="center"/>
              <w:rPr>
                <w:rFonts w:ascii="Verdana" w:hAnsi="Verdana" w:cs="Arial"/>
                <w:sz w:val="18"/>
                <w:szCs w:val="18"/>
              </w:rPr>
            </w:pPr>
            <w:r w:rsidRPr="000A1BEA">
              <w:rPr>
                <w:rFonts w:ascii="Verdana" w:hAnsi="Verdana" w:cs="Arial"/>
                <w:sz w:val="18"/>
                <w:szCs w:val="18"/>
              </w:rPr>
              <w:t>1,</w:t>
            </w:r>
            <w:r w:rsidR="005E4554" w:rsidRPr="000A1BEA">
              <w:rPr>
                <w:rFonts w:ascii="Verdana" w:hAnsi="Verdana" w:cs="Arial"/>
                <w:sz w:val="18"/>
                <w:szCs w:val="18"/>
              </w:rPr>
              <w:t>3</w:t>
            </w:r>
            <w:r w:rsidRPr="000A1BEA">
              <w:rPr>
                <w:rFonts w:ascii="Verdana" w:hAnsi="Verdana" w:cs="Arial"/>
                <w:sz w:val="18"/>
                <w:szCs w:val="18"/>
              </w:rPr>
              <w:t>%</w:t>
            </w:r>
          </w:p>
        </w:tc>
      </w:tr>
      <w:tr w:rsidR="00433902" w:rsidRPr="000A1BEA" w:rsidTr="007967E0">
        <w:trPr>
          <w:trHeight w:val="252"/>
          <w:jc w:val="center"/>
        </w:trPr>
        <w:tc>
          <w:tcPr>
            <w:tcW w:w="3469"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Violencia contra la Mujer</w:t>
            </w:r>
          </w:p>
        </w:tc>
        <w:tc>
          <w:tcPr>
            <w:tcW w:w="1886" w:type="dxa"/>
            <w:tcBorders>
              <w:top w:val="nil"/>
              <w:left w:val="nil"/>
              <w:bottom w:val="nil"/>
              <w:right w:val="nil"/>
            </w:tcBorders>
            <w:shd w:val="clear" w:color="auto" w:fill="auto"/>
            <w:noWrap/>
            <w:vAlign w:val="center"/>
          </w:tcPr>
          <w:p w:rsidR="00433902" w:rsidRPr="000A1BEA" w:rsidRDefault="00433902" w:rsidP="005E4554">
            <w:pPr>
              <w:jc w:val="center"/>
              <w:rPr>
                <w:rFonts w:ascii="Verdana" w:hAnsi="Verdana" w:cs="Arial"/>
                <w:sz w:val="18"/>
                <w:szCs w:val="18"/>
              </w:rPr>
            </w:pPr>
            <w:r w:rsidRPr="000A1BEA">
              <w:rPr>
                <w:rFonts w:ascii="Verdana" w:hAnsi="Verdana" w:cs="Arial"/>
                <w:sz w:val="18"/>
                <w:szCs w:val="18"/>
              </w:rPr>
              <w:t>8</w:t>
            </w:r>
            <w:r w:rsidR="005E4554" w:rsidRPr="000A1BEA">
              <w:rPr>
                <w:rFonts w:ascii="Verdana" w:hAnsi="Verdana" w:cs="Arial"/>
                <w:sz w:val="18"/>
                <w:szCs w:val="18"/>
              </w:rPr>
              <w:t>7</w:t>
            </w:r>
            <w:r w:rsidRPr="000A1BEA">
              <w:rPr>
                <w:rFonts w:ascii="Verdana" w:hAnsi="Verdana" w:cs="Arial"/>
                <w:sz w:val="18"/>
                <w:szCs w:val="18"/>
              </w:rPr>
              <w:t>,</w:t>
            </w:r>
            <w:r w:rsidR="005E4554" w:rsidRPr="000A1BEA">
              <w:rPr>
                <w:rFonts w:ascii="Verdana" w:hAnsi="Verdana" w:cs="Arial"/>
                <w:sz w:val="18"/>
                <w:szCs w:val="18"/>
              </w:rPr>
              <w:t>8</w:t>
            </w:r>
            <w:r w:rsidRPr="000A1BEA">
              <w:rPr>
                <w:rFonts w:ascii="Verdana" w:hAnsi="Verdana" w:cs="Arial"/>
                <w:sz w:val="18"/>
                <w:szCs w:val="18"/>
              </w:rPr>
              <w:t>%</w:t>
            </w:r>
          </w:p>
        </w:tc>
        <w:tc>
          <w:tcPr>
            <w:tcW w:w="1663" w:type="dxa"/>
            <w:tcBorders>
              <w:top w:val="nil"/>
              <w:left w:val="nil"/>
              <w:bottom w:val="nil"/>
              <w:right w:val="nil"/>
            </w:tcBorders>
            <w:shd w:val="clear" w:color="auto" w:fill="auto"/>
            <w:noWrap/>
            <w:vAlign w:val="center"/>
          </w:tcPr>
          <w:p w:rsidR="00433902" w:rsidRPr="000A1BEA" w:rsidRDefault="00433902" w:rsidP="005E4554">
            <w:pPr>
              <w:jc w:val="center"/>
              <w:rPr>
                <w:rFonts w:ascii="Verdana" w:hAnsi="Verdana" w:cs="Arial"/>
                <w:sz w:val="18"/>
                <w:szCs w:val="18"/>
              </w:rPr>
            </w:pPr>
            <w:r w:rsidRPr="000A1BEA">
              <w:rPr>
                <w:rFonts w:ascii="Verdana" w:hAnsi="Verdana" w:cs="Arial"/>
                <w:sz w:val="18"/>
                <w:szCs w:val="18"/>
              </w:rPr>
              <w:t>2,</w:t>
            </w:r>
            <w:r w:rsidR="005E4554" w:rsidRPr="000A1BEA">
              <w:rPr>
                <w:rFonts w:ascii="Verdana" w:hAnsi="Verdana" w:cs="Arial"/>
                <w:sz w:val="18"/>
                <w:szCs w:val="18"/>
              </w:rPr>
              <w:t>3</w:t>
            </w:r>
            <w:r w:rsidRPr="000A1BEA">
              <w:rPr>
                <w:rFonts w:ascii="Verdana" w:hAnsi="Verdana" w:cs="Arial"/>
                <w:sz w:val="18"/>
                <w:szCs w:val="18"/>
              </w:rPr>
              <w:t>%</w:t>
            </w:r>
          </w:p>
        </w:tc>
      </w:tr>
      <w:tr w:rsidR="00433902" w:rsidRPr="000A1BEA" w:rsidTr="007967E0">
        <w:trPr>
          <w:trHeight w:val="252"/>
          <w:jc w:val="center"/>
        </w:trPr>
        <w:tc>
          <w:tcPr>
            <w:tcW w:w="3469" w:type="dxa"/>
            <w:tcBorders>
              <w:top w:val="nil"/>
              <w:left w:val="nil"/>
              <w:bottom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Penal</w:t>
            </w:r>
          </w:p>
        </w:tc>
        <w:tc>
          <w:tcPr>
            <w:tcW w:w="1886" w:type="dxa"/>
            <w:tcBorders>
              <w:top w:val="nil"/>
              <w:left w:val="nil"/>
              <w:bottom w:val="nil"/>
              <w:right w:val="nil"/>
            </w:tcBorders>
            <w:shd w:val="clear" w:color="auto" w:fill="auto"/>
            <w:noWrap/>
            <w:vAlign w:val="center"/>
          </w:tcPr>
          <w:p w:rsidR="00433902" w:rsidRPr="000A1BEA" w:rsidRDefault="00433902" w:rsidP="009429E4">
            <w:pPr>
              <w:jc w:val="center"/>
              <w:rPr>
                <w:rFonts w:ascii="Verdana" w:hAnsi="Verdana" w:cs="Arial"/>
                <w:sz w:val="18"/>
                <w:szCs w:val="18"/>
              </w:rPr>
            </w:pPr>
            <w:r w:rsidRPr="000A1BEA">
              <w:rPr>
                <w:rFonts w:ascii="Verdana" w:hAnsi="Verdana" w:cs="Arial"/>
                <w:sz w:val="18"/>
                <w:szCs w:val="18"/>
              </w:rPr>
              <w:t>8</w:t>
            </w:r>
            <w:r w:rsidR="009429E4" w:rsidRPr="000A1BEA">
              <w:rPr>
                <w:rFonts w:ascii="Verdana" w:hAnsi="Verdana" w:cs="Arial"/>
                <w:sz w:val="18"/>
                <w:szCs w:val="18"/>
              </w:rPr>
              <w:t>2</w:t>
            </w:r>
            <w:r w:rsidRPr="000A1BEA">
              <w:rPr>
                <w:rFonts w:ascii="Verdana" w:hAnsi="Verdana" w:cs="Arial"/>
                <w:sz w:val="18"/>
                <w:szCs w:val="18"/>
              </w:rPr>
              <w:t>,</w:t>
            </w:r>
            <w:r w:rsidR="009429E4" w:rsidRPr="000A1BEA">
              <w:rPr>
                <w:rFonts w:ascii="Verdana" w:hAnsi="Verdana" w:cs="Arial"/>
                <w:sz w:val="18"/>
                <w:szCs w:val="18"/>
              </w:rPr>
              <w:t>6</w:t>
            </w:r>
            <w:r w:rsidRPr="000A1BEA">
              <w:rPr>
                <w:rFonts w:ascii="Verdana" w:hAnsi="Verdana" w:cs="Arial"/>
                <w:sz w:val="18"/>
                <w:szCs w:val="18"/>
              </w:rPr>
              <w:t>%</w:t>
            </w:r>
          </w:p>
        </w:tc>
        <w:tc>
          <w:tcPr>
            <w:tcW w:w="1663" w:type="dxa"/>
            <w:tcBorders>
              <w:top w:val="nil"/>
              <w:left w:val="nil"/>
              <w:bottom w:val="nil"/>
              <w:right w:val="nil"/>
            </w:tcBorders>
            <w:shd w:val="clear" w:color="auto" w:fill="auto"/>
            <w:noWrap/>
            <w:vAlign w:val="center"/>
          </w:tcPr>
          <w:p w:rsidR="00433902" w:rsidRPr="000A1BEA" w:rsidRDefault="00433902" w:rsidP="007967E0">
            <w:pPr>
              <w:jc w:val="center"/>
              <w:rPr>
                <w:rFonts w:ascii="Verdana" w:hAnsi="Verdana" w:cs="Arial"/>
                <w:sz w:val="18"/>
                <w:szCs w:val="18"/>
              </w:rPr>
            </w:pPr>
            <w:r w:rsidRPr="000A1BEA">
              <w:rPr>
                <w:rFonts w:ascii="Verdana" w:hAnsi="Verdana" w:cs="Arial"/>
                <w:sz w:val="18"/>
                <w:szCs w:val="18"/>
              </w:rPr>
              <w:t>0,7%</w:t>
            </w:r>
          </w:p>
        </w:tc>
      </w:tr>
      <w:tr w:rsidR="00433902" w:rsidRPr="000A1BEA" w:rsidTr="007967E0">
        <w:trPr>
          <w:trHeight w:val="252"/>
          <w:jc w:val="center"/>
        </w:trPr>
        <w:tc>
          <w:tcPr>
            <w:tcW w:w="3469" w:type="dxa"/>
            <w:tcBorders>
              <w:top w:val="nil"/>
              <w:left w:val="nil"/>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Jdos. Menores</w:t>
            </w:r>
          </w:p>
        </w:tc>
        <w:tc>
          <w:tcPr>
            <w:tcW w:w="1886" w:type="dxa"/>
            <w:tcBorders>
              <w:top w:val="nil"/>
              <w:left w:val="nil"/>
              <w:right w:val="nil"/>
            </w:tcBorders>
            <w:shd w:val="clear" w:color="auto" w:fill="auto"/>
            <w:noWrap/>
            <w:vAlign w:val="center"/>
          </w:tcPr>
          <w:p w:rsidR="00433902" w:rsidRPr="000A1BEA" w:rsidRDefault="00433902" w:rsidP="009429E4">
            <w:pPr>
              <w:jc w:val="center"/>
              <w:rPr>
                <w:rFonts w:ascii="Verdana" w:hAnsi="Verdana" w:cs="Arial"/>
                <w:sz w:val="18"/>
                <w:szCs w:val="18"/>
              </w:rPr>
            </w:pPr>
            <w:r w:rsidRPr="000A1BEA">
              <w:rPr>
                <w:rFonts w:ascii="Verdana" w:hAnsi="Verdana" w:cs="Arial"/>
                <w:sz w:val="18"/>
                <w:szCs w:val="18"/>
              </w:rPr>
              <w:t>7</w:t>
            </w:r>
            <w:r w:rsidR="009429E4" w:rsidRPr="000A1BEA">
              <w:rPr>
                <w:rFonts w:ascii="Verdana" w:hAnsi="Verdana" w:cs="Arial"/>
                <w:sz w:val="18"/>
                <w:szCs w:val="18"/>
              </w:rPr>
              <w:t>2</w:t>
            </w:r>
            <w:r w:rsidRPr="000A1BEA">
              <w:rPr>
                <w:rFonts w:ascii="Verdana" w:hAnsi="Verdana" w:cs="Arial"/>
                <w:sz w:val="18"/>
                <w:szCs w:val="18"/>
              </w:rPr>
              <w:t>,</w:t>
            </w:r>
            <w:r w:rsidR="009429E4" w:rsidRPr="000A1BEA">
              <w:rPr>
                <w:rFonts w:ascii="Verdana" w:hAnsi="Verdana" w:cs="Arial"/>
                <w:sz w:val="18"/>
                <w:szCs w:val="18"/>
              </w:rPr>
              <w:t>7</w:t>
            </w:r>
            <w:r w:rsidRPr="000A1BEA">
              <w:rPr>
                <w:rFonts w:ascii="Verdana" w:hAnsi="Verdana" w:cs="Arial"/>
                <w:sz w:val="18"/>
                <w:szCs w:val="18"/>
              </w:rPr>
              <w:t>%</w:t>
            </w:r>
          </w:p>
        </w:tc>
        <w:tc>
          <w:tcPr>
            <w:tcW w:w="1663" w:type="dxa"/>
            <w:tcBorders>
              <w:top w:val="nil"/>
              <w:left w:val="nil"/>
              <w:right w:val="nil"/>
            </w:tcBorders>
            <w:shd w:val="clear" w:color="auto" w:fill="auto"/>
            <w:noWrap/>
            <w:vAlign w:val="center"/>
          </w:tcPr>
          <w:p w:rsidR="00433902" w:rsidRPr="000A1BEA" w:rsidRDefault="009429E4" w:rsidP="009429E4">
            <w:pPr>
              <w:jc w:val="center"/>
              <w:rPr>
                <w:rFonts w:ascii="Verdana" w:hAnsi="Verdana" w:cs="Arial"/>
                <w:sz w:val="18"/>
                <w:szCs w:val="18"/>
              </w:rPr>
            </w:pPr>
            <w:r w:rsidRPr="000A1BEA">
              <w:rPr>
                <w:rFonts w:ascii="Verdana" w:hAnsi="Verdana" w:cs="Arial"/>
                <w:sz w:val="18"/>
                <w:szCs w:val="18"/>
              </w:rPr>
              <w:t>2</w:t>
            </w:r>
            <w:r w:rsidR="00433902" w:rsidRPr="000A1BEA">
              <w:rPr>
                <w:rFonts w:ascii="Verdana" w:hAnsi="Verdana" w:cs="Arial"/>
                <w:sz w:val="18"/>
                <w:szCs w:val="18"/>
              </w:rPr>
              <w:t>,</w:t>
            </w:r>
            <w:r w:rsidRPr="000A1BEA">
              <w:rPr>
                <w:rFonts w:ascii="Verdana" w:hAnsi="Verdana" w:cs="Arial"/>
                <w:sz w:val="18"/>
                <w:szCs w:val="18"/>
              </w:rPr>
              <w:t>7</w:t>
            </w:r>
            <w:r w:rsidR="00433902" w:rsidRPr="000A1BEA">
              <w:rPr>
                <w:rFonts w:ascii="Verdana" w:hAnsi="Verdana" w:cs="Arial"/>
                <w:sz w:val="18"/>
                <w:szCs w:val="18"/>
              </w:rPr>
              <w:t>%</w:t>
            </w:r>
          </w:p>
        </w:tc>
      </w:tr>
      <w:tr w:rsidR="00433902" w:rsidRPr="007A6EA4" w:rsidTr="007967E0">
        <w:trPr>
          <w:trHeight w:val="252"/>
          <w:jc w:val="center"/>
        </w:trPr>
        <w:tc>
          <w:tcPr>
            <w:tcW w:w="3469" w:type="dxa"/>
            <w:tcBorders>
              <w:top w:val="nil"/>
              <w:left w:val="nil"/>
              <w:bottom w:val="single" w:sz="4" w:space="0" w:color="auto"/>
              <w:right w:val="nil"/>
            </w:tcBorders>
            <w:shd w:val="clear" w:color="auto" w:fill="auto"/>
            <w:vAlign w:val="bottom"/>
          </w:tcPr>
          <w:p w:rsidR="00433902" w:rsidRPr="000A1BEA" w:rsidRDefault="00433902" w:rsidP="007967E0">
            <w:pPr>
              <w:rPr>
                <w:rFonts w:ascii="Verdana" w:hAnsi="Verdana" w:cs="Arial"/>
                <w:sz w:val="20"/>
                <w:szCs w:val="20"/>
              </w:rPr>
            </w:pPr>
            <w:r w:rsidRPr="000A1BEA">
              <w:rPr>
                <w:rFonts w:ascii="Verdana" w:hAnsi="Verdana" w:cs="Arial"/>
                <w:sz w:val="20"/>
                <w:szCs w:val="20"/>
              </w:rPr>
              <w:t>Audiencias Provinciales</w:t>
            </w:r>
          </w:p>
        </w:tc>
        <w:tc>
          <w:tcPr>
            <w:tcW w:w="1886" w:type="dxa"/>
            <w:tcBorders>
              <w:top w:val="nil"/>
              <w:left w:val="nil"/>
              <w:bottom w:val="single" w:sz="4" w:space="0" w:color="auto"/>
              <w:right w:val="nil"/>
            </w:tcBorders>
            <w:shd w:val="clear" w:color="auto" w:fill="auto"/>
            <w:noWrap/>
            <w:vAlign w:val="center"/>
          </w:tcPr>
          <w:p w:rsidR="00433902" w:rsidRPr="000A1BEA" w:rsidRDefault="00433902" w:rsidP="009429E4">
            <w:pPr>
              <w:jc w:val="center"/>
              <w:rPr>
                <w:rFonts w:ascii="Verdana" w:hAnsi="Verdana" w:cs="Arial"/>
                <w:sz w:val="18"/>
                <w:szCs w:val="18"/>
              </w:rPr>
            </w:pPr>
            <w:r w:rsidRPr="000A1BEA">
              <w:rPr>
                <w:rFonts w:ascii="Verdana" w:hAnsi="Verdana" w:cs="Arial"/>
                <w:sz w:val="18"/>
                <w:szCs w:val="18"/>
              </w:rPr>
              <w:t>8</w:t>
            </w:r>
            <w:r w:rsidR="009429E4" w:rsidRPr="000A1BEA">
              <w:rPr>
                <w:rFonts w:ascii="Verdana" w:hAnsi="Verdana" w:cs="Arial"/>
                <w:sz w:val="18"/>
                <w:szCs w:val="18"/>
              </w:rPr>
              <w:t>4</w:t>
            </w:r>
            <w:r w:rsidRPr="000A1BEA">
              <w:rPr>
                <w:rFonts w:ascii="Verdana" w:hAnsi="Verdana" w:cs="Arial"/>
                <w:sz w:val="18"/>
                <w:szCs w:val="18"/>
              </w:rPr>
              <w:t>,</w:t>
            </w:r>
            <w:r w:rsidR="009429E4" w:rsidRPr="000A1BEA">
              <w:rPr>
                <w:rFonts w:ascii="Verdana" w:hAnsi="Verdana" w:cs="Arial"/>
                <w:sz w:val="18"/>
                <w:szCs w:val="18"/>
              </w:rPr>
              <w:t>2</w:t>
            </w:r>
            <w:r w:rsidRPr="000A1BEA">
              <w:rPr>
                <w:rFonts w:ascii="Verdana" w:hAnsi="Verdana" w:cs="Arial"/>
                <w:sz w:val="18"/>
                <w:szCs w:val="18"/>
              </w:rPr>
              <w:t>%</w:t>
            </w:r>
          </w:p>
        </w:tc>
        <w:tc>
          <w:tcPr>
            <w:tcW w:w="1663" w:type="dxa"/>
            <w:tcBorders>
              <w:top w:val="nil"/>
              <w:left w:val="nil"/>
              <w:bottom w:val="single" w:sz="4" w:space="0" w:color="auto"/>
              <w:right w:val="nil"/>
            </w:tcBorders>
            <w:shd w:val="clear" w:color="auto" w:fill="auto"/>
            <w:noWrap/>
            <w:vAlign w:val="center"/>
          </w:tcPr>
          <w:p w:rsidR="00433902" w:rsidRPr="000E7EFC" w:rsidRDefault="009429E4" w:rsidP="007967E0">
            <w:pPr>
              <w:jc w:val="center"/>
              <w:rPr>
                <w:rFonts w:ascii="Verdana" w:hAnsi="Verdana" w:cs="Arial"/>
                <w:sz w:val="18"/>
                <w:szCs w:val="18"/>
              </w:rPr>
            </w:pPr>
            <w:r w:rsidRPr="000A1BEA">
              <w:rPr>
                <w:rFonts w:ascii="Verdana" w:hAnsi="Verdana" w:cs="Arial"/>
                <w:sz w:val="18"/>
                <w:szCs w:val="18"/>
              </w:rPr>
              <w:t>3,6</w:t>
            </w:r>
            <w:r w:rsidR="00433902" w:rsidRPr="000A1BEA">
              <w:rPr>
                <w:rFonts w:ascii="Verdana" w:hAnsi="Verdana" w:cs="Arial"/>
                <w:sz w:val="18"/>
                <w:szCs w:val="18"/>
              </w:rPr>
              <w:t>%</w:t>
            </w:r>
          </w:p>
        </w:tc>
      </w:tr>
    </w:tbl>
    <w:p w:rsidR="00433902" w:rsidRDefault="00433902" w:rsidP="00433902">
      <w:pPr>
        <w:autoSpaceDE w:val="0"/>
        <w:autoSpaceDN w:val="0"/>
        <w:adjustRightInd w:val="0"/>
        <w:jc w:val="center"/>
        <w:rPr>
          <w:rFonts w:ascii="Verdana" w:hAnsi="Verdana"/>
        </w:rPr>
      </w:pPr>
    </w:p>
    <w:p w:rsidR="00433902" w:rsidRDefault="00433902" w:rsidP="00433902">
      <w:pPr>
        <w:spacing w:before="120" w:after="120"/>
        <w:ind w:firstLine="357"/>
        <w:jc w:val="both"/>
        <w:rPr>
          <w:rFonts w:ascii="Verdana" w:hAnsi="Verdana" w:cs="Arial"/>
          <w:b/>
        </w:rPr>
      </w:pPr>
      <w:r w:rsidRPr="007A6EA4">
        <w:rPr>
          <w:rFonts w:ascii="Verdana" w:hAnsi="Verdana" w:cs="Arial"/>
          <w:b/>
        </w:rPr>
        <w:t>Impacto de las reformas legislativas en la jurisdicción penal</w:t>
      </w:r>
    </w:p>
    <w:p w:rsidR="00067C49" w:rsidRDefault="00067C49" w:rsidP="00433902">
      <w:pPr>
        <w:spacing w:before="120" w:after="120"/>
        <w:ind w:firstLine="357"/>
        <w:jc w:val="both"/>
        <w:rPr>
          <w:rFonts w:ascii="Verdana" w:hAnsi="Verdana" w:cs="Arial"/>
          <w:sz w:val="20"/>
        </w:rPr>
      </w:pPr>
    </w:p>
    <w:p w:rsidR="008A3FC4" w:rsidRPr="006D6213" w:rsidRDefault="008A3FC4" w:rsidP="00433902">
      <w:pPr>
        <w:spacing w:before="120" w:after="120"/>
        <w:ind w:firstLine="357"/>
        <w:jc w:val="both"/>
        <w:rPr>
          <w:rFonts w:ascii="Verdana" w:hAnsi="Verdana" w:cs="Arial"/>
          <w:sz w:val="20"/>
        </w:rPr>
      </w:pPr>
      <w:r w:rsidRPr="00097707">
        <w:rPr>
          <w:rFonts w:ascii="Verdana" w:hAnsi="Verdana" w:cs="Arial"/>
          <w:sz w:val="20"/>
        </w:rPr>
        <w:t xml:space="preserve">Las reformas legales operadas por la Ley Orgánica 1/2015 y la  Ley 41/2015 fueron de tal importancia que sus efectos han seguido siendo muy relevantes en 2017. </w:t>
      </w:r>
      <w:r w:rsidR="00097707" w:rsidRPr="00097707">
        <w:rPr>
          <w:rFonts w:ascii="Verdana" w:hAnsi="Verdana" w:cs="Arial"/>
          <w:sz w:val="20"/>
        </w:rPr>
        <w:t>L</w:t>
      </w:r>
      <w:r w:rsidR="00097707" w:rsidRPr="00097707">
        <w:rPr>
          <w:rFonts w:ascii="Verdana" w:hAnsi="Verdana" w:cs="Arial"/>
          <w:bCs/>
          <w:sz w:val="20"/>
        </w:rPr>
        <w:t>a falta de acceso a los juzgados, con carácter general, de los atestados sin autor conocido y la destipificación de determinadas conductas que antes de la reforma eran constitutivos de faltas, continúa siendo el motivo de que contin</w:t>
      </w:r>
      <w:r w:rsidR="00097707">
        <w:rPr>
          <w:rFonts w:ascii="Verdana" w:hAnsi="Verdana" w:cs="Arial"/>
          <w:bCs/>
          <w:sz w:val="20"/>
        </w:rPr>
        <w:t>ú</w:t>
      </w:r>
      <w:r w:rsidR="00097707" w:rsidRPr="00097707">
        <w:rPr>
          <w:rFonts w:ascii="Verdana" w:hAnsi="Verdana" w:cs="Arial"/>
          <w:bCs/>
          <w:sz w:val="20"/>
        </w:rPr>
        <w:t>e descendiend</w:t>
      </w:r>
      <w:r w:rsidR="00097707">
        <w:rPr>
          <w:rFonts w:ascii="Verdana" w:hAnsi="Verdana" w:cs="Arial"/>
          <w:bCs/>
          <w:sz w:val="20"/>
        </w:rPr>
        <w:t>o</w:t>
      </w:r>
      <w:r w:rsidR="00097707" w:rsidRPr="00097707">
        <w:rPr>
          <w:rFonts w:ascii="Verdana" w:hAnsi="Verdana" w:cs="Arial"/>
          <w:bCs/>
          <w:sz w:val="20"/>
        </w:rPr>
        <w:t xml:space="preserve"> el ingreso </w:t>
      </w:r>
      <w:r w:rsidR="00097707" w:rsidRPr="00097707">
        <w:rPr>
          <w:rFonts w:ascii="Verdana" w:hAnsi="Verdana" w:cs="Arial"/>
          <w:sz w:val="20"/>
        </w:rPr>
        <w:t xml:space="preserve">asuntos en los juzgados de instrucción y de primera instancia e instrucción. </w:t>
      </w:r>
      <w:r w:rsidR="006D6213" w:rsidRPr="00097707">
        <w:rPr>
          <w:rFonts w:ascii="Verdana" w:hAnsi="Verdana" w:cs="Arial"/>
          <w:sz w:val="20"/>
        </w:rPr>
        <w:t>Y el nuevo sistema de recursos, con la generalización de la segunda instancia penal, ha tenido una incidencia especial, como analizaremos en un punto independiente.</w:t>
      </w:r>
    </w:p>
    <w:p w:rsidR="00433902" w:rsidRDefault="00433902" w:rsidP="00433902">
      <w:pPr>
        <w:spacing w:before="120" w:after="120"/>
        <w:ind w:firstLine="357"/>
        <w:jc w:val="both"/>
        <w:rPr>
          <w:rFonts w:ascii="Verdana" w:hAnsi="Verdana" w:cs="Arial"/>
          <w:bCs/>
          <w:sz w:val="20"/>
        </w:rPr>
      </w:pPr>
    </w:p>
    <w:p w:rsidR="00E55995" w:rsidRPr="003E7AE9" w:rsidRDefault="00E55995" w:rsidP="00E55995">
      <w:pPr>
        <w:spacing w:before="120" w:after="120"/>
        <w:ind w:firstLine="357"/>
        <w:rPr>
          <w:rFonts w:ascii="Verdana" w:eastAsia="Calibri" w:hAnsi="Verdana" w:cs="Arial"/>
          <w:b/>
          <w:sz w:val="22"/>
          <w:szCs w:val="22"/>
        </w:rPr>
      </w:pPr>
      <w:r w:rsidRPr="003E7AE9">
        <w:rPr>
          <w:rFonts w:ascii="Verdana" w:eastAsia="Calibri" w:hAnsi="Verdana" w:cs="Arial"/>
          <w:b/>
          <w:sz w:val="22"/>
          <w:szCs w:val="22"/>
        </w:rPr>
        <w:t>Decretos de propuesta de imposición de pena</w:t>
      </w:r>
    </w:p>
    <w:p w:rsidR="00E55995" w:rsidRPr="00B127BA" w:rsidRDefault="00E55995" w:rsidP="00E55995">
      <w:pPr>
        <w:spacing w:before="120" w:after="120"/>
        <w:ind w:firstLine="357"/>
        <w:rPr>
          <w:rFonts w:ascii="Verdana" w:eastAsia="Calibri" w:hAnsi="Verdana" w:cs="Arial"/>
          <w:u w:val="single"/>
        </w:rPr>
      </w:pPr>
    </w:p>
    <w:p w:rsidR="00E55995" w:rsidRPr="00FA3D81" w:rsidRDefault="00E55995" w:rsidP="00E55995">
      <w:pPr>
        <w:spacing w:before="120" w:after="120"/>
        <w:ind w:firstLine="357"/>
        <w:jc w:val="both"/>
        <w:rPr>
          <w:rFonts w:ascii="Verdana" w:hAnsi="Verdana" w:cs="Arial"/>
          <w:sz w:val="20"/>
        </w:rPr>
      </w:pPr>
      <w:r w:rsidRPr="00FA3D81">
        <w:rPr>
          <w:rFonts w:ascii="Verdana" w:hAnsi="Verdana" w:cs="Arial"/>
          <w:sz w:val="20"/>
        </w:rPr>
        <w:t>Respecto a los decretos de propuesta de imposición de pena, su efecto en el año 2017 continúa siendo muy limitado, solo se han dictado 98, 14 menos que en 2016, de los que se han formalizado en sentencia 89, 10 menos que el año anterior, pudiéndose concluir que “monitorio” penal ha tenido muy poca aceptación.</w:t>
      </w:r>
    </w:p>
    <w:p w:rsidR="00E55995" w:rsidRPr="00DB7F3A" w:rsidRDefault="00E55995" w:rsidP="00E55995">
      <w:pPr>
        <w:spacing w:before="120" w:after="120"/>
        <w:ind w:firstLine="357"/>
        <w:jc w:val="both"/>
        <w:rPr>
          <w:rFonts w:ascii="Verdana" w:hAnsi="Verdana" w:cs="Arial"/>
          <w:color w:val="4F81BD" w:themeColor="accent1"/>
          <w:sz w:val="20"/>
        </w:rPr>
      </w:pPr>
    </w:p>
    <w:p w:rsidR="00E55995" w:rsidRPr="00FA3D81" w:rsidRDefault="00E55995" w:rsidP="00E55995">
      <w:pPr>
        <w:spacing w:before="120" w:after="120"/>
        <w:ind w:firstLine="357"/>
        <w:rPr>
          <w:rFonts w:ascii="Verdana" w:eastAsia="Calibri" w:hAnsi="Verdana" w:cs="Arial"/>
          <w:b/>
          <w:sz w:val="22"/>
          <w:szCs w:val="22"/>
        </w:rPr>
      </w:pPr>
      <w:r w:rsidRPr="00FA3D81">
        <w:rPr>
          <w:rFonts w:ascii="Verdana" w:eastAsia="Calibri" w:hAnsi="Verdana" w:cs="Arial"/>
          <w:b/>
          <w:sz w:val="22"/>
          <w:szCs w:val="22"/>
        </w:rPr>
        <w:t>Sistema de recursos</w:t>
      </w:r>
    </w:p>
    <w:p w:rsidR="00E55995" w:rsidRPr="00FA3D81" w:rsidRDefault="00E55995" w:rsidP="00E55995">
      <w:pPr>
        <w:spacing w:before="120" w:after="120"/>
        <w:ind w:firstLine="357"/>
        <w:rPr>
          <w:rFonts w:ascii="Verdana" w:eastAsia="Calibri" w:hAnsi="Verdana" w:cs="Arial"/>
          <w:b/>
          <w:sz w:val="22"/>
          <w:szCs w:val="22"/>
        </w:rPr>
      </w:pPr>
    </w:p>
    <w:p w:rsidR="00FA3D81" w:rsidRPr="00FA3D81" w:rsidRDefault="00E55995" w:rsidP="00E55995">
      <w:pPr>
        <w:ind w:firstLine="708"/>
        <w:jc w:val="both"/>
        <w:rPr>
          <w:rFonts w:ascii="Verdana" w:hAnsi="Verdana"/>
          <w:spacing w:val="-3"/>
          <w:sz w:val="20"/>
          <w:szCs w:val="20"/>
          <w:lang w:val="es-ES"/>
        </w:rPr>
      </w:pPr>
      <w:r w:rsidRPr="00FA3D81">
        <w:rPr>
          <w:rFonts w:ascii="Verdana" w:hAnsi="Verdana"/>
          <w:spacing w:val="-3"/>
          <w:sz w:val="20"/>
          <w:szCs w:val="20"/>
          <w:lang w:val="es-ES"/>
        </w:rPr>
        <w:t xml:space="preserve">En los Juzgados de lo Penal, las sentencias han disminuido un 1% respecto a las dictadas en 2016 y los recursos de apelación elevados han aumentado un 0,4%. </w:t>
      </w:r>
      <w:r w:rsidR="00FA3D81" w:rsidRPr="00FA3D81">
        <w:rPr>
          <w:rFonts w:ascii="Verdana" w:hAnsi="Verdana"/>
          <w:spacing w:val="-3"/>
          <w:sz w:val="20"/>
          <w:szCs w:val="20"/>
          <w:lang w:val="es-ES"/>
        </w:rPr>
        <w:t xml:space="preserve">El ratio recursos elevados /sentencias dictadas ha aumentado del 18,7% al 18,9%, mientras que el porcentaje de recursos devueltos </w:t>
      </w:r>
      <w:r w:rsidR="008C6727" w:rsidRPr="00FA3D81">
        <w:rPr>
          <w:rFonts w:ascii="Verdana" w:hAnsi="Verdana"/>
          <w:spacing w:val="-3"/>
          <w:sz w:val="20"/>
          <w:szCs w:val="20"/>
          <w:lang w:val="es-ES"/>
        </w:rPr>
        <w:t>confirmando</w:t>
      </w:r>
      <w:r w:rsidR="00FA3D81" w:rsidRPr="00FA3D81">
        <w:rPr>
          <w:rFonts w:ascii="Verdana" w:hAnsi="Verdana"/>
          <w:spacing w:val="-3"/>
          <w:sz w:val="20"/>
          <w:szCs w:val="20"/>
          <w:lang w:val="es-ES"/>
        </w:rPr>
        <w:t xml:space="preserve"> totalmente ha aumentado del 77,4% al 78,3%.</w:t>
      </w:r>
    </w:p>
    <w:p w:rsidR="00FA3D81" w:rsidRPr="00FA3D81" w:rsidRDefault="00FA3D81" w:rsidP="00E55995">
      <w:pPr>
        <w:ind w:firstLine="708"/>
        <w:jc w:val="both"/>
        <w:rPr>
          <w:rFonts w:ascii="Verdana" w:hAnsi="Verdana"/>
          <w:spacing w:val="-3"/>
          <w:sz w:val="20"/>
          <w:szCs w:val="20"/>
          <w:lang w:val="es-ES"/>
        </w:rPr>
      </w:pPr>
    </w:p>
    <w:p w:rsidR="00DB7F3A" w:rsidRPr="00FA3D81" w:rsidRDefault="00DB7F3A" w:rsidP="00DB7F3A">
      <w:pPr>
        <w:ind w:firstLine="708"/>
        <w:jc w:val="both"/>
        <w:rPr>
          <w:rFonts w:ascii="Verdana" w:hAnsi="Verdana"/>
          <w:spacing w:val="-3"/>
          <w:sz w:val="20"/>
          <w:szCs w:val="20"/>
          <w:lang w:val="es-ES"/>
        </w:rPr>
      </w:pPr>
      <w:r w:rsidRPr="00FA3D81">
        <w:rPr>
          <w:rFonts w:ascii="Verdana" w:hAnsi="Verdana"/>
          <w:spacing w:val="-3"/>
          <w:sz w:val="20"/>
          <w:szCs w:val="20"/>
          <w:lang w:val="es-ES"/>
        </w:rPr>
        <w:t xml:space="preserve">Hasta la reforma de la Ley 41/2015 (con entrada en vigor el 6 de diciembre, y aplicable “a los procedimientos penales incoados con posterioridad a su entrada en vigor”)  la apelación sólo era posible en relación a sentencias condenatorias  dictadas por los juzgados de penal y por el Juzgado Central de lo Penal). A partir de la reforma, se prevé el recurso de apelación contra todas las sentencias. Esto tiene efecto, que se ha empezado a notar en 2017, en las audiencias provinciales, la Sala de lo Penal de la Audiencia Nacional, y las Salas de lo Civil y Penal de los tribunales superiores de justicia.   La reforma también ha hecho posible el recurso contra sentencias absolutorias.  Si se recurre una sentencia absolutoria (o se pretende que se agrave una condenatoria) sólo cabe su anulación y la devolución de las actuaciones al órgano que había dictado aquella, a menos que se alegue infracción de ley, en cuyo caso, el Tribunal de apelación puede revocar la sentencia y dictar otra con pronunciamientos diferentes, sin necesidad de devolver las actuaciones al que dictó la impugnada. </w:t>
      </w:r>
    </w:p>
    <w:p w:rsidR="00DB7F3A" w:rsidRPr="00FA3D81" w:rsidRDefault="00DB7F3A" w:rsidP="00DB7F3A">
      <w:pPr>
        <w:ind w:firstLine="708"/>
        <w:jc w:val="both"/>
        <w:rPr>
          <w:rFonts w:ascii="Verdana" w:hAnsi="Verdana"/>
          <w:spacing w:val="-3"/>
          <w:sz w:val="20"/>
          <w:szCs w:val="20"/>
          <w:lang w:val="es-ES"/>
        </w:rPr>
      </w:pPr>
    </w:p>
    <w:p w:rsidR="00DB7F3A" w:rsidRPr="00FA3D81" w:rsidRDefault="00DB7F3A" w:rsidP="00DB7F3A">
      <w:pPr>
        <w:ind w:firstLine="708"/>
        <w:jc w:val="both"/>
        <w:rPr>
          <w:rFonts w:ascii="Verdana" w:hAnsi="Verdana"/>
          <w:spacing w:val="-3"/>
          <w:sz w:val="20"/>
          <w:szCs w:val="20"/>
          <w:lang w:val="es-ES"/>
        </w:rPr>
      </w:pPr>
      <w:r w:rsidRPr="00FA3D81">
        <w:rPr>
          <w:rFonts w:ascii="Verdana" w:hAnsi="Verdana"/>
          <w:spacing w:val="-3"/>
          <w:sz w:val="20"/>
          <w:szCs w:val="20"/>
          <w:lang w:val="es-ES"/>
        </w:rPr>
        <w:t>El impacto en las audiencias provinciales ha sido muy importante, especialmente respecto a las sentencias en primera instancia.  Por ello, se hace en primer lugar un análisis global de estos órganos, que permita disponer de indicadores globales para ellos, pero posteriormente se complementa analizando por separado los recursos contra las sentencias en primera instancia y los recursos contra las apelaciones.</w:t>
      </w:r>
    </w:p>
    <w:p w:rsidR="00DB7F3A" w:rsidRPr="00FA3D81" w:rsidRDefault="00DB7F3A" w:rsidP="00DB7F3A">
      <w:pPr>
        <w:ind w:firstLine="708"/>
        <w:jc w:val="both"/>
        <w:rPr>
          <w:rFonts w:ascii="Verdana" w:hAnsi="Verdana"/>
          <w:spacing w:val="-3"/>
          <w:sz w:val="20"/>
          <w:szCs w:val="20"/>
          <w:lang w:val="es-ES"/>
        </w:rPr>
      </w:pPr>
    </w:p>
    <w:p w:rsidR="00FA3D81" w:rsidRDefault="00DB7F3A" w:rsidP="00DB7F3A">
      <w:pPr>
        <w:ind w:firstLine="708"/>
        <w:jc w:val="both"/>
        <w:rPr>
          <w:rFonts w:ascii="Verdana" w:hAnsi="Verdana"/>
          <w:spacing w:val="-3"/>
          <w:sz w:val="20"/>
          <w:szCs w:val="20"/>
          <w:lang w:val="es-ES"/>
        </w:rPr>
      </w:pPr>
      <w:r w:rsidRPr="00FA3D81">
        <w:rPr>
          <w:rFonts w:ascii="Verdana" w:hAnsi="Verdana"/>
          <w:spacing w:val="-3"/>
          <w:sz w:val="20"/>
          <w:szCs w:val="20"/>
          <w:lang w:val="es-ES"/>
        </w:rPr>
        <w:t xml:space="preserve">El total de sentencias penales dictadas por las Audiencias Provinciales han disminuido un 0,3% entre 2016 y 2017, mientras que los recursos de apelación y casación penales han aumentado un 24,5%.  El ratio elevados/sentencias </w:t>
      </w:r>
      <w:r w:rsidR="00FA3D81">
        <w:rPr>
          <w:rFonts w:ascii="Verdana" w:hAnsi="Verdana"/>
          <w:spacing w:val="-3"/>
          <w:sz w:val="20"/>
          <w:szCs w:val="20"/>
          <w:lang w:val="es-ES"/>
        </w:rPr>
        <w:t xml:space="preserve">ha </w:t>
      </w:r>
      <w:r w:rsidR="008C6727">
        <w:rPr>
          <w:rFonts w:ascii="Verdana" w:hAnsi="Verdana"/>
          <w:spacing w:val="-3"/>
          <w:sz w:val="20"/>
          <w:szCs w:val="20"/>
          <w:lang w:val="es-ES"/>
        </w:rPr>
        <w:t>aumentado</w:t>
      </w:r>
      <w:r w:rsidR="00FA3D81">
        <w:rPr>
          <w:rFonts w:ascii="Verdana" w:hAnsi="Verdana"/>
          <w:spacing w:val="-3"/>
          <w:sz w:val="20"/>
          <w:szCs w:val="20"/>
          <w:lang w:val="es-ES"/>
        </w:rPr>
        <w:t xml:space="preserve"> de 4,2% a 5,2% </w:t>
      </w:r>
      <w:r w:rsidRPr="00FA3D81">
        <w:rPr>
          <w:rFonts w:ascii="Verdana" w:hAnsi="Verdana"/>
          <w:spacing w:val="-3"/>
          <w:sz w:val="20"/>
          <w:szCs w:val="20"/>
          <w:lang w:val="es-ES"/>
        </w:rPr>
        <w:t>y el porcentaje</w:t>
      </w:r>
      <w:r w:rsidR="00FA3D81">
        <w:rPr>
          <w:rFonts w:ascii="Verdana" w:hAnsi="Verdana"/>
          <w:spacing w:val="-3"/>
          <w:sz w:val="20"/>
          <w:szCs w:val="20"/>
          <w:lang w:val="es-ES"/>
        </w:rPr>
        <w:t xml:space="preserve"> de recursos devueltos confirmando totalmente ha aumentado también del 83,1% al 86,4%.</w:t>
      </w:r>
    </w:p>
    <w:p w:rsidR="00DB7F3A" w:rsidRPr="00DB7F3A" w:rsidRDefault="00DB7F3A" w:rsidP="00FA3D81">
      <w:pPr>
        <w:ind w:firstLine="708"/>
        <w:jc w:val="both"/>
        <w:rPr>
          <w:rFonts w:ascii="Verdana" w:hAnsi="Verdana"/>
          <w:color w:val="4F81BD" w:themeColor="accent1"/>
          <w:spacing w:val="-3"/>
          <w:sz w:val="20"/>
          <w:szCs w:val="20"/>
          <w:highlight w:val="yellow"/>
          <w:lang w:val="es-ES"/>
        </w:rPr>
      </w:pPr>
      <w:r w:rsidRPr="00FA3D81">
        <w:rPr>
          <w:rFonts w:ascii="Verdana" w:hAnsi="Verdana"/>
          <w:spacing w:val="-3"/>
          <w:sz w:val="20"/>
          <w:szCs w:val="20"/>
          <w:lang w:val="es-ES"/>
        </w:rPr>
        <w:lastRenderedPageBreak/>
        <w:t xml:space="preserve"> </w:t>
      </w:r>
    </w:p>
    <w:p w:rsidR="00EA0721" w:rsidRDefault="00DB7F3A" w:rsidP="00DB7F3A">
      <w:pPr>
        <w:ind w:firstLine="708"/>
        <w:jc w:val="both"/>
        <w:rPr>
          <w:rFonts w:ascii="Verdana" w:hAnsi="Verdana"/>
          <w:spacing w:val="-3"/>
          <w:sz w:val="20"/>
          <w:szCs w:val="20"/>
          <w:lang w:val="es-ES"/>
        </w:rPr>
      </w:pPr>
      <w:r w:rsidRPr="00FA3D81">
        <w:rPr>
          <w:rFonts w:ascii="Verdana" w:hAnsi="Verdana"/>
          <w:spacing w:val="-3"/>
          <w:sz w:val="20"/>
          <w:szCs w:val="20"/>
          <w:lang w:val="es-ES"/>
        </w:rPr>
        <w:t xml:space="preserve">Las sentencias en primera instancia han aumentado un 4,2% respecto a las dictadas en 2016. Los recursos de apelación contra estas sentencias elevados en 2017 han aumentado un 111,3% respecto a los  elevados en 2016.  </w:t>
      </w:r>
      <w:r w:rsidR="00FA3D81">
        <w:rPr>
          <w:rFonts w:ascii="Verdana" w:hAnsi="Verdana"/>
          <w:spacing w:val="-3"/>
          <w:sz w:val="20"/>
          <w:szCs w:val="20"/>
          <w:lang w:val="es-ES"/>
        </w:rPr>
        <w:t xml:space="preserve">El ratio recursos elevados /sentencias dictadas ha aumentado del 4,6% al 9,3%, </w:t>
      </w:r>
      <w:r w:rsidR="00EA0721">
        <w:rPr>
          <w:rFonts w:ascii="Verdana" w:hAnsi="Verdana"/>
          <w:spacing w:val="-3"/>
          <w:sz w:val="20"/>
          <w:szCs w:val="20"/>
          <w:lang w:val="es-ES"/>
        </w:rPr>
        <w:t xml:space="preserve">el porcentaje de sentencias anuladas se ha duplicado, </w:t>
      </w:r>
      <w:r w:rsidR="008C6727">
        <w:rPr>
          <w:rFonts w:ascii="Verdana" w:hAnsi="Verdana"/>
          <w:spacing w:val="-3"/>
          <w:sz w:val="20"/>
          <w:szCs w:val="20"/>
          <w:lang w:val="es-ES"/>
        </w:rPr>
        <w:t>pasando</w:t>
      </w:r>
      <w:r w:rsidR="00EA0721">
        <w:rPr>
          <w:rFonts w:ascii="Verdana" w:hAnsi="Verdana"/>
          <w:spacing w:val="-3"/>
          <w:sz w:val="20"/>
          <w:szCs w:val="20"/>
          <w:lang w:val="es-ES"/>
        </w:rPr>
        <w:t xml:space="preserve"> del 0,11% al 0,22%, y los recursos </w:t>
      </w:r>
      <w:r w:rsidR="008C6727">
        <w:rPr>
          <w:rFonts w:ascii="Verdana" w:hAnsi="Verdana"/>
          <w:spacing w:val="-3"/>
          <w:sz w:val="20"/>
          <w:szCs w:val="20"/>
          <w:lang w:val="es-ES"/>
        </w:rPr>
        <w:t>devueltos</w:t>
      </w:r>
      <w:r w:rsidR="00EA0721">
        <w:rPr>
          <w:rFonts w:ascii="Verdana" w:hAnsi="Verdana"/>
          <w:spacing w:val="-3"/>
          <w:sz w:val="20"/>
          <w:szCs w:val="20"/>
          <w:lang w:val="es-ES"/>
        </w:rPr>
        <w:t xml:space="preserve"> confirmando totalmente han aumentado del 77,3% al 86,1%. El ratio recursos / sentencias ha aumentado del 4,1% al 4,6%, y el porcentaje de devueltas confirmando totalmente ha pasado del 83,9% al 86,4%.</w:t>
      </w:r>
    </w:p>
    <w:p w:rsidR="00DB7F3A" w:rsidRPr="00DB7F3A" w:rsidRDefault="00DB7F3A" w:rsidP="00DB7F3A">
      <w:pPr>
        <w:ind w:firstLine="708"/>
        <w:jc w:val="both"/>
        <w:rPr>
          <w:rFonts w:ascii="Verdana" w:hAnsi="Verdana"/>
          <w:color w:val="4F81BD" w:themeColor="accent1"/>
          <w:spacing w:val="-3"/>
          <w:sz w:val="20"/>
          <w:szCs w:val="20"/>
          <w:highlight w:val="yellow"/>
          <w:lang w:val="es-ES"/>
        </w:rPr>
      </w:pPr>
    </w:p>
    <w:p w:rsidR="00DB7F3A" w:rsidRPr="00DB7F3A" w:rsidRDefault="00DB7F3A" w:rsidP="00DB7F3A">
      <w:pPr>
        <w:ind w:firstLine="708"/>
        <w:jc w:val="both"/>
        <w:rPr>
          <w:rFonts w:ascii="Verdana" w:hAnsi="Verdana"/>
          <w:color w:val="4F81BD" w:themeColor="accent1"/>
          <w:spacing w:val="-3"/>
          <w:sz w:val="20"/>
          <w:szCs w:val="20"/>
          <w:highlight w:val="yellow"/>
          <w:lang w:val="es-ES"/>
        </w:rPr>
      </w:pPr>
    </w:p>
    <w:p w:rsidR="00DB7F3A" w:rsidRPr="00EA0721" w:rsidRDefault="00DB7F3A" w:rsidP="00DB7F3A">
      <w:pPr>
        <w:ind w:firstLine="708"/>
        <w:jc w:val="both"/>
        <w:rPr>
          <w:rFonts w:ascii="Verdana" w:hAnsi="Verdana"/>
          <w:spacing w:val="-3"/>
          <w:sz w:val="20"/>
          <w:szCs w:val="20"/>
          <w:lang w:val="es-ES"/>
        </w:rPr>
      </w:pPr>
      <w:r w:rsidRPr="00EA0721">
        <w:rPr>
          <w:rFonts w:ascii="Verdana" w:hAnsi="Verdana"/>
          <w:spacing w:val="-3"/>
          <w:sz w:val="20"/>
          <w:szCs w:val="20"/>
          <w:lang w:val="es-ES"/>
        </w:rPr>
        <w:t>En los Tribunales Superiores de Justicia, donde el número de sentencias penales ha aumentado un 240,43%, y el de recursos elevados un 140,9%</w:t>
      </w:r>
      <w:r w:rsidR="00EA0721" w:rsidRPr="00EA0721">
        <w:rPr>
          <w:rFonts w:ascii="Verdana" w:hAnsi="Verdana"/>
          <w:spacing w:val="-3"/>
          <w:sz w:val="20"/>
          <w:szCs w:val="20"/>
          <w:lang w:val="es-ES"/>
        </w:rPr>
        <w:t xml:space="preserve">, el ratio recursos sentencias se ha reducido del 53% al 40,3%, mientras que el </w:t>
      </w:r>
      <w:r w:rsidR="008C6727" w:rsidRPr="00EA0721">
        <w:rPr>
          <w:rFonts w:ascii="Verdana" w:hAnsi="Verdana"/>
          <w:spacing w:val="-3"/>
          <w:sz w:val="20"/>
          <w:szCs w:val="20"/>
          <w:lang w:val="es-ES"/>
        </w:rPr>
        <w:t>porcentaje</w:t>
      </w:r>
      <w:r w:rsidR="00EA0721" w:rsidRPr="00EA0721">
        <w:rPr>
          <w:rFonts w:ascii="Verdana" w:hAnsi="Verdana"/>
          <w:spacing w:val="-3"/>
          <w:sz w:val="20"/>
          <w:szCs w:val="20"/>
          <w:lang w:val="es-ES"/>
        </w:rPr>
        <w:t xml:space="preserve"> de recursos devueltos conformando totalmente ha </w:t>
      </w:r>
      <w:r w:rsidR="008C6727" w:rsidRPr="00EA0721">
        <w:rPr>
          <w:rFonts w:ascii="Verdana" w:hAnsi="Verdana"/>
          <w:spacing w:val="-3"/>
          <w:sz w:val="20"/>
          <w:szCs w:val="20"/>
          <w:lang w:val="es-ES"/>
        </w:rPr>
        <w:t>empeorado</w:t>
      </w:r>
      <w:r w:rsidR="00EA0721" w:rsidRPr="00EA0721">
        <w:rPr>
          <w:rFonts w:ascii="Verdana" w:hAnsi="Verdana"/>
          <w:spacing w:val="-3"/>
          <w:sz w:val="20"/>
          <w:szCs w:val="20"/>
          <w:lang w:val="es-ES"/>
        </w:rPr>
        <w:t xml:space="preserve"> levemente al pasar del 87,3% al 85,7%.</w:t>
      </w:r>
      <w:r w:rsidR="00F16F43">
        <w:rPr>
          <w:rFonts w:ascii="Verdana" w:hAnsi="Verdana"/>
          <w:spacing w:val="-3"/>
          <w:sz w:val="20"/>
          <w:szCs w:val="20"/>
          <w:lang w:val="es-ES"/>
        </w:rPr>
        <w:t>0</w:t>
      </w:r>
    </w:p>
    <w:p w:rsidR="00DB7F3A" w:rsidRPr="00DB7F3A" w:rsidRDefault="00DB7F3A" w:rsidP="00DB7F3A">
      <w:pPr>
        <w:ind w:firstLine="708"/>
        <w:jc w:val="both"/>
        <w:rPr>
          <w:rFonts w:ascii="Verdana" w:hAnsi="Verdana"/>
          <w:color w:val="4F81BD" w:themeColor="accent1"/>
          <w:spacing w:val="-3"/>
          <w:sz w:val="20"/>
          <w:szCs w:val="20"/>
          <w:lang w:val="es-ES"/>
        </w:rPr>
      </w:pPr>
    </w:p>
    <w:p w:rsidR="00DB7F3A" w:rsidRPr="00DB7F3A" w:rsidRDefault="00DB7F3A" w:rsidP="00DB7F3A">
      <w:pPr>
        <w:ind w:firstLine="708"/>
        <w:jc w:val="both"/>
        <w:rPr>
          <w:rFonts w:ascii="Verdana" w:hAnsi="Verdana"/>
          <w:color w:val="4F81BD" w:themeColor="accent1"/>
          <w:spacing w:val="-3"/>
          <w:sz w:val="20"/>
          <w:szCs w:val="20"/>
          <w:lang w:val="es-ES"/>
        </w:rPr>
      </w:pPr>
    </w:p>
    <w:p w:rsidR="00E55995" w:rsidRPr="00E55995" w:rsidRDefault="00E55995" w:rsidP="00E55995">
      <w:pPr>
        <w:spacing w:before="120" w:after="120"/>
        <w:ind w:firstLine="357"/>
        <w:rPr>
          <w:rFonts w:ascii="Verdana" w:eastAsia="Calibri" w:hAnsi="Verdana" w:cs="Arial"/>
          <w:b/>
          <w:sz w:val="22"/>
          <w:szCs w:val="22"/>
        </w:rPr>
      </w:pPr>
    </w:p>
    <w:p w:rsidR="00E55995" w:rsidRDefault="00E55995" w:rsidP="00DB55BA">
      <w:pPr>
        <w:spacing w:after="240"/>
        <w:jc w:val="center"/>
        <w:rPr>
          <w:b/>
          <w:color w:val="00B050"/>
          <w:szCs w:val="20"/>
        </w:rPr>
      </w:pPr>
    </w:p>
    <w:p w:rsidR="00EA0721" w:rsidRDefault="00EA0721">
      <w:pPr>
        <w:rPr>
          <w:b/>
          <w:color w:val="1F497D" w:themeColor="text2"/>
          <w:szCs w:val="20"/>
        </w:rPr>
      </w:pPr>
      <w:r>
        <w:rPr>
          <w:b/>
          <w:color w:val="1F497D" w:themeColor="text2"/>
          <w:szCs w:val="20"/>
        </w:rPr>
        <w:br w:type="page"/>
      </w:r>
    </w:p>
    <w:p w:rsidR="00DB55BA" w:rsidRPr="00FA3D81" w:rsidRDefault="00EA0721" w:rsidP="00DB55BA">
      <w:pPr>
        <w:spacing w:after="240"/>
        <w:jc w:val="center"/>
        <w:rPr>
          <w:b/>
          <w:color w:val="1F497D" w:themeColor="text2"/>
          <w:szCs w:val="20"/>
        </w:rPr>
      </w:pPr>
      <w:r>
        <w:rPr>
          <w:b/>
          <w:color w:val="1F497D" w:themeColor="text2"/>
          <w:szCs w:val="20"/>
        </w:rPr>
        <w:lastRenderedPageBreak/>
        <w:t>INDICAD</w:t>
      </w:r>
      <w:r w:rsidR="00DB55BA" w:rsidRPr="00FA3D81">
        <w:rPr>
          <w:b/>
          <w:color w:val="1F497D" w:themeColor="text2"/>
          <w:szCs w:val="20"/>
        </w:rPr>
        <w:t>ORES CLAVE DE LA JURISDICCIÓN PENAL</w:t>
      </w:r>
    </w:p>
    <w:p w:rsidR="00DB55BA" w:rsidRPr="00CB5A9E" w:rsidRDefault="00DB55BA" w:rsidP="00DB55BA">
      <w:pPr>
        <w:spacing w:after="120"/>
        <w:jc w:val="center"/>
        <w:rPr>
          <w:b/>
          <w:color w:val="4F81BD" w:themeColor="accent1"/>
          <w:szCs w:val="20"/>
        </w:rPr>
      </w:pPr>
      <w:r>
        <w:rPr>
          <w:b/>
          <w:color w:val="4F81BD" w:themeColor="accent1"/>
          <w:szCs w:val="20"/>
        </w:rPr>
        <w:t>Tasas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Resolución</w:t>
            </w:r>
          </w:p>
        </w:tc>
        <w:tc>
          <w:tcPr>
            <w:tcW w:w="1947" w:type="dxa"/>
            <w:vAlign w:val="center"/>
          </w:tcPr>
          <w:p w:rsidR="00DB55BA" w:rsidRDefault="00DB55BA" w:rsidP="007F5E11">
            <w:pPr>
              <w:jc w:val="right"/>
              <w:rPr>
                <w:rFonts w:cs="Arial"/>
                <w:color w:val="000000"/>
                <w:szCs w:val="20"/>
              </w:rPr>
            </w:pPr>
            <w:r>
              <w:rPr>
                <w:rFonts w:cs="Arial"/>
                <w:color w:val="000000"/>
                <w:szCs w:val="20"/>
              </w:rPr>
              <w:t>1,04</w:t>
            </w:r>
          </w:p>
        </w:tc>
        <w:tc>
          <w:tcPr>
            <w:tcW w:w="1947" w:type="dxa"/>
            <w:vAlign w:val="center"/>
          </w:tcPr>
          <w:p w:rsidR="00DB55BA" w:rsidRDefault="00DB55BA" w:rsidP="007F5E11">
            <w:pPr>
              <w:jc w:val="right"/>
              <w:rPr>
                <w:rFonts w:cs="Arial"/>
                <w:color w:val="000000"/>
                <w:szCs w:val="20"/>
              </w:rPr>
            </w:pPr>
            <w:r>
              <w:rPr>
                <w:rFonts w:cs="Arial"/>
                <w:color w:val="000000"/>
                <w:szCs w:val="20"/>
              </w:rPr>
              <w:t>1,01</w:t>
            </w:r>
          </w:p>
        </w:tc>
        <w:tc>
          <w:tcPr>
            <w:tcW w:w="1948" w:type="dxa"/>
            <w:vAlign w:val="center"/>
          </w:tcPr>
          <w:p w:rsidR="00DB55BA" w:rsidRDefault="00DB55BA" w:rsidP="007F5E11">
            <w:pPr>
              <w:jc w:val="right"/>
              <w:rPr>
                <w:rFonts w:cs="Arial"/>
                <w:color w:val="000000"/>
                <w:szCs w:val="20"/>
              </w:rPr>
            </w:pPr>
            <w:r>
              <w:rPr>
                <w:rFonts w:cs="Arial"/>
                <w:color w:val="000000"/>
                <w:szCs w:val="20"/>
              </w:rPr>
              <w:t>-2,2%</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Pendencia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0,21</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0,22</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4,0%</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Congestión</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1,20</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1,21</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0,4%</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Tasa de Litigiosidad</w:t>
      </w:r>
      <w:r w:rsidRPr="00CB5A9E">
        <w:rPr>
          <w:b/>
          <w:color w:val="4F81BD" w:themeColor="accent1"/>
          <w:szCs w:val="20"/>
        </w:rPr>
        <w:t xml:space="preserve"> (</w:t>
      </w:r>
      <w:r>
        <w:rPr>
          <w:b/>
          <w:color w:val="4F81BD" w:themeColor="accent1"/>
          <w:szCs w:val="20"/>
        </w:rPr>
        <w:t>asuntos i</w:t>
      </w:r>
      <w:r w:rsidRPr="00CB5A9E">
        <w:rPr>
          <w:b/>
          <w:color w:val="4F81BD" w:themeColor="accent1"/>
          <w:szCs w:val="20"/>
        </w:rPr>
        <w:t>ngresados</w:t>
      </w:r>
      <w:r>
        <w:rPr>
          <w:b/>
          <w:color w:val="4F81BD" w:themeColor="accent1"/>
          <w:szCs w:val="20"/>
        </w:rPr>
        <w:t xml:space="preserve"> po</w:t>
      </w:r>
      <w:r w:rsidRPr="00CB5A9E">
        <w:rPr>
          <w:b/>
          <w:color w:val="4F81BD" w:themeColor="accent1"/>
          <w:szCs w:val="20"/>
        </w:rPr>
        <w:t xml:space="preserve">r </w:t>
      </w:r>
      <w:r>
        <w:rPr>
          <w:b/>
          <w:color w:val="4F81BD" w:themeColor="accent1"/>
          <w:szCs w:val="20"/>
        </w:rPr>
        <w:t xml:space="preserve">cada </w:t>
      </w:r>
      <w:r w:rsidRPr="00CB5A9E">
        <w:rPr>
          <w:b/>
          <w:color w:val="4F81BD" w:themeColor="accent1"/>
          <w:szCs w:val="20"/>
        </w:rPr>
        <w:t xml:space="preserve">1000 </w:t>
      </w:r>
      <w:r>
        <w:rPr>
          <w:b/>
          <w:color w:val="4F81BD" w:themeColor="accent1"/>
          <w:szCs w:val="20"/>
        </w:rPr>
        <w:t>habitantes</w:t>
      </w:r>
      <w:r w:rsidRPr="00CB5A9E">
        <w:rPr>
          <w:b/>
          <w:color w:val="4F81BD" w:themeColor="accent1"/>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72,3</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69,4</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-4,0%</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asuntos ingresados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1.188,5</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1.143,1</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-3,8%</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sentencias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202,6</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202,9</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0,2%</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E</w:t>
      </w:r>
      <w:r w:rsidRPr="00EB1F7C">
        <w:rPr>
          <w:b/>
          <w:color w:val="4F81BD" w:themeColor="accent1"/>
          <w:szCs w:val="20"/>
        </w:rPr>
        <w:t>stimación del porcentaje de sentencias recurridas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10,3%</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10,3%</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0,2%</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recursos devueltos confirmando totalmente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apelación</w:t>
            </w:r>
          </w:p>
        </w:tc>
        <w:tc>
          <w:tcPr>
            <w:tcW w:w="1947" w:type="dxa"/>
            <w:vAlign w:val="center"/>
          </w:tcPr>
          <w:p w:rsidR="00DB55BA" w:rsidRDefault="00DB55BA" w:rsidP="007F5E11">
            <w:pPr>
              <w:jc w:val="right"/>
              <w:rPr>
                <w:rFonts w:cs="Arial"/>
                <w:color w:val="000000"/>
                <w:szCs w:val="20"/>
              </w:rPr>
            </w:pPr>
            <w:r>
              <w:rPr>
                <w:rFonts w:cs="Arial"/>
                <w:color w:val="000000"/>
                <w:szCs w:val="20"/>
              </w:rPr>
              <w:t>77,0%</w:t>
            </w:r>
          </w:p>
        </w:tc>
        <w:tc>
          <w:tcPr>
            <w:tcW w:w="1947" w:type="dxa"/>
            <w:vAlign w:val="center"/>
          </w:tcPr>
          <w:p w:rsidR="00DB55BA" w:rsidRDefault="00DB55BA" w:rsidP="007F5E11">
            <w:pPr>
              <w:jc w:val="right"/>
              <w:rPr>
                <w:rFonts w:cs="Arial"/>
                <w:color w:val="000000"/>
                <w:szCs w:val="20"/>
              </w:rPr>
            </w:pPr>
            <w:r>
              <w:rPr>
                <w:rFonts w:cs="Arial"/>
                <w:color w:val="000000"/>
                <w:szCs w:val="20"/>
              </w:rPr>
              <w:t>78,5%</w:t>
            </w:r>
          </w:p>
        </w:tc>
        <w:tc>
          <w:tcPr>
            <w:tcW w:w="1948" w:type="dxa"/>
            <w:vAlign w:val="center"/>
          </w:tcPr>
          <w:p w:rsidR="00DB55BA" w:rsidRDefault="00DB55BA" w:rsidP="007F5E11">
            <w:pPr>
              <w:jc w:val="right"/>
              <w:rPr>
                <w:rFonts w:cs="Arial"/>
                <w:color w:val="000000"/>
                <w:szCs w:val="20"/>
              </w:rPr>
            </w:pPr>
            <w:r>
              <w:rPr>
                <w:rFonts w:cs="Arial"/>
                <w:color w:val="000000"/>
                <w:szCs w:val="20"/>
              </w:rPr>
              <w:t>2,0%</w:t>
            </w:r>
          </w:p>
        </w:tc>
      </w:tr>
      <w:tr w:rsidR="00DB55BA" w:rsidRPr="00CB5A9E" w:rsidTr="007F5E11">
        <w:trPr>
          <w:trHeight w:val="340"/>
        </w:trPr>
        <w:tc>
          <w:tcPr>
            <w:tcW w:w="2802" w:type="dxa"/>
            <w:tcBorders>
              <w:bottom w:val="single" w:sz="12" w:space="0" w:color="4F81BD" w:themeColor="accent1"/>
            </w:tcBorders>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casación</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83,3%</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85,7%</w:t>
            </w:r>
          </w:p>
        </w:tc>
        <w:tc>
          <w:tcPr>
            <w:tcW w:w="1948"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2,9%</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sentencias dictadas por jueces de carrera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E460E6" w:rsidRPr="00CB5A9E" w:rsidTr="00DE6EE9">
        <w:trPr>
          <w:trHeight w:val="340"/>
        </w:trPr>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92,1%</w:t>
            </w:r>
          </w:p>
        </w:tc>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92,7%</w:t>
            </w:r>
          </w:p>
        </w:tc>
        <w:tc>
          <w:tcPr>
            <w:tcW w:w="2882"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0,7%</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Duraciones medias estimadas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vAlign w:val="center"/>
          </w:tcPr>
          <w:p w:rsidR="00DB55BA" w:rsidRDefault="00DB55BA" w:rsidP="007F5E11">
            <w:pPr>
              <w:jc w:val="right"/>
              <w:rPr>
                <w:rFonts w:cs="Arial"/>
                <w:color w:val="000000"/>
                <w:szCs w:val="20"/>
              </w:rPr>
            </w:pPr>
            <w:r>
              <w:rPr>
                <w:rFonts w:cs="Arial"/>
                <w:color w:val="000000"/>
                <w:szCs w:val="20"/>
              </w:rPr>
              <w:t>2,7</w:t>
            </w:r>
          </w:p>
        </w:tc>
        <w:tc>
          <w:tcPr>
            <w:tcW w:w="1947" w:type="dxa"/>
            <w:vAlign w:val="center"/>
          </w:tcPr>
          <w:p w:rsidR="00DB55BA" w:rsidRDefault="00DB55BA" w:rsidP="007F5E11">
            <w:pPr>
              <w:jc w:val="right"/>
              <w:rPr>
                <w:rFonts w:cs="Arial"/>
                <w:color w:val="000000"/>
                <w:szCs w:val="20"/>
              </w:rPr>
            </w:pPr>
            <w:r>
              <w:rPr>
                <w:rFonts w:cs="Arial"/>
                <w:color w:val="000000"/>
                <w:szCs w:val="20"/>
              </w:rPr>
              <w:t>2,8</w:t>
            </w:r>
          </w:p>
        </w:tc>
        <w:tc>
          <w:tcPr>
            <w:tcW w:w="1948" w:type="dxa"/>
            <w:vAlign w:val="center"/>
          </w:tcPr>
          <w:p w:rsidR="00DB55BA" w:rsidRDefault="00DB55BA" w:rsidP="007F5E11">
            <w:pPr>
              <w:jc w:val="right"/>
              <w:rPr>
                <w:rFonts w:cs="Arial"/>
                <w:color w:val="000000"/>
                <w:szCs w:val="20"/>
              </w:rPr>
            </w:pPr>
            <w:r>
              <w:rPr>
                <w:rFonts w:cs="Arial"/>
                <w:color w:val="000000"/>
                <w:szCs w:val="20"/>
              </w:rPr>
              <w:t>0,5%</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2ª Instancia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1,8</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1,5</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-13,0%</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EB1F7C">
              <w:rPr>
                <w:rFonts w:eastAsia="Times New Roman" w:cs="Arial"/>
                <w:b/>
                <w:color w:val="4F81BD" w:themeColor="accent1"/>
                <w:szCs w:val="20"/>
                <w:lang w:eastAsia="es-ES"/>
              </w:rPr>
              <w:t>Supremo</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5,3</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5,2</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-1,2%</w:t>
            </w:r>
          </w:p>
        </w:tc>
      </w:tr>
    </w:tbl>
    <w:p w:rsidR="00433902" w:rsidRPr="007A6EA4" w:rsidRDefault="00433902" w:rsidP="00433902">
      <w:pPr>
        <w:spacing w:before="120" w:after="120"/>
        <w:ind w:firstLine="357"/>
        <w:jc w:val="both"/>
        <w:rPr>
          <w:rFonts w:ascii="Verdana" w:hAnsi="Verdana" w:cs="Arial"/>
          <w:bCs/>
          <w:sz w:val="20"/>
        </w:rPr>
      </w:pPr>
    </w:p>
    <w:p w:rsidR="00433902" w:rsidRPr="007A6EA4" w:rsidRDefault="00433902" w:rsidP="00433902">
      <w:pPr>
        <w:autoSpaceDE w:val="0"/>
        <w:autoSpaceDN w:val="0"/>
        <w:adjustRightInd w:val="0"/>
        <w:jc w:val="center"/>
        <w:rPr>
          <w:rFonts w:ascii="Verdana" w:hAnsi="Verdana"/>
        </w:rPr>
      </w:pPr>
    </w:p>
    <w:p w:rsidR="00F6395F" w:rsidRPr="00CE214A" w:rsidRDefault="00324AD4" w:rsidP="00433902">
      <w:pPr>
        <w:autoSpaceDE w:val="0"/>
        <w:autoSpaceDN w:val="0"/>
        <w:adjustRightInd w:val="0"/>
        <w:jc w:val="center"/>
        <w:rPr>
          <w:rFonts w:ascii="Verdana" w:hAnsi="Verdana"/>
        </w:rPr>
      </w:pPr>
      <w:r w:rsidRPr="00CE214A">
        <w:rPr>
          <w:rFonts w:ascii="Verdana" w:hAnsi="Verdana"/>
        </w:rPr>
        <w:br w:type="page"/>
      </w:r>
    </w:p>
    <w:p w:rsidR="001B4EE3" w:rsidRPr="00CE214A" w:rsidRDefault="00DB55BA" w:rsidP="00DB55BA">
      <w:pPr>
        <w:pStyle w:val="Ttulo2"/>
        <w:numPr>
          <w:ilvl w:val="0"/>
          <w:numId w:val="0"/>
        </w:numPr>
        <w:rPr>
          <w:rFonts w:ascii="Verdana" w:hAnsi="Verdana"/>
          <w:color w:val="333399"/>
        </w:rPr>
      </w:pPr>
      <w:r>
        <w:rPr>
          <w:rFonts w:ascii="Verdana" w:hAnsi="Verdana"/>
          <w:color w:val="333399"/>
        </w:rPr>
        <w:lastRenderedPageBreak/>
        <w:t>J</w:t>
      </w:r>
      <w:r w:rsidR="001B4EE3" w:rsidRPr="00CE214A">
        <w:rPr>
          <w:rFonts w:ascii="Verdana" w:hAnsi="Verdana"/>
          <w:color w:val="333399"/>
        </w:rPr>
        <w:t xml:space="preserve">urisdicción </w:t>
      </w:r>
      <w:r w:rsidR="00447998">
        <w:rPr>
          <w:rFonts w:ascii="Verdana" w:hAnsi="Verdana"/>
          <w:color w:val="333399"/>
        </w:rPr>
        <w:t>Contencioso-a</w:t>
      </w:r>
      <w:r w:rsidR="001B4EE3" w:rsidRPr="00CE214A">
        <w:rPr>
          <w:rFonts w:ascii="Verdana" w:hAnsi="Verdana"/>
          <w:color w:val="333399"/>
        </w:rPr>
        <w:t>dministrativa</w:t>
      </w:r>
    </w:p>
    <w:p w:rsidR="001B4EE3" w:rsidRPr="00CE214A" w:rsidRDefault="001B4EE3">
      <w:pPr>
        <w:pStyle w:val="Textoindependiente"/>
        <w:rPr>
          <w:rFonts w:ascii="Verdana" w:hAnsi="Verdana"/>
          <w:color w:val="333399"/>
        </w:rPr>
      </w:pPr>
    </w:p>
    <w:p w:rsidR="001B4EE3" w:rsidRPr="00CE214A" w:rsidRDefault="001B4EE3">
      <w:pPr>
        <w:pStyle w:val="Ttulo2"/>
        <w:numPr>
          <w:ilvl w:val="1"/>
          <w:numId w:val="10"/>
        </w:numPr>
        <w:tabs>
          <w:tab w:val="clear" w:pos="720"/>
          <w:tab w:val="num" w:pos="0"/>
        </w:tabs>
        <w:ind w:left="0" w:firstLine="0"/>
        <w:rPr>
          <w:rFonts w:ascii="Verdana" w:hAnsi="Verdana"/>
          <w:color w:val="333399"/>
        </w:rPr>
      </w:pPr>
      <w:r w:rsidRPr="00CE214A">
        <w:rPr>
          <w:rFonts w:ascii="Verdana" w:hAnsi="Verdana"/>
          <w:color w:val="333399"/>
        </w:rPr>
        <w:t>Datos globales</w:t>
      </w:r>
    </w:p>
    <w:p w:rsidR="005C10BF" w:rsidRDefault="005C10BF" w:rsidP="007A576A">
      <w:pPr>
        <w:pStyle w:val="Textoindependiente"/>
        <w:spacing w:before="120" w:after="120"/>
        <w:ind w:firstLine="357"/>
        <w:rPr>
          <w:rFonts w:ascii="Verdana" w:hAnsi="Verdana"/>
          <w:sz w:val="20"/>
        </w:rPr>
      </w:pPr>
      <w:r w:rsidRPr="00F16467">
        <w:rPr>
          <w:rFonts w:ascii="Verdana" w:hAnsi="Verdana"/>
          <w:sz w:val="20"/>
        </w:rPr>
        <w:t xml:space="preserve">En 2017 han ingresado 195.908 asuntos </w:t>
      </w:r>
      <w:r w:rsidR="000332B9" w:rsidRPr="00F16467">
        <w:rPr>
          <w:rFonts w:ascii="Verdana" w:hAnsi="Verdana"/>
          <w:sz w:val="20"/>
        </w:rPr>
        <w:t>e</w:t>
      </w:r>
      <w:r w:rsidR="00E37454" w:rsidRPr="00F16467">
        <w:rPr>
          <w:rFonts w:ascii="Verdana" w:hAnsi="Verdana"/>
          <w:sz w:val="20"/>
        </w:rPr>
        <w:t>n la j</w:t>
      </w:r>
      <w:r w:rsidR="001B4EE3" w:rsidRPr="00F16467">
        <w:rPr>
          <w:rFonts w:ascii="Verdana" w:hAnsi="Verdana"/>
          <w:sz w:val="20"/>
        </w:rPr>
        <w:t>urisdic</w:t>
      </w:r>
      <w:r w:rsidR="00447998" w:rsidRPr="00F16467">
        <w:rPr>
          <w:rFonts w:ascii="Verdana" w:hAnsi="Verdana"/>
          <w:sz w:val="20"/>
        </w:rPr>
        <w:t>ción contencioso-</w:t>
      </w:r>
      <w:r w:rsidR="00E37454" w:rsidRPr="00F16467">
        <w:rPr>
          <w:rFonts w:ascii="Verdana" w:hAnsi="Verdana"/>
          <w:sz w:val="20"/>
        </w:rPr>
        <w:t>a</w:t>
      </w:r>
      <w:r w:rsidR="001B4EE3" w:rsidRPr="00F16467">
        <w:rPr>
          <w:rFonts w:ascii="Verdana" w:hAnsi="Verdana"/>
          <w:sz w:val="20"/>
        </w:rPr>
        <w:t>dministrativa</w:t>
      </w:r>
      <w:r w:rsidRPr="00F16467">
        <w:rPr>
          <w:rFonts w:ascii="Verdana" w:hAnsi="Verdana"/>
          <w:sz w:val="20"/>
        </w:rPr>
        <w:t>, un 0,1% menos que los ingresados en 2016.</w:t>
      </w:r>
    </w:p>
    <w:p w:rsidR="00852CDC" w:rsidRPr="00CE214A" w:rsidRDefault="00852CDC" w:rsidP="007A576A">
      <w:pPr>
        <w:pStyle w:val="Textoindependiente"/>
        <w:spacing w:before="120" w:after="120"/>
        <w:ind w:firstLine="357"/>
        <w:rPr>
          <w:rFonts w:ascii="Verdana" w:hAnsi="Verdana"/>
          <w:sz w:val="20"/>
        </w:rPr>
      </w:pPr>
    </w:p>
    <w:p w:rsidR="001B4EE3" w:rsidRPr="00CE214A" w:rsidRDefault="00C25DB3">
      <w:pPr>
        <w:pStyle w:val="Textoindependiente"/>
        <w:spacing w:before="120" w:after="120"/>
        <w:ind w:left="-1080" w:right="-856" w:firstLine="180"/>
        <w:jc w:val="center"/>
        <w:rPr>
          <w:rFonts w:ascii="Verdana" w:hAnsi="Verdana"/>
        </w:rPr>
      </w:pPr>
      <w:r>
        <w:rPr>
          <w:noProof/>
        </w:rPr>
        <w:drawing>
          <wp:inline distT="0" distB="0" distL="0" distR="0" wp14:anchorId="62A35A50" wp14:editId="2FCCA9DF">
            <wp:extent cx="5057775" cy="2828925"/>
            <wp:effectExtent l="0" t="0" r="9525" b="9525"/>
            <wp:docPr id="1071" name="Gráfico 10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E6A08" w:rsidRPr="00F16467" w:rsidRDefault="00EC3ACD">
      <w:pPr>
        <w:pStyle w:val="Textoindependiente"/>
        <w:spacing w:before="120" w:after="120"/>
        <w:ind w:firstLine="357"/>
        <w:rPr>
          <w:rFonts w:ascii="Verdana" w:hAnsi="Verdana"/>
          <w:sz w:val="20"/>
        </w:rPr>
      </w:pPr>
      <w:r w:rsidRPr="00F16467">
        <w:rPr>
          <w:rFonts w:ascii="Verdana" w:hAnsi="Verdana"/>
          <w:sz w:val="20"/>
        </w:rPr>
        <w:t>El número de resueltos</w:t>
      </w:r>
      <w:r w:rsidR="00236925" w:rsidRPr="00F16467">
        <w:rPr>
          <w:rFonts w:ascii="Verdana" w:hAnsi="Verdana"/>
          <w:sz w:val="20"/>
        </w:rPr>
        <w:t xml:space="preserve">, </w:t>
      </w:r>
      <w:r w:rsidR="005C10BF" w:rsidRPr="00F16467">
        <w:rPr>
          <w:rFonts w:ascii="Verdana" w:hAnsi="Verdana"/>
          <w:sz w:val="20"/>
        </w:rPr>
        <w:t>205</w:t>
      </w:r>
      <w:r w:rsidR="00236925" w:rsidRPr="00F16467">
        <w:rPr>
          <w:rFonts w:ascii="Verdana" w:hAnsi="Verdana"/>
          <w:sz w:val="20"/>
        </w:rPr>
        <w:t>.</w:t>
      </w:r>
      <w:r w:rsidR="005C10BF" w:rsidRPr="00F16467">
        <w:rPr>
          <w:rFonts w:ascii="Verdana" w:hAnsi="Verdana"/>
          <w:sz w:val="20"/>
        </w:rPr>
        <w:t>396</w:t>
      </w:r>
      <w:r w:rsidR="000332B9" w:rsidRPr="00F16467">
        <w:rPr>
          <w:rFonts w:ascii="Verdana" w:hAnsi="Verdana"/>
          <w:sz w:val="20"/>
        </w:rPr>
        <w:t xml:space="preserve">,  ha </w:t>
      </w:r>
      <w:r w:rsidR="005C10BF" w:rsidRPr="00F16467">
        <w:rPr>
          <w:rFonts w:ascii="Verdana" w:hAnsi="Verdana"/>
          <w:sz w:val="20"/>
        </w:rPr>
        <w:t>sido un 3,9% inferior a los resueltos en 2016.</w:t>
      </w:r>
      <w:r w:rsidR="000332B9" w:rsidRPr="00F16467">
        <w:rPr>
          <w:rFonts w:ascii="Verdana" w:hAnsi="Verdana"/>
          <w:sz w:val="20"/>
        </w:rPr>
        <w:t xml:space="preserve">  </w:t>
      </w:r>
      <w:r w:rsidR="005C10BF" w:rsidRPr="00F16467">
        <w:rPr>
          <w:rFonts w:ascii="Verdana" w:hAnsi="Verdana"/>
          <w:sz w:val="20"/>
        </w:rPr>
        <w:t xml:space="preserve">También ha disminuido el número de asuntos en trámite al final del año, un 2,9%, </w:t>
      </w:r>
      <w:r w:rsidR="006718BA" w:rsidRPr="00F16467">
        <w:rPr>
          <w:rFonts w:ascii="Verdana" w:hAnsi="Verdana"/>
          <w:sz w:val="20"/>
        </w:rPr>
        <w:t xml:space="preserve">quedando </w:t>
      </w:r>
      <w:r w:rsidR="005C10BF" w:rsidRPr="00F16467">
        <w:rPr>
          <w:rFonts w:ascii="Verdana" w:hAnsi="Verdana"/>
          <w:sz w:val="20"/>
        </w:rPr>
        <w:t>186.250</w:t>
      </w:r>
      <w:r w:rsidR="006718BA" w:rsidRPr="00F16467">
        <w:rPr>
          <w:rFonts w:ascii="Verdana" w:hAnsi="Verdana"/>
          <w:sz w:val="20"/>
        </w:rPr>
        <w:t xml:space="preserve">, la cifra </w:t>
      </w:r>
      <w:r w:rsidR="005C10BF" w:rsidRPr="00F16467">
        <w:rPr>
          <w:rFonts w:ascii="Verdana" w:hAnsi="Verdana"/>
          <w:sz w:val="20"/>
        </w:rPr>
        <w:t>más baja</w:t>
      </w:r>
      <w:r w:rsidR="006718BA" w:rsidRPr="00F16467">
        <w:rPr>
          <w:rFonts w:ascii="Verdana" w:hAnsi="Verdana"/>
          <w:sz w:val="20"/>
        </w:rPr>
        <w:t xml:space="preserve"> </w:t>
      </w:r>
      <w:r w:rsidR="005C10BF" w:rsidRPr="00F16467">
        <w:rPr>
          <w:rFonts w:ascii="Verdana" w:hAnsi="Verdana"/>
          <w:sz w:val="20"/>
        </w:rPr>
        <w:t>desde 1</w:t>
      </w:r>
      <w:r w:rsidR="006718BA" w:rsidRPr="00F16467">
        <w:rPr>
          <w:rFonts w:ascii="Verdana" w:hAnsi="Verdana"/>
          <w:sz w:val="20"/>
        </w:rPr>
        <w:t>995.</w:t>
      </w:r>
    </w:p>
    <w:p w:rsidR="001F17D4" w:rsidRPr="00F16467" w:rsidRDefault="00C25DB3" w:rsidP="00857F09">
      <w:pPr>
        <w:pStyle w:val="Textoindependiente"/>
        <w:spacing w:before="120" w:after="120"/>
        <w:ind w:firstLine="357"/>
        <w:jc w:val="center"/>
        <w:rPr>
          <w:rFonts w:ascii="Verdana" w:hAnsi="Verdana"/>
        </w:rPr>
      </w:pPr>
      <w:r w:rsidRPr="00F16467">
        <w:rPr>
          <w:noProof/>
        </w:rPr>
        <w:drawing>
          <wp:inline distT="0" distB="0" distL="0" distR="0" wp14:anchorId="20C1D15A" wp14:editId="46892F9A">
            <wp:extent cx="5549265" cy="2981835"/>
            <wp:effectExtent l="0" t="0" r="13335" b="9525"/>
            <wp:docPr id="1072" name="Gráfico 10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E4B0F" w:rsidRPr="00F16467" w:rsidRDefault="00EE4B0F">
      <w:pPr>
        <w:pStyle w:val="Textoindependiente"/>
        <w:spacing w:before="120" w:after="120"/>
        <w:ind w:firstLine="357"/>
        <w:rPr>
          <w:rFonts w:ascii="Verdana" w:hAnsi="Verdana"/>
          <w:sz w:val="20"/>
        </w:rPr>
      </w:pPr>
    </w:p>
    <w:p w:rsidR="001B4EE3" w:rsidRPr="00F16467" w:rsidRDefault="001B4EE3">
      <w:pPr>
        <w:pStyle w:val="Textoindependiente"/>
        <w:spacing w:before="120" w:after="120"/>
        <w:ind w:firstLine="357"/>
        <w:rPr>
          <w:rFonts w:ascii="Verdana" w:hAnsi="Verdana"/>
          <w:color w:val="FF0000"/>
        </w:rPr>
      </w:pPr>
      <w:r w:rsidRPr="00F16467">
        <w:rPr>
          <w:rFonts w:ascii="Verdana" w:hAnsi="Verdana"/>
          <w:sz w:val="20"/>
        </w:rPr>
        <w:t>La situación</w:t>
      </w:r>
      <w:r w:rsidR="00E37454" w:rsidRPr="00F16467">
        <w:rPr>
          <w:rFonts w:ascii="Verdana" w:hAnsi="Verdana"/>
          <w:sz w:val="20"/>
        </w:rPr>
        <w:t xml:space="preserve">  en los tribunales superiores de j</w:t>
      </w:r>
      <w:r w:rsidR="00106D18" w:rsidRPr="00F16467">
        <w:rPr>
          <w:rFonts w:ascii="Verdana" w:hAnsi="Verdana"/>
          <w:sz w:val="20"/>
        </w:rPr>
        <w:t>usticia</w:t>
      </w:r>
      <w:r w:rsidRPr="00F16467">
        <w:rPr>
          <w:rFonts w:ascii="Verdana" w:hAnsi="Verdana"/>
          <w:sz w:val="20"/>
        </w:rPr>
        <w:t xml:space="preserve"> </w:t>
      </w:r>
      <w:r w:rsidR="002657C6" w:rsidRPr="00F16467">
        <w:rPr>
          <w:rFonts w:ascii="Verdana" w:hAnsi="Verdana"/>
          <w:sz w:val="20"/>
        </w:rPr>
        <w:t xml:space="preserve">la describe </w:t>
      </w:r>
      <w:r w:rsidRPr="00F16467">
        <w:rPr>
          <w:rFonts w:ascii="Verdana" w:hAnsi="Verdana"/>
          <w:sz w:val="20"/>
        </w:rPr>
        <w:t>la tasa de congestión:</w:t>
      </w:r>
      <w:r w:rsidRPr="00F16467">
        <w:rPr>
          <w:rFonts w:ascii="Verdana" w:hAnsi="Verdana"/>
        </w:rPr>
        <w:t xml:space="preserve"> </w:t>
      </w:r>
    </w:p>
    <w:p w:rsidR="00AF11AB" w:rsidRPr="00F16467" w:rsidRDefault="00231C93" w:rsidP="00EF75FE">
      <w:pPr>
        <w:pStyle w:val="Textoindependiente"/>
        <w:spacing w:before="120" w:after="120"/>
        <w:ind w:firstLine="357"/>
        <w:jc w:val="center"/>
        <w:rPr>
          <w:rFonts w:ascii="Verdana" w:hAnsi="Verdana"/>
        </w:rPr>
      </w:pPr>
      <w:r w:rsidRPr="00F16467">
        <w:rPr>
          <w:noProof/>
        </w:rPr>
        <w:lastRenderedPageBreak/>
        <w:drawing>
          <wp:inline distT="0" distB="0" distL="0" distR="0" wp14:anchorId="17F412D8" wp14:editId="0983B187">
            <wp:extent cx="5524500" cy="3257550"/>
            <wp:effectExtent l="0" t="0" r="19050" b="1905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24F86" w:rsidRPr="00F16467" w:rsidRDefault="00231C93">
      <w:pPr>
        <w:pStyle w:val="Textoindependiente"/>
        <w:spacing w:before="120" w:after="120"/>
        <w:ind w:firstLine="357"/>
        <w:rPr>
          <w:rFonts w:ascii="Verdana" w:hAnsi="Verdana"/>
          <w:sz w:val="20"/>
        </w:rPr>
      </w:pPr>
      <w:r w:rsidRPr="00F16467">
        <w:rPr>
          <w:rFonts w:ascii="Verdana" w:hAnsi="Verdana"/>
          <w:sz w:val="20"/>
        </w:rPr>
        <w:t>Illes Balears (2,38); País Vasco (2,29); Cataluña (2,26); C. Valenciana (2,08); La Rioja (2,03); Aragón y Murcia (1,93)</w:t>
      </w:r>
      <w:r w:rsidR="00523120" w:rsidRPr="00F16467">
        <w:rPr>
          <w:rFonts w:ascii="Verdana" w:hAnsi="Verdana"/>
          <w:sz w:val="20"/>
        </w:rPr>
        <w:t xml:space="preserve"> </w:t>
      </w:r>
      <w:r w:rsidR="00B24F86" w:rsidRPr="00F16467">
        <w:rPr>
          <w:rFonts w:ascii="Verdana" w:hAnsi="Verdana"/>
          <w:sz w:val="20"/>
        </w:rPr>
        <w:t>tienen una tasa de congestión superior a la nacional</w:t>
      </w:r>
      <w:r w:rsidRPr="00F16467">
        <w:rPr>
          <w:rFonts w:ascii="Verdana" w:hAnsi="Verdana"/>
          <w:sz w:val="20"/>
        </w:rPr>
        <w:t xml:space="preserve"> de 1,89</w:t>
      </w:r>
      <w:r w:rsidR="00B24F86" w:rsidRPr="00F16467">
        <w:rPr>
          <w:rFonts w:ascii="Verdana" w:hAnsi="Verdana"/>
          <w:sz w:val="20"/>
        </w:rPr>
        <w:t>.</w:t>
      </w:r>
      <w:r w:rsidR="002C6A96" w:rsidRPr="00F16467">
        <w:rPr>
          <w:rFonts w:ascii="Verdana" w:hAnsi="Verdana"/>
          <w:sz w:val="20"/>
        </w:rPr>
        <w:t xml:space="preserve"> </w:t>
      </w:r>
      <w:r w:rsidR="00B5382D" w:rsidRPr="00F16467">
        <w:rPr>
          <w:rFonts w:ascii="Verdana" w:hAnsi="Verdana"/>
          <w:sz w:val="20"/>
        </w:rPr>
        <w:t xml:space="preserve">La mejor situación se da en </w:t>
      </w:r>
      <w:r w:rsidR="00F60F96" w:rsidRPr="00F16467">
        <w:rPr>
          <w:rFonts w:ascii="Verdana" w:hAnsi="Verdana"/>
          <w:sz w:val="20"/>
        </w:rPr>
        <w:t>Cantabria</w:t>
      </w:r>
      <w:r w:rsidR="00B24F86" w:rsidRPr="00F16467">
        <w:rPr>
          <w:rFonts w:ascii="Verdana" w:hAnsi="Verdana"/>
          <w:sz w:val="20"/>
        </w:rPr>
        <w:t xml:space="preserve"> </w:t>
      </w:r>
      <w:r w:rsidRPr="00F16467">
        <w:rPr>
          <w:rFonts w:ascii="Verdana" w:hAnsi="Verdana"/>
          <w:sz w:val="20"/>
        </w:rPr>
        <w:t xml:space="preserve">y Extremadura </w:t>
      </w:r>
      <w:r w:rsidR="00B24F86" w:rsidRPr="00F16467">
        <w:rPr>
          <w:rFonts w:ascii="Verdana" w:hAnsi="Verdana"/>
          <w:sz w:val="20"/>
        </w:rPr>
        <w:t>(1,</w:t>
      </w:r>
      <w:r w:rsidR="00E638A2" w:rsidRPr="00F16467">
        <w:rPr>
          <w:rFonts w:ascii="Verdana" w:hAnsi="Verdana"/>
          <w:sz w:val="20"/>
        </w:rPr>
        <w:t>4</w:t>
      </w:r>
      <w:r w:rsidRPr="00F16467">
        <w:rPr>
          <w:rFonts w:ascii="Verdana" w:hAnsi="Verdana"/>
          <w:sz w:val="20"/>
        </w:rPr>
        <w:t>8</w:t>
      </w:r>
      <w:r w:rsidR="00B24F86" w:rsidRPr="00F16467">
        <w:rPr>
          <w:rFonts w:ascii="Verdana" w:hAnsi="Verdana"/>
          <w:sz w:val="20"/>
        </w:rPr>
        <w:t>)</w:t>
      </w:r>
      <w:r w:rsidR="00BF4896" w:rsidRPr="00F16467">
        <w:rPr>
          <w:rFonts w:ascii="Verdana" w:hAnsi="Verdana"/>
          <w:sz w:val="20"/>
        </w:rPr>
        <w:t xml:space="preserve"> y </w:t>
      </w:r>
      <w:r w:rsidR="004D243D" w:rsidRPr="00F16467">
        <w:rPr>
          <w:rFonts w:ascii="Verdana" w:hAnsi="Verdana"/>
          <w:sz w:val="20"/>
        </w:rPr>
        <w:t>Galicia</w:t>
      </w:r>
      <w:r w:rsidR="00BF4896" w:rsidRPr="00F16467">
        <w:rPr>
          <w:rFonts w:ascii="Verdana" w:hAnsi="Verdana"/>
          <w:sz w:val="20"/>
        </w:rPr>
        <w:t xml:space="preserve"> (1,5</w:t>
      </w:r>
      <w:r w:rsidRPr="00F16467">
        <w:rPr>
          <w:rFonts w:ascii="Verdana" w:hAnsi="Verdana"/>
          <w:sz w:val="20"/>
        </w:rPr>
        <w:t>8</w:t>
      </w:r>
      <w:r w:rsidR="00BF4896" w:rsidRPr="00F16467">
        <w:rPr>
          <w:rFonts w:ascii="Verdana" w:hAnsi="Verdana"/>
          <w:sz w:val="20"/>
        </w:rPr>
        <w:t>)</w:t>
      </w:r>
      <w:r w:rsidR="00B24F86" w:rsidRPr="00F16467">
        <w:rPr>
          <w:rFonts w:ascii="Verdana" w:hAnsi="Verdana"/>
          <w:sz w:val="20"/>
        </w:rPr>
        <w:t>.</w:t>
      </w:r>
    </w:p>
    <w:p w:rsidR="00145344" w:rsidRPr="00F16467" w:rsidRDefault="00145344">
      <w:pPr>
        <w:pStyle w:val="Textoindependiente"/>
        <w:spacing w:before="120" w:after="120"/>
        <w:ind w:firstLine="357"/>
        <w:rPr>
          <w:rFonts w:ascii="Verdana" w:hAnsi="Verdana"/>
          <w:sz w:val="20"/>
        </w:rPr>
      </w:pPr>
      <w:r w:rsidRPr="00F16467">
        <w:rPr>
          <w:rFonts w:ascii="Verdana" w:hAnsi="Verdana"/>
          <w:sz w:val="20"/>
        </w:rPr>
        <w:t>E</w:t>
      </w:r>
      <w:r w:rsidR="00B24F86" w:rsidRPr="00F16467">
        <w:rPr>
          <w:rFonts w:ascii="Verdana" w:hAnsi="Verdana"/>
          <w:sz w:val="20"/>
        </w:rPr>
        <w:t>ntre</w:t>
      </w:r>
      <w:r w:rsidR="00BF4896" w:rsidRPr="00F16467">
        <w:rPr>
          <w:rFonts w:ascii="Verdana" w:hAnsi="Verdana"/>
          <w:sz w:val="20"/>
        </w:rPr>
        <w:t xml:space="preserve"> 201</w:t>
      </w:r>
      <w:r w:rsidR="00A47792" w:rsidRPr="00F16467">
        <w:rPr>
          <w:rFonts w:ascii="Verdana" w:hAnsi="Verdana"/>
          <w:sz w:val="20"/>
        </w:rPr>
        <w:t>6</w:t>
      </w:r>
      <w:r w:rsidR="00951112" w:rsidRPr="00F16467">
        <w:rPr>
          <w:rFonts w:ascii="Verdana" w:hAnsi="Verdana"/>
          <w:sz w:val="20"/>
        </w:rPr>
        <w:t xml:space="preserve"> y 20</w:t>
      </w:r>
      <w:r w:rsidR="00A707E6" w:rsidRPr="00F16467">
        <w:rPr>
          <w:rFonts w:ascii="Verdana" w:hAnsi="Verdana"/>
          <w:sz w:val="20"/>
        </w:rPr>
        <w:t>1</w:t>
      </w:r>
      <w:r w:rsidR="00A47792" w:rsidRPr="00F16467">
        <w:rPr>
          <w:rFonts w:ascii="Verdana" w:hAnsi="Verdana"/>
          <w:sz w:val="20"/>
        </w:rPr>
        <w:t>7</w:t>
      </w:r>
      <w:r w:rsidR="00951112" w:rsidRPr="00F16467">
        <w:rPr>
          <w:rFonts w:ascii="Verdana" w:hAnsi="Verdana"/>
          <w:sz w:val="20"/>
        </w:rPr>
        <w:t xml:space="preserve"> </w:t>
      </w:r>
      <w:r w:rsidR="006D0540" w:rsidRPr="00F16467">
        <w:rPr>
          <w:rFonts w:ascii="Verdana" w:hAnsi="Verdana"/>
          <w:sz w:val="20"/>
        </w:rPr>
        <w:t xml:space="preserve">ha </w:t>
      </w:r>
      <w:r w:rsidR="004D243D" w:rsidRPr="00F16467">
        <w:rPr>
          <w:rFonts w:ascii="Verdana" w:hAnsi="Verdana"/>
          <w:sz w:val="20"/>
        </w:rPr>
        <w:t>disminuido</w:t>
      </w:r>
      <w:r w:rsidR="006D0540" w:rsidRPr="00F16467">
        <w:rPr>
          <w:rFonts w:ascii="Verdana" w:hAnsi="Verdana"/>
          <w:sz w:val="20"/>
        </w:rPr>
        <w:t xml:space="preserve"> </w:t>
      </w:r>
      <w:r w:rsidRPr="00F16467">
        <w:rPr>
          <w:rFonts w:ascii="Verdana" w:hAnsi="Verdana"/>
          <w:sz w:val="20"/>
        </w:rPr>
        <w:t xml:space="preserve">la tasa de </w:t>
      </w:r>
      <w:r w:rsidR="0018371C" w:rsidRPr="00F16467">
        <w:rPr>
          <w:rFonts w:ascii="Verdana" w:hAnsi="Verdana"/>
          <w:sz w:val="20"/>
        </w:rPr>
        <w:t>resolución</w:t>
      </w:r>
      <w:r w:rsidR="006D0540" w:rsidRPr="00F16467">
        <w:rPr>
          <w:rFonts w:ascii="Verdana" w:hAnsi="Verdana"/>
          <w:sz w:val="20"/>
        </w:rPr>
        <w:t xml:space="preserve"> y </w:t>
      </w:r>
      <w:r w:rsidR="00A47792" w:rsidRPr="00F16467">
        <w:rPr>
          <w:rFonts w:ascii="Verdana" w:hAnsi="Verdana"/>
          <w:sz w:val="20"/>
        </w:rPr>
        <w:t>han aumentado las de pendencia y congestión</w:t>
      </w:r>
      <w:r w:rsidR="009B3A7B" w:rsidRPr="00F16467">
        <w:rPr>
          <w:rFonts w:ascii="Verdana" w:hAnsi="Verdana"/>
          <w:sz w:val="20"/>
        </w:rPr>
        <w:t>.</w:t>
      </w:r>
      <w:r w:rsidR="00A47792" w:rsidRPr="00F16467">
        <w:rPr>
          <w:rFonts w:ascii="Verdana" w:hAnsi="Verdana"/>
          <w:sz w:val="20"/>
        </w:rPr>
        <w:t xml:space="preserve"> </w:t>
      </w:r>
      <w:r w:rsidRPr="00F16467">
        <w:rPr>
          <w:rFonts w:ascii="Verdana" w:hAnsi="Verdana"/>
          <w:sz w:val="20"/>
        </w:rPr>
        <w:t xml:space="preserve">En consecuencia se puede inferir </w:t>
      </w:r>
      <w:r w:rsidR="00513D35" w:rsidRPr="00F16467">
        <w:rPr>
          <w:rFonts w:ascii="Verdana" w:hAnsi="Verdana"/>
          <w:sz w:val="20"/>
        </w:rPr>
        <w:t>que la jurisdicción contencioso-</w:t>
      </w:r>
      <w:r w:rsidR="0018371C" w:rsidRPr="00F16467">
        <w:rPr>
          <w:rFonts w:ascii="Verdana" w:hAnsi="Verdana"/>
          <w:sz w:val="20"/>
        </w:rPr>
        <w:t>administrativa</w:t>
      </w:r>
      <w:r w:rsidRPr="00F16467">
        <w:rPr>
          <w:rFonts w:ascii="Verdana" w:hAnsi="Verdana"/>
          <w:sz w:val="20"/>
        </w:rPr>
        <w:t xml:space="preserve"> </w:t>
      </w:r>
      <w:r w:rsidR="00A47792" w:rsidRPr="00F16467">
        <w:rPr>
          <w:rFonts w:ascii="Verdana" w:hAnsi="Verdana"/>
          <w:sz w:val="20"/>
        </w:rPr>
        <w:t>se ha deteriorado en 2017</w:t>
      </w:r>
      <w:r w:rsidRPr="00F16467">
        <w:rPr>
          <w:rFonts w:ascii="Verdana" w:hAnsi="Verdana"/>
          <w:sz w:val="20"/>
        </w:rPr>
        <w:t xml:space="preserve"> respecto a la de 201</w:t>
      </w:r>
      <w:r w:rsidR="00A47792" w:rsidRPr="00F16467">
        <w:rPr>
          <w:rFonts w:ascii="Verdana" w:hAnsi="Verdana"/>
          <w:sz w:val="20"/>
        </w:rPr>
        <w:t>6</w:t>
      </w:r>
      <w:r w:rsidRPr="00F16467">
        <w:rPr>
          <w:rFonts w:ascii="Verdana" w:hAnsi="Verdana"/>
          <w:sz w:val="20"/>
        </w:rPr>
        <w:t>.</w:t>
      </w:r>
    </w:p>
    <w:tbl>
      <w:tblPr>
        <w:tblW w:w="5820" w:type="dxa"/>
        <w:jc w:val="center"/>
        <w:tblInd w:w="55" w:type="dxa"/>
        <w:tblCellMar>
          <w:left w:w="70" w:type="dxa"/>
          <w:right w:w="70" w:type="dxa"/>
        </w:tblCellMar>
        <w:tblLook w:val="04A0" w:firstRow="1" w:lastRow="0" w:firstColumn="1" w:lastColumn="0" w:noHBand="0" w:noVBand="1"/>
      </w:tblPr>
      <w:tblGrid>
        <w:gridCol w:w="2221"/>
        <w:gridCol w:w="1189"/>
        <w:gridCol w:w="1189"/>
        <w:gridCol w:w="1221"/>
      </w:tblGrid>
      <w:tr w:rsidR="00A33A28" w:rsidRPr="00F16467" w:rsidTr="00A33A28">
        <w:trPr>
          <w:trHeight w:val="315"/>
          <w:jc w:val="center"/>
        </w:trPr>
        <w:tc>
          <w:tcPr>
            <w:tcW w:w="2220" w:type="dxa"/>
            <w:tcBorders>
              <w:top w:val="nil"/>
              <w:left w:val="nil"/>
              <w:bottom w:val="nil"/>
              <w:right w:val="nil"/>
            </w:tcBorders>
            <w:shd w:val="clear" w:color="auto" w:fill="auto"/>
            <w:noWrap/>
            <w:vAlign w:val="bottom"/>
            <w:hideMark/>
          </w:tcPr>
          <w:p w:rsidR="00A33A28" w:rsidRPr="00F16467" w:rsidRDefault="00A33A28">
            <w:pPr>
              <w:rPr>
                <w:color w:val="000000"/>
                <w:sz w:val="20"/>
                <w:szCs w:val="20"/>
              </w:rPr>
            </w:pP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b/>
                <w:bCs/>
                <w:color w:val="000080"/>
                <w:sz w:val="20"/>
                <w:szCs w:val="20"/>
              </w:rPr>
            </w:pPr>
            <w:r w:rsidRPr="00F16467">
              <w:rPr>
                <w:rFonts w:ascii="Verdana" w:hAnsi="Verdana" w:cs="Arial"/>
                <w:b/>
                <w:bCs/>
                <w:color w:val="000080"/>
                <w:sz w:val="20"/>
                <w:szCs w:val="20"/>
              </w:rPr>
              <w:t>2016</w:t>
            </w: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b/>
                <w:bCs/>
                <w:color w:val="000080"/>
                <w:sz w:val="20"/>
                <w:szCs w:val="20"/>
              </w:rPr>
            </w:pPr>
            <w:r w:rsidRPr="00F16467">
              <w:rPr>
                <w:rFonts w:ascii="Verdana" w:hAnsi="Verdana" w:cs="Arial"/>
                <w:b/>
                <w:bCs/>
                <w:color w:val="000080"/>
                <w:sz w:val="20"/>
                <w:szCs w:val="20"/>
              </w:rPr>
              <w:t>2017</w:t>
            </w: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b/>
                <w:bCs/>
                <w:color w:val="000080"/>
                <w:sz w:val="20"/>
                <w:szCs w:val="20"/>
              </w:rPr>
            </w:pPr>
            <w:r w:rsidRPr="00F16467">
              <w:rPr>
                <w:rFonts w:ascii="Verdana" w:hAnsi="Verdana" w:cs="Arial"/>
                <w:b/>
                <w:bCs/>
                <w:color w:val="000080"/>
                <w:sz w:val="20"/>
                <w:szCs w:val="20"/>
              </w:rPr>
              <w:t>Evolución</w:t>
            </w:r>
          </w:p>
        </w:tc>
      </w:tr>
      <w:tr w:rsidR="00A33A28" w:rsidRPr="00F16467" w:rsidTr="00A33A28">
        <w:trPr>
          <w:trHeight w:val="300"/>
          <w:jc w:val="center"/>
        </w:trPr>
        <w:tc>
          <w:tcPr>
            <w:tcW w:w="2220" w:type="dxa"/>
            <w:tcBorders>
              <w:top w:val="single" w:sz="8" w:space="0" w:color="auto"/>
              <w:left w:val="nil"/>
              <w:bottom w:val="nil"/>
              <w:right w:val="nil"/>
            </w:tcBorders>
            <w:shd w:val="clear" w:color="auto" w:fill="auto"/>
            <w:vAlign w:val="center"/>
            <w:hideMark/>
          </w:tcPr>
          <w:p w:rsidR="00A33A28" w:rsidRPr="00F16467" w:rsidRDefault="00A33A28">
            <w:pPr>
              <w:jc w:val="both"/>
              <w:rPr>
                <w:rFonts w:ascii="Verdana" w:hAnsi="Verdana" w:cs="Calibri"/>
                <w:color w:val="000000"/>
                <w:sz w:val="20"/>
                <w:szCs w:val="20"/>
              </w:rPr>
            </w:pPr>
            <w:r w:rsidRPr="00F16467">
              <w:rPr>
                <w:rFonts w:ascii="Verdana" w:hAnsi="Verdana" w:cs="Arial"/>
                <w:color w:val="000000"/>
                <w:sz w:val="20"/>
                <w:szCs w:val="20"/>
              </w:rPr>
              <w:t>Tasa de Resolución</w:t>
            </w: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1,09</w:t>
            </w: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1,05</w:t>
            </w:r>
          </w:p>
        </w:tc>
        <w:tc>
          <w:tcPr>
            <w:tcW w:w="1200" w:type="dxa"/>
            <w:tcBorders>
              <w:top w:val="single" w:sz="8" w:space="0" w:color="auto"/>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-3,7%</w:t>
            </w:r>
          </w:p>
        </w:tc>
      </w:tr>
      <w:tr w:rsidR="00A33A28" w:rsidRPr="00F16467" w:rsidTr="00A33A28">
        <w:trPr>
          <w:trHeight w:val="300"/>
          <w:jc w:val="center"/>
        </w:trPr>
        <w:tc>
          <w:tcPr>
            <w:tcW w:w="2220" w:type="dxa"/>
            <w:tcBorders>
              <w:top w:val="nil"/>
              <w:left w:val="nil"/>
              <w:bottom w:val="nil"/>
              <w:right w:val="nil"/>
            </w:tcBorders>
            <w:shd w:val="clear" w:color="auto" w:fill="auto"/>
            <w:vAlign w:val="center"/>
            <w:hideMark/>
          </w:tcPr>
          <w:p w:rsidR="00A33A28" w:rsidRPr="00F16467" w:rsidRDefault="00A33A28">
            <w:pPr>
              <w:jc w:val="both"/>
              <w:rPr>
                <w:rFonts w:ascii="Verdana" w:hAnsi="Verdana" w:cs="Calibri"/>
                <w:color w:val="000000"/>
                <w:sz w:val="20"/>
                <w:szCs w:val="20"/>
              </w:rPr>
            </w:pPr>
            <w:r w:rsidRPr="00F16467">
              <w:rPr>
                <w:rFonts w:ascii="Verdana" w:hAnsi="Verdana" w:cs="Arial"/>
                <w:color w:val="000000"/>
                <w:sz w:val="20"/>
                <w:szCs w:val="20"/>
              </w:rPr>
              <w:t>Tasa de Pendencia</w:t>
            </w:r>
          </w:p>
        </w:tc>
        <w:tc>
          <w:tcPr>
            <w:tcW w:w="1200" w:type="dxa"/>
            <w:tcBorders>
              <w:top w:val="nil"/>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0,90</w:t>
            </w:r>
          </w:p>
        </w:tc>
        <w:tc>
          <w:tcPr>
            <w:tcW w:w="1200" w:type="dxa"/>
            <w:tcBorders>
              <w:top w:val="nil"/>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0,91</w:t>
            </w:r>
          </w:p>
        </w:tc>
        <w:tc>
          <w:tcPr>
            <w:tcW w:w="1200" w:type="dxa"/>
            <w:tcBorders>
              <w:top w:val="nil"/>
              <w:left w:val="nil"/>
              <w:bottom w:val="nil"/>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1,0%</w:t>
            </w:r>
          </w:p>
        </w:tc>
      </w:tr>
      <w:tr w:rsidR="00A33A28" w:rsidRPr="00F16467" w:rsidTr="00A33A28">
        <w:trPr>
          <w:trHeight w:val="315"/>
          <w:jc w:val="center"/>
        </w:trPr>
        <w:tc>
          <w:tcPr>
            <w:tcW w:w="2220" w:type="dxa"/>
            <w:tcBorders>
              <w:top w:val="nil"/>
              <w:left w:val="nil"/>
              <w:bottom w:val="single" w:sz="8" w:space="0" w:color="auto"/>
              <w:right w:val="nil"/>
            </w:tcBorders>
            <w:shd w:val="clear" w:color="auto" w:fill="auto"/>
            <w:vAlign w:val="center"/>
            <w:hideMark/>
          </w:tcPr>
          <w:p w:rsidR="00A33A28" w:rsidRPr="00F16467" w:rsidRDefault="00A33A28">
            <w:pPr>
              <w:jc w:val="both"/>
              <w:rPr>
                <w:rFonts w:ascii="Verdana" w:hAnsi="Verdana" w:cs="Calibri"/>
                <w:color w:val="000000"/>
                <w:sz w:val="20"/>
                <w:szCs w:val="20"/>
              </w:rPr>
            </w:pPr>
            <w:r w:rsidRPr="00F16467">
              <w:rPr>
                <w:rFonts w:ascii="Verdana" w:hAnsi="Verdana" w:cs="Arial"/>
                <w:color w:val="000000"/>
                <w:sz w:val="20"/>
                <w:szCs w:val="20"/>
              </w:rPr>
              <w:t>Tasa de Congestión</w:t>
            </w:r>
          </w:p>
        </w:tc>
        <w:tc>
          <w:tcPr>
            <w:tcW w:w="1200" w:type="dxa"/>
            <w:tcBorders>
              <w:top w:val="nil"/>
              <w:left w:val="nil"/>
              <w:bottom w:val="single" w:sz="8" w:space="0" w:color="auto"/>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1,88</w:t>
            </w:r>
          </w:p>
        </w:tc>
        <w:tc>
          <w:tcPr>
            <w:tcW w:w="1200" w:type="dxa"/>
            <w:tcBorders>
              <w:top w:val="nil"/>
              <w:left w:val="nil"/>
              <w:bottom w:val="single" w:sz="8" w:space="0" w:color="auto"/>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1,89</w:t>
            </w:r>
          </w:p>
        </w:tc>
        <w:tc>
          <w:tcPr>
            <w:tcW w:w="1200" w:type="dxa"/>
            <w:tcBorders>
              <w:top w:val="nil"/>
              <w:left w:val="nil"/>
              <w:bottom w:val="single" w:sz="8" w:space="0" w:color="auto"/>
              <w:right w:val="nil"/>
            </w:tcBorders>
            <w:shd w:val="clear" w:color="auto" w:fill="auto"/>
            <w:vAlign w:val="center"/>
            <w:hideMark/>
          </w:tcPr>
          <w:p w:rsidR="00A33A28" w:rsidRPr="00F16467" w:rsidRDefault="00A33A28">
            <w:pPr>
              <w:jc w:val="center"/>
              <w:rPr>
                <w:rFonts w:ascii="Verdana" w:hAnsi="Verdana" w:cs="Calibri"/>
                <w:color w:val="000000"/>
                <w:sz w:val="20"/>
                <w:szCs w:val="20"/>
              </w:rPr>
            </w:pPr>
            <w:r w:rsidRPr="00F16467">
              <w:rPr>
                <w:rFonts w:ascii="Verdana" w:hAnsi="Verdana" w:cs="Calibri"/>
                <w:color w:val="000000"/>
                <w:sz w:val="20"/>
                <w:szCs w:val="20"/>
              </w:rPr>
              <w:t>0,1%</w:t>
            </w:r>
          </w:p>
        </w:tc>
      </w:tr>
    </w:tbl>
    <w:p w:rsidR="006E55F8" w:rsidRPr="00F16467" w:rsidRDefault="006E55F8" w:rsidP="00106D18">
      <w:pPr>
        <w:pStyle w:val="Textoindependiente"/>
        <w:spacing w:before="120" w:after="120"/>
        <w:ind w:firstLine="357"/>
        <w:rPr>
          <w:rFonts w:ascii="Verdana" w:hAnsi="Verdana"/>
          <w:sz w:val="20"/>
        </w:rPr>
      </w:pPr>
    </w:p>
    <w:p w:rsidR="00106D18" w:rsidRPr="00F16467" w:rsidRDefault="00106D18" w:rsidP="00106D18">
      <w:pPr>
        <w:pStyle w:val="Textoindependiente"/>
        <w:spacing w:before="120" w:after="120"/>
        <w:ind w:firstLine="357"/>
        <w:rPr>
          <w:rFonts w:ascii="Verdana" w:hAnsi="Verdana"/>
          <w:sz w:val="20"/>
        </w:rPr>
      </w:pPr>
      <w:r w:rsidRPr="00F16467">
        <w:rPr>
          <w:rFonts w:ascii="Verdana" w:hAnsi="Verdana"/>
          <w:sz w:val="20"/>
        </w:rPr>
        <w:t xml:space="preserve">La situación por tipos de juzgados en esta jurisdicción en </w:t>
      </w:r>
      <w:r w:rsidR="00F60F96" w:rsidRPr="00F16467">
        <w:rPr>
          <w:rFonts w:ascii="Verdana" w:hAnsi="Verdana"/>
          <w:sz w:val="20"/>
        </w:rPr>
        <w:t>201</w:t>
      </w:r>
      <w:r w:rsidR="00A47792" w:rsidRPr="00F16467">
        <w:rPr>
          <w:rFonts w:ascii="Verdana" w:hAnsi="Verdana"/>
          <w:sz w:val="20"/>
        </w:rPr>
        <w:t>7</w:t>
      </w:r>
      <w:r w:rsidRPr="00F16467">
        <w:rPr>
          <w:rFonts w:ascii="Verdana" w:hAnsi="Verdana"/>
          <w:sz w:val="20"/>
        </w:rPr>
        <w:t xml:space="preserve"> ha sido la siguiente:</w:t>
      </w:r>
    </w:p>
    <w:tbl>
      <w:tblPr>
        <w:tblW w:w="6520" w:type="dxa"/>
        <w:jc w:val="center"/>
        <w:tblInd w:w="55" w:type="dxa"/>
        <w:tblCellMar>
          <w:left w:w="70" w:type="dxa"/>
          <w:right w:w="70" w:type="dxa"/>
        </w:tblCellMar>
        <w:tblLook w:val="04A0" w:firstRow="1" w:lastRow="0" w:firstColumn="1" w:lastColumn="0" w:noHBand="0" w:noVBand="1"/>
      </w:tblPr>
      <w:tblGrid>
        <w:gridCol w:w="2740"/>
        <w:gridCol w:w="1320"/>
        <w:gridCol w:w="1200"/>
        <w:gridCol w:w="1260"/>
      </w:tblGrid>
      <w:tr w:rsidR="00A47792" w:rsidTr="00A47792">
        <w:trPr>
          <w:trHeight w:val="300"/>
          <w:jc w:val="center"/>
        </w:trPr>
        <w:tc>
          <w:tcPr>
            <w:tcW w:w="2740" w:type="dxa"/>
            <w:vMerge w:val="restart"/>
            <w:tcBorders>
              <w:top w:val="nil"/>
              <w:left w:val="nil"/>
              <w:bottom w:val="single" w:sz="8" w:space="0" w:color="000000"/>
              <w:right w:val="nil"/>
            </w:tcBorders>
            <w:shd w:val="clear" w:color="000000" w:fill="FFFFFF"/>
            <w:vAlign w:val="center"/>
            <w:hideMark/>
          </w:tcPr>
          <w:p w:rsidR="00A47792" w:rsidRPr="00F16467" w:rsidRDefault="00A47792">
            <w:pPr>
              <w:rPr>
                <w:rFonts w:ascii="Arial" w:hAnsi="Arial" w:cs="Arial"/>
                <w:color w:val="000080"/>
                <w:sz w:val="20"/>
                <w:szCs w:val="20"/>
              </w:rPr>
            </w:pPr>
            <w:r w:rsidRPr="00F16467">
              <w:rPr>
                <w:rFonts w:ascii="Arial" w:hAnsi="Arial" w:cs="Arial"/>
                <w:color w:val="000080"/>
                <w:sz w:val="20"/>
                <w:szCs w:val="20"/>
              </w:rPr>
              <w:t> </w:t>
            </w:r>
          </w:p>
        </w:tc>
        <w:tc>
          <w:tcPr>
            <w:tcW w:w="3780" w:type="dxa"/>
            <w:gridSpan w:val="3"/>
            <w:vMerge w:val="restart"/>
            <w:tcBorders>
              <w:top w:val="single" w:sz="8" w:space="0" w:color="auto"/>
              <w:left w:val="nil"/>
              <w:bottom w:val="single" w:sz="8" w:space="0" w:color="000000"/>
              <w:right w:val="nil"/>
            </w:tcBorders>
            <w:shd w:val="clear" w:color="auto" w:fill="auto"/>
            <w:vAlign w:val="center"/>
            <w:hideMark/>
          </w:tcPr>
          <w:p w:rsidR="00A47792" w:rsidRDefault="00A47792">
            <w:pPr>
              <w:jc w:val="center"/>
              <w:rPr>
                <w:rFonts w:ascii="Verdana" w:hAnsi="Verdana" w:cs="Calibri"/>
                <w:b/>
                <w:bCs/>
                <w:color w:val="000080"/>
                <w:sz w:val="18"/>
                <w:szCs w:val="18"/>
              </w:rPr>
            </w:pPr>
            <w:r w:rsidRPr="00F16467">
              <w:rPr>
                <w:rFonts w:ascii="Verdana" w:hAnsi="Verdana" w:cs="Arial"/>
                <w:b/>
                <w:bCs/>
                <w:color w:val="000080"/>
                <w:sz w:val="18"/>
                <w:szCs w:val="18"/>
              </w:rPr>
              <w:t>Movimiento de asuntos</w:t>
            </w:r>
          </w:p>
        </w:tc>
      </w:tr>
      <w:tr w:rsidR="00A47792" w:rsidTr="00A47792">
        <w:trPr>
          <w:trHeight w:val="315"/>
          <w:jc w:val="center"/>
        </w:trPr>
        <w:tc>
          <w:tcPr>
            <w:tcW w:w="2740" w:type="dxa"/>
            <w:vMerge/>
            <w:tcBorders>
              <w:top w:val="nil"/>
              <w:left w:val="nil"/>
              <w:bottom w:val="single" w:sz="8" w:space="0" w:color="000000"/>
              <w:right w:val="nil"/>
            </w:tcBorders>
            <w:vAlign w:val="center"/>
            <w:hideMark/>
          </w:tcPr>
          <w:p w:rsidR="00A47792" w:rsidRDefault="00A47792">
            <w:pPr>
              <w:rPr>
                <w:rFonts w:ascii="Arial" w:hAnsi="Arial" w:cs="Arial"/>
                <w:color w:val="000080"/>
                <w:sz w:val="20"/>
                <w:szCs w:val="20"/>
              </w:rPr>
            </w:pPr>
          </w:p>
        </w:tc>
        <w:tc>
          <w:tcPr>
            <w:tcW w:w="3780" w:type="dxa"/>
            <w:gridSpan w:val="3"/>
            <w:vMerge/>
            <w:tcBorders>
              <w:top w:val="single" w:sz="8" w:space="0" w:color="auto"/>
              <w:left w:val="nil"/>
              <w:bottom w:val="single" w:sz="8" w:space="0" w:color="000000"/>
              <w:right w:val="nil"/>
            </w:tcBorders>
            <w:vAlign w:val="center"/>
            <w:hideMark/>
          </w:tcPr>
          <w:p w:rsidR="00A47792" w:rsidRDefault="00A47792">
            <w:pPr>
              <w:rPr>
                <w:rFonts w:ascii="Verdana" w:hAnsi="Verdana" w:cs="Calibri"/>
                <w:b/>
                <w:bCs/>
                <w:color w:val="000080"/>
                <w:sz w:val="18"/>
                <w:szCs w:val="18"/>
              </w:rPr>
            </w:pPr>
          </w:p>
        </w:tc>
      </w:tr>
      <w:tr w:rsidR="00A47792" w:rsidTr="00A47792">
        <w:trPr>
          <w:trHeight w:val="690"/>
          <w:jc w:val="center"/>
        </w:trPr>
        <w:tc>
          <w:tcPr>
            <w:tcW w:w="2740" w:type="dxa"/>
            <w:tcBorders>
              <w:top w:val="nil"/>
              <w:left w:val="nil"/>
              <w:bottom w:val="single" w:sz="8" w:space="0" w:color="auto"/>
              <w:right w:val="nil"/>
            </w:tcBorders>
            <w:shd w:val="clear" w:color="auto" w:fill="auto"/>
            <w:vAlign w:val="center"/>
            <w:hideMark/>
          </w:tcPr>
          <w:p w:rsidR="00A47792" w:rsidRDefault="00A47792">
            <w:pPr>
              <w:jc w:val="center"/>
              <w:rPr>
                <w:rFonts w:ascii="Arial" w:hAnsi="Arial" w:cs="Arial"/>
                <w:b/>
                <w:bCs/>
                <w:color w:val="000080"/>
                <w:sz w:val="20"/>
                <w:szCs w:val="20"/>
              </w:rPr>
            </w:pPr>
            <w:r>
              <w:rPr>
                <w:rFonts w:ascii="Arial" w:hAnsi="Arial" w:cs="Arial"/>
                <w:b/>
                <w:bCs/>
                <w:color w:val="000080"/>
                <w:sz w:val="20"/>
                <w:szCs w:val="20"/>
              </w:rPr>
              <w:t> </w:t>
            </w:r>
          </w:p>
        </w:tc>
        <w:tc>
          <w:tcPr>
            <w:tcW w:w="1320" w:type="dxa"/>
            <w:tcBorders>
              <w:top w:val="nil"/>
              <w:left w:val="nil"/>
              <w:bottom w:val="single" w:sz="8" w:space="0" w:color="auto"/>
              <w:right w:val="nil"/>
            </w:tcBorders>
            <w:shd w:val="clear" w:color="auto" w:fill="auto"/>
            <w:vAlign w:val="center"/>
            <w:hideMark/>
          </w:tcPr>
          <w:p w:rsidR="00A47792" w:rsidRDefault="00A47792">
            <w:pPr>
              <w:jc w:val="center"/>
              <w:rPr>
                <w:rFonts w:ascii="Verdana" w:hAnsi="Verdana" w:cs="Calibri"/>
                <w:b/>
                <w:bCs/>
                <w:color w:val="000080"/>
                <w:sz w:val="18"/>
                <w:szCs w:val="18"/>
              </w:rPr>
            </w:pPr>
            <w:r>
              <w:rPr>
                <w:rFonts w:ascii="Verdana" w:hAnsi="Verdana" w:cs="Arial"/>
                <w:b/>
                <w:bCs/>
                <w:color w:val="000080"/>
                <w:sz w:val="18"/>
                <w:szCs w:val="18"/>
              </w:rPr>
              <w:t xml:space="preserve">Ingresados </w:t>
            </w:r>
          </w:p>
        </w:tc>
        <w:tc>
          <w:tcPr>
            <w:tcW w:w="1200" w:type="dxa"/>
            <w:tcBorders>
              <w:top w:val="nil"/>
              <w:left w:val="nil"/>
              <w:bottom w:val="single" w:sz="8" w:space="0" w:color="auto"/>
              <w:right w:val="nil"/>
            </w:tcBorders>
            <w:shd w:val="clear" w:color="auto" w:fill="auto"/>
            <w:vAlign w:val="center"/>
            <w:hideMark/>
          </w:tcPr>
          <w:p w:rsidR="00A47792" w:rsidRDefault="00A47792">
            <w:pPr>
              <w:jc w:val="center"/>
              <w:rPr>
                <w:rFonts w:ascii="Verdana" w:hAnsi="Verdana" w:cs="Calibri"/>
                <w:b/>
                <w:bCs/>
                <w:color w:val="000080"/>
                <w:sz w:val="18"/>
                <w:szCs w:val="18"/>
              </w:rPr>
            </w:pPr>
            <w:r>
              <w:rPr>
                <w:rFonts w:ascii="Verdana" w:hAnsi="Verdana" w:cs="Arial"/>
                <w:b/>
                <w:bCs/>
                <w:color w:val="000080"/>
                <w:sz w:val="18"/>
                <w:szCs w:val="18"/>
              </w:rPr>
              <w:t>Resueltos</w:t>
            </w:r>
          </w:p>
        </w:tc>
        <w:tc>
          <w:tcPr>
            <w:tcW w:w="1260" w:type="dxa"/>
            <w:tcBorders>
              <w:top w:val="nil"/>
              <w:left w:val="nil"/>
              <w:bottom w:val="single" w:sz="8" w:space="0" w:color="auto"/>
              <w:right w:val="nil"/>
            </w:tcBorders>
            <w:shd w:val="clear" w:color="auto" w:fill="auto"/>
            <w:vAlign w:val="center"/>
            <w:hideMark/>
          </w:tcPr>
          <w:p w:rsidR="00A47792" w:rsidRDefault="00A47792">
            <w:pPr>
              <w:jc w:val="center"/>
              <w:rPr>
                <w:rFonts w:ascii="Verdana" w:hAnsi="Verdana" w:cs="Calibri"/>
                <w:b/>
                <w:bCs/>
                <w:color w:val="000080"/>
                <w:sz w:val="18"/>
                <w:szCs w:val="18"/>
              </w:rPr>
            </w:pPr>
            <w:r>
              <w:rPr>
                <w:rFonts w:ascii="Verdana" w:hAnsi="Verdana" w:cs="Arial"/>
                <w:b/>
                <w:bCs/>
                <w:color w:val="000080"/>
                <w:sz w:val="18"/>
                <w:szCs w:val="18"/>
              </w:rPr>
              <w:t>En trámite al final del año</w:t>
            </w:r>
          </w:p>
        </w:tc>
      </w:tr>
      <w:tr w:rsidR="00A47792" w:rsidTr="00A47792">
        <w:trPr>
          <w:trHeight w:val="300"/>
          <w:jc w:val="center"/>
        </w:trPr>
        <w:tc>
          <w:tcPr>
            <w:tcW w:w="2740" w:type="dxa"/>
            <w:tcBorders>
              <w:top w:val="nil"/>
              <w:left w:val="nil"/>
              <w:bottom w:val="nil"/>
              <w:right w:val="nil"/>
            </w:tcBorders>
            <w:shd w:val="clear" w:color="auto" w:fill="auto"/>
            <w:vAlign w:val="center"/>
            <w:hideMark/>
          </w:tcPr>
          <w:p w:rsidR="00A47792" w:rsidRDefault="00A47792">
            <w:pPr>
              <w:jc w:val="both"/>
              <w:rPr>
                <w:rFonts w:ascii="Verdana" w:hAnsi="Verdana" w:cs="Calibri"/>
                <w:color w:val="000000"/>
                <w:sz w:val="20"/>
                <w:szCs w:val="20"/>
              </w:rPr>
            </w:pPr>
            <w:r>
              <w:rPr>
                <w:rFonts w:ascii="Verdana" w:hAnsi="Verdana" w:cs="Arial"/>
                <w:color w:val="000000"/>
                <w:sz w:val="20"/>
                <w:szCs w:val="20"/>
              </w:rPr>
              <w:t xml:space="preserve">Jdos Cont.-administrativo                               </w:t>
            </w:r>
          </w:p>
        </w:tc>
        <w:tc>
          <w:tcPr>
            <w:tcW w:w="132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120.764</w:t>
            </w:r>
          </w:p>
        </w:tc>
        <w:tc>
          <w:tcPr>
            <w:tcW w:w="120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128.796</w:t>
            </w:r>
          </w:p>
        </w:tc>
        <w:tc>
          <w:tcPr>
            <w:tcW w:w="126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94.024</w:t>
            </w:r>
          </w:p>
        </w:tc>
      </w:tr>
      <w:tr w:rsidR="00A47792" w:rsidTr="00A47792">
        <w:trPr>
          <w:trHeight w:val="510"/>
          <w:jc w:val="center"/>
        </w:trPr>
        <w:tc>
          <w:tcPr>
            <w:tcW w:w="2740" w:type="dxa"/>
            <w:tcBorders>
              <w:top w:val="nil"/>
              <w:left w:val="nil"/>
              <w:bottom w:val="nil"/>
              <w:right w:val="nil"/>
            </w:tcBorders>
            <w:shd w:val="clear" w:color="auto" w:fill="auto"/>
            <w:vAlign w:val="center"/>
            <w:hideMark/>
          </w:tcPr>
          <w:p w:rsidR="00A47792" w:rsidRDefault="00A47792">
            <w:pPr>
              <w:rPr>
                <w:rFonts w:ascii="Verdana" w:hAnsi="Verdana" w:cs="Calibri"/>
                <w:color w:val="000000"/>
                <w:sz w:val="20"/>
                <w:szCs w:val="20"/>
              </w:rPr>
            </w:pPr>
            <w:r>
              <w:rPr>
                <w:rFonts w:ascii="Verdana" w:hAnsi="Verdana" w:cs="Arial"/>
                <w:color w:val="000000"/>
                <w:sz w:val="20"/>
                <w:szCs w:val="20"/>
              </w:rPr>
              <w:t xml:space="preserve">Jdos Central Cont.-administrativo   </w:t>
            </w:r>
          </w:p>
        </w:tc>
        <w:tc>
          <w:tcPr>
            <w:tcW w:w="132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2.467</w:t>
            </w:r>
          </w:p>
        </w:tc>
        <w:tc>
          <w:tcPr>
            <w:tcW w:w="120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2.667</w:t>
            </w:r>
          </w:p>
        </w:tc>
        <w:tc>
          <w:tcPr>
            <w:tcW w:w="126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1.499</w:t>
            </w:r>
          </w:p>
        </w:tc>
      </w:tr>
      <w:tr w:rsidR="00A47792" w:rsidTr="00A47792">
        <w:trPr>
          <w:trHeight w:val="510"/>
          <w:jc w:val="center"/>
        </w:trPr>
        <w:tc>
          <w:tcPr>
            <w:tcW w:w="2740" w:type="dxa"/>
            <w:tcBorders>
              <w:top w:val="nil"/>
              <w:left w:val="nil"/>
              <w:bottom w:val="nil"/>
              <w:right w:val="nil"/>
            </w:tcBorders>
            <w:shd w:val="clear" w:color="auto" w:fill="auto"/>
            <w:vAlign w:val="center"/>
            <w:hideMark/>
          </w:tcPr>
          <w:p w:rsidR="00A47792" w:rsidRDefault="00A47792">
            <w:pPr>
              <w:jc w:val="both"/>
              <w:rPr>
                <w:rFonts w:ascii="Verdana" w:hAnsi="Verdana" w:cs="Calibri"/>
                <w:color w:val="000000"/>
                <w:sz w:val="20"/>
                <w:szCs w:val="20"/>
              </w:rPr>
            </w:pPr>
            <w:r>
              <w:rPr>
                <w:rFonts w:ascii="Verdana" w:hAnsi="Verdana" w:cs="Arial"/>
                <w:color w:val="000000"/>
                <w:sz w:val="20"/>
                <w:szCs w:val="20"/>
              </w:rPr>
              <w:t xml:space="preserve">T.S.J. Sala Cont.-administrativo  </w:t>
            </w:r>
          </w:p>
        </w:tc>
        <w:tc>
          <w:tcPr>
            <w:tcW w:w="132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55.964</w:t>
            </w:r>
          </w:p>
        </w:tc>
        <w:tc>
          <w:tcPr>
            <w:tcW w:w="120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57.670</w:t>
            </w:r>
          </w:p>
        </w:tc>
        <w:tc>
          <w:tcPr>
            <w:tcW w:w="126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66.590</w:t>
            </w:r>
          </w:p>
        </w:tc>
      </w:tr>
      <w:tr w:rsidR="00A47792" w:rsidTr="00A47792">
        <w:trPr>
          <w:trHeight w:val="510"/>
          <w:jc w:val="center"/>
        </w:trPr>
        <w:tc>
          <w:tcPr>
            <w:tcW w:w="2740" w:type="dxa"/>
            <w:tcBorders>
              <w:top w:val="nil"/>
              <w:left w:val="nil"/>
              <w:bottom w:val="nil"/>
              <w:right w:val="nil"/>
            </w:tcBorders>
            <w:shd w:val="clear" w:color="auto" w:fill="auto"/>
            <w:vAlign w:val="center"/>
            <w:hideMark/>
          </w:tcPr>
          <w:p w:rsidR="00A47792" w:rsidRDefault="00A47792">
            <w:pPr>
              <w:jc w:val="both"/>
              <w:rPr>
                <w:rFonts w:ascii="Verdana" w:hAnsi="Verdana" w:cs="Calibri"/>
                <w:color w:val="000000"/>
                <w:sz w:val="20"/>
                <w:szCs w:val="20"/>
              </w:rPr>
            </w:pPr>
            <w:r>
              <w:rPr>
                <w:rFonts w:ascii="Verdana" w:hAnsi="Verdana" w:cs="Arial"/>
                <w:color w:val="000000"/>
                <w:sz w:val="20"/>
                <w:szCs w:val="20"/>
              </w:rPr>
              <w:t xml:space="preserve">A.N. Sala Cont.-administrativo    </w:t>
            </w:r>
          </w:p>
        </w:tc>
        <w:tc>
          <w:tcPr>
            <w:tcW w:w="132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7.823</w:t>
            </w:r>
          </w:p>
        </w:tc>
        <w:tc>
          <w:tcPr>
            <w:tcW w:w="120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7.121</w:t>
            </w:r>
          </w:p>
        </w:tc>
        <w:tc>
          <w:tcPr>
            <w:tcW w:w="126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11.232</w:t>
            </w:r>
          </w:p>
        </w:tc>
      </w:tr>
      <w:tr w:rsidR="00A47792" w:rsidTr="00A47792">
        <w:trPr>
          <w:trHeight w:val="315"/>
          <w:jc w:val="center"/>
        </w:trPr>
        <w:tc>
          <w:tcPr>
            <w:tcW w:w="2740" w:type="dxa"/>
            <w:tcBorders>
              <w:top w:val="nil"/>
              <w:left w:val="nil"/>
              <w:bottom w:val="nil"/>
              <w:right w:val="nil"/>
            </w:tcBorders>
            <w:shd w:val="clear" w:color="auto" w:fill="auto"/>
            <w:vAlign w:val="center"/>
            <w:hideMark/>
          </w:tcPr>
          <w:p w:rsidR="00A47792" w:rsidRDefault="00A47792">
            <w:pPr>
              <w:jc w:val="both"/>
              <w:rPr>
                <w:rFonts w:ascii="Verdana" w:hAnsi="Verdana" w:cs="Calibri"/>
                <w:color w:val="000000"/>
                <w:sz w:val="20"/>
                <w:szCs w:val="20"/>
              </w:rPr>
            </w:pPr>
            <w:r>
              <w:rPr>
                <w:rFonts w:ascii="Verdana" w:hAnsi="Verdana" w:cs="Arial"/>
                <w:color w:val="000000"/>
                <w:sz w:val="20"/>
                <w:szCs w:val="20"/>
              </w:rPr>
              <w:t xml:space="preserve">Tribunal Supremo: Sala 3ª </w:t>
            </w:r>
          </w:p>
        </w:tc>
        <w:tc>
          <w:tcPr>
            <w:tcW w:w="132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8.890</w:t>
            </w:r>
          </w:p>
        </w:tc>
        <w:tc>
          <w:tcPr>
            <w:tcW w:w="120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9.142</w:t>
            </w:r>
          </w:p>
        </w:tc>
        <w:tc>
          <w:tcPr>
            <w:tcW w:w="1260" w:type="dxa"/>
            <w:tcBorders>
              <w:top w:val="nil"/>
              <w:left w:val="nil"/>
              <w:bottom w:val="nil"/>
              <w:right w:val="nil"/>
            </w:tcBorders>
            <w:shd w:val="clear" w:color="auto" w:fill="auto"/>
            <w:vAlign w:val="center"/>
            <w:hideMark/>
          </w:tcPr>
          <w:p w:rsidR="00A47792" w:rsidRDefault="00A47792">
            <w:pPr>
              <w:jc w:val="right"/>
              <w:rPr>
                <w:rFonts w:ascii="Verdana" w:hAnsi="Verdana" w:cs="Calibri"/>
                <w:color w:val="000000"/>
                <w:sz w:val="20"/>
                <w:szCs w:val="20"/>
              </w:rPr>
            </w:pPr>
            <w:r>
              <w:rPr>
                <w:rFonts w:ascii="Verdana" w:hAnsi="Verdana" w:cs="Calibri"/>
                <w:color w:val="000000"/>
                <w:sz w:val="20"/>
                <w:szCs w:val="20"/>
              </w:rPr>
              <w:t>12.905</w:t>
            </w:r>
          </w:p>
        </w:tc>
      </w:tr>
      <w:tr w:rsidR="00A47792" w:rsidTr="00A47792">
        <w:trPr>
          <w:trHeight w:val="315"/>
          <w:jc w:val="center"/>
        </w:trPr>
        <w:tc>
          <w:tcPr>
            <w:tcW w:w="2740" w:type="dxa"/>
            <w:tcBorders>
              <w:top w:val="single" w:sz="8" w:space="0" w:color="auto"/>
              <w:left w:val="nil"/>
              <w:bottom w:val="single" w:sz="8" w:space="0" w:color="auto"/>
              <w:right w:val="nil"/>
            </w:tcBorders>
            <w:shd w:val="clear" w:color="auto" w:fill="auto"/>
            <w:vAlign w:val="center"/>
            <w:hideMark/>
          </w:tcPr>
          <w:p w:rsidR="00A47792" w:rsidRDefault="00A47792">
            <w:pPr>
              <w:rPr>
                <w:rFonts w:ascii="Verdana" w:hAnsi="Verdana" w:cs="Calibri"/>
                <w:b/>
                <w:bCs/>
                <w:color w:val="000080"/>
                <w:sz w:val="20"/>
                <w:szCs w:val="20"/>
              </w:rPr>
            </w:pPr>
            <w:r>
              <w:rPr>
                <w:rFonts w:ascii="Verdana" w:hAnsi="Verdana" w:cs="Arial"/>
                <w:b/>
                <w:bCs/>
                <w:color w:val="000080"/>
                <w:sz w:val="20"/>
                <w:szCs w:val="20"/>
              </w:rPr>
              <w:t>TOTAL</w:t>
            </w:r>
          </w:p>
        </w:tc>
        <w:tc>
          <w:tcPr>
            <w:tcW w:w="1320" w:type="dxa"/>
            <w:tcBorders>
              <w:top w:val="single" w:sz="8" w:space="0" w:color="auto"/>
              <w:left w:val="nil"/>
              <w:bottom w:val="single" w:sz="8" w:space="0" w:color="auto"/>
              <w:right w:val="nil"/>
            </w:tcBorders>
            <w:shd w:val="clear" w:color="auto" w:fill="auto"/>
            <w:vAlign w:val="center"/>
            <w:hideMark/>
          </w:tcPr>
          <w:p w:rsidR="00A47792" w:rsidRDefault="00A47792">
            <w:pPr>
              <w:jc w:val="right"/>
              <w:rPr>
                <w:rFonts w:ascii="Verdana" w:hAnsi="Verdana" w:cs="Calibri"/>
                <w:b/>
                <w:bCs/>
                <w:color w:val="000000"/>
                <w:sz w:val="20"/>
                <w:szCs w:val="20"/>
              </w:rPr>
            </w:pPr>
            <w:r>
              <w:rPr>
                <w:rFonts w:ascii="Verdana" w:hAnsi="Verdana" w:cs="Calibri"/>
                <w:b/>
                <w:bCs/>
                <w:color w:val="000000"/>
                <w:sz w:val="20"/>
                <w:szCs w:val="20"/>
              </w:rPr>
              <w:t>195.908</w:t>
            </w:r>
          </w:p>
        </w:tc>
        <w:tc>
          <w:tcPr>
            <w:tcW w:w="1200" w:type="dxa"/>
            <w:tcBorders>
              <w:top w:val="single" w:sz="8" w:space="0" w:color="auto"/>
              <w:left w:val="nil"/>
              <w:bottom w:val="single" w:sz="8" w:space="0" w:color="auto"/>
              <w:right w:val="nil"/>
            </w:tcBorders>
            <w:shd w:val="clear" w:color="auto" w:fill="auto"/>
            <w:vAlign w:val="center"/>
            <w:hideMark/>
          </w:tcPr>
          <w:p w:rsidR="00A47792" w:rsidRDefault="00A47792">
            <w:pPr>
              <w:jc w:val="right"/>
              <w:rPr>
                <w:rFonts w:ascii="Verdana" w:hAnsi="Verdana" w:cs="Calibri"/>
                <w:b/>
                <w:bCs/>
                <w:color w:val="000000"/>
                <w:sz w:val="20"/>
                <w:szCs w:val="20"/>
              </w:rPr>
            </w:pPr>
            <w:r>
              <w:rPr>
                <w:rFonts w:ascii="Verdana" w:hAnsi="Verdana" w:cs="Calibri"/>
                <w:b/>
                <w:bCs/>
                <w:color w:val="000000"/>
                <w:sz w:val="20"/>
                <w:szCs w:val="20"/>
              </w:rPr>
              <w:t>205.396</w:t>
            </w:r>
          </w:p>
        </w:tc>
        <w:tc>
          <w:tcPr>
            <w:tcW w:w="1260" w:type="dxa"/>
            <w:tcBorders>
              <w:top w:val="single" w:sz="8" w:space="0" w:color="auto"/>
              <w:left w:val="nil"/>
              <w:bottom w:val="single" w:sz="8" w:space="0" w:color="auto"/>
              <w:right w:val="nil"/>
            </w:tcBorders>
            <w:shd w:val="clear" w:color="auto" w:fill="auto"/>
            <w:vAlign w:val="center"/>
            <w:hideMark/>
          </w:tcPr>
          <w:p w:rsidR="00A47792" w:rsidRDefault="00A47792">
            <w:pPr>
              <w:jc w:val="right"/>
              <w:rPr>
                <w:rFonts w:ascii="Verdana" w:hAnsi="Verdana" w:cs="Calibri"/>
                <w:b/>
                <w:bCs/>
                <w:color w:val="000000"/>
                <w:sz w:val="20"/>
                <w:szCs w:val="20"/>
              </w:rPr>
            </w:pPr>
            <w:r>
              <w:rPr>
                <w:rFonts w:ascii="Verdana" w:hAnsi="Verdana" w:cs="Calibri"/>
                <w:b/>
                <w:bCs/>
                <w:color w:val="000000"/>
                <w:sz w:val="20"/>
                <w:szCs w:val="20"/>
              </w:rPr>
              <w:t>186.250</w:t>
            </w:r>
          </w:p>
        </w:tc>
      </w:tr>
    </w:tbl>
    <w:p w:rsidR="00C852E4" w:rsidRPr="00CE214A" w:rsidRDefault="00C852E4">
      <w:pPr>
        <w:pStyle w:val="Textoindependiente"/>
        <w:spacing w:before="120" w:after="120"/>
        <w:ind w:firstLine="357"/>
        <w:rPr>
          <w:rFonts w:ascii="Verdana" w:hAnsi="Verdana"/>
          <w:sz w:val="20"/>
        </w:rPr>
      </w:pPr>
    </w:p>
    <w:p w:rsidR="00E474EE" w:rsidRDefault="00E474EE" w:rsidP="00A77318">
      <w:pPr>
        <w:pStyle w:val="Textoindependiente"/>
        <w:spacing w:before="120" w:after="120"/>
        <w:ind w:firstLine="357"/>
        <w:rPr>
          <w:rFonts w:asciiTheme="minorHAnsi" w:hAnsiTheme="minorHAnsi" w:cstheme="minorHAnsi"/>
          <w:color w:val="0070C0"/>
        </w:rPr>
      </w:pPr>
    </w:p>
    <w:p w:rsidR="005D1F9C" w:rsidRDefault="005D1F9C" w:rsidP="009779A5">
      <w:pPr>
        <w:pStyle w:val="Textoindependiente"/>
        <w:spacing w:before="120" w:after="120"/>
        <w:ind w:firstLine="357"/>
        <w:rPr>
          <w:rFonts w:ascii="Verdana" w:hAnsi="Verdana"/>
          <w:color w:val="0070C0"/>
          <w:sz w:val="20"/>
        </w:rPr>
      </w:pPr>
    </w:p>
    <w:p w:rsidR="005D1F9C" w:rsidRPr="00F16467" w:rsidRDefault="005D1F9C" w:rsidP="005D1F9C">
      <w:pPr>
        <w:pStyle w:val="Textoindependiente"/>
        <w:spacing w:before="120" w:after="120"/>
        <w:ind w:firstLine="357"/>
        <w:rPr>
          <w:rFonts w:ascii="Verdana" w:hAnsi="Verdana"/>
          <w:sz w:val="20"/>
        </w:rPr>
      </w:pPr>
      <w:r w:rsidRPr="00F16467">
        <w:rPr>
          <w:rFonts w:ascii="Verdana" w:hAnsi="Verdana"/>
          <w:sz w:val="20"/>
        </w:rPr>
        <w:t xml:space="preserve">La evolución, respecto a 2016 del movimiento de asuntos en estos órganos judiciales: </w:t>
      </w:r>
    </w:p>
    <w:p w:rsidR="005D1F9C" w:rsidRPr="00F16467" w:rsidRDefault="005D1F9C" w:rsidP="009779A5">
      <w:pPr>
        <w:pStyle w:val="Textoindependiente"/>
        <w:spacing w:before="120" w:after="120"/>
        <w:ind w:firstLine="357"/>
        <w:rPr>
          <w:rFonts w:ascii="Verdana" w:hAnsi="Verdana"/>
          <w:color w:val="0070C0"/>
          <w:sz w:val="20"/>
        </w:rPr>
      </w:pPr>
    </w:p>
    <w:p w:rsidR="005D1F9C" w:rsidRPr="00F16467" w:rsidRDefault="005D1F9C" w:rsidP="009779A5">
      <w:pPr>
        <w:pStyle w:val="Textoindependiente"/>
        <w:spacing w:before="120" w:after="120"/>
        <w:ind w:firstLine="357"/>
        <w:rPr>
          <w:rFonts w:ascii="Verdana" w:hAnsi="Verdana"/>
          <w:color w:val="0070C0"/>
          <w:sz w:val="20"/>
        </w:rPr>
      </w:pPr>
    </w:p>
    <w:tbl>
      <w:tblPr>
        <w:tblW w:w="7440" w:type="dxa"/>
        <w:jc w:val="center"/>
        <w:tblInd w:w="55" w:type="dxa"/>
        <w:tblCellMar>
          <w:left w:w="70" w:type="dxa"/>
          <w:right w:w="70" w:type="dxa"/>
        </w:tblCellMar>
        <w:tblLook w:val="04A0" w:firstRow="1" w:lastRow="0" w:firstColumn="1" w:lastColumn="0" w:noHBand="0" w:noVBand="1"/>
      </w:tblPr>
      <w:tblGrid>
        <w:gridCol w:w="3292"/>
        <w:gridCol w:w="1448"/>
        <w:gridCol w:w="1317"/>
        <w:gridCol w:w="1383"/>
      </w:tblGrid>
      <w:tr w:rsidR="000E2AF8" w:rsidRPr="00F16467" w:rsidTr="003621EA">
        <w:trPr>
          <w:trHeight w:val="693"/>
          <w:jc w:val="center"/>
        </w:trPr>
        <w:tc>
          <w:tcPr>
            <w:tcW w:w="3292" w:type="dxa"/>
            <w:tcBorders>
              <w:top w:val="nil"/>
              <w:left w:val="nil"/>
              <w:bottom w:val="nil"/>
              <w:right w:val="nil"/>
            </w:tcBorders>
            <w:shd w:val="clear" w:color="auto" w:fill="auto"/>
            <w:noWrap/>
            <w:vAlign w:val="bottom"/>
            <w:hideMark/>
          </w:tcPr>
          <w:p w:rsidR="000E2AF8" w:rsidRPr="00F16467" w:rsidRDefault="000E2AF8">
            <w:pPr>
              <w:rPr>
                <w:rFonts w:ascii="Calibri" w:hAnsi="Calibri" w:cs="Calibri"/>
                <w:color w:val="000000"/>
                <w:sz w:val="22"/>
                <w:szCs w:val="22"/>
              </w:rPr>
            </w:pPr>
          </w:p>
        </w:tc>
        <w:tc>
          <w:tcPr>
            <w:tcW w:w="1448"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center"/>
              <w:rPr>
                <w:rFonts w:ascii="Verdana" w:hAnsi="Verdana" w:cs="Calibri"/>
                <w:b/>
                <w:bCs/>
                <w:color w:val="000080"/>
                <w:sz w:val="18"/>
                <w:szCs w:val="18"/>
              </w:rPr>
            </w:pPr>
            <w:r w:rsidRPr="00F16467">
              <w:rPr>
                <w:rFonts w:ascii="Verdana" w:hAnsi="Verdana" w:cs="Arial"/>
                <w:b/>
                <w:bCs/>
                <w:color w:val="000080"/>
                <w:sz w:val="18"/>
                <w:szCs w:val="18"/>
              </w:rPr>
              <w:t xml:space="preserve">Ingresados </w:t>
            </w:r>
          </w:p>
        </w:tc>
        <w:tc>
          <w:tcPr>
            <w:tcW w:w="1317"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center"/>
              <w:rPr>
                <w:rFonts w:ascii="Verdana" w:hAnsi="Verdana" w:cs="Calibri"/>
                <w:b/>
                <w:bCs/>
                <w:color w:val="000080"/>
                <w:sz w:val="18"/>
                <w:szCs w:val="18"/>
              </w:rPr>
            </w:pPr>
            <w:r w:rsidRPr="00F16467">
              <w:rPr>
                <w:rFonts w:ascii="Verdana" w:hAnsi="Verdana" w:cs="Arial"/>
                <w:b/>
                <w:bCs/>
                <w:color w:val="000080"/>
                <w:sz w:val="18"/>
                <w:szCs w:val="18"/>
              </w:rPr>
              <w:t>Resueltos</w:t>
            </w:r>
          </w:p>
        </w:tc>
        <w:tc>
          <w:tcPr>
            <w:tcW w:w="1383"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center"/>
              <w:rPr>
                <w:rFonts w:ascii="Verdana" w:hAnsi="Verdana" w:cs="Calibri"/>
                <w:b/>
                <w:bCs/>
                <w:color w:val="000080"/>
                <w:sz w:val="18"/>
                <w:szCs w:val="18"/>
              </w:rPr>
            </w:pPr>
            <w:r w:rsidRPr="00F16467">
              <w:rPr>
                <w:rFonts w:ascii="Verdana" w:hAnsi="Verdana" w:cs="Arial"/>
                <w:b/>
                <w:bCs/>
                <w:color w:val="000080"/>
                <w:sz w:val="18"/>
                <w:szCs w:val="18"/>
              </w:rPr>
              <w:t>En trámite al final del año</w:t>
            </w:r>
          </w:p>
        </w:tc>
      </w:tr>
      <w:tr w:rsidR="000E2AF8" w:rsidRPr="00F16467" w:rsidTr="003621EA">
        <w:trPr>
          <w:trHeight w:val="301"/>
          <w:jc w:val="center"/>
        </w:trPr>
        <w:tc>
          <w:tcPr>
            <w:tcW w:w="3292" w:type="dxa"/>
            <w:tcBorders>
              <w:top w:val="single" w:sz="8" w:space="0" w:color="auto"/>
              <w:left w:val="nil"/>
              <w:bottom w:val="nil"/>
              <w:right w:val="nil"/>
            </w:tcBorders>
            <w:shd w:val="clear" w:color="auto" w:fill="auto"/>
            <w:vAlign w:val="center"/>
            <w:hideMark/>
          </w:tcPr>
          <w:p w:rsidR="000E2AF8" w:rsidRPr="00F16467" w:rsidRDefault="000E2AF8">
            <w:pPr>
              <w:jc w:val="both"/>
              <w:rPr>
                <w:rFonts w:ascii="Verdana" w:hAnsi="Verdana" w:cs="Calibri"/>
                <w:color w:val="000000"/>
                <w:sz w:val="20"/>
                <w:szCs w:val="20"/>
              </w:rPr>
            </w:pPr>
            <w:r w:rsidRPr="00F16467">
              <w:rPr>
                <w:rFonts w:ascii="Verdana" w:hAnsi="Verdana" w:cs="Arial"/>
                <w:color w:val="000000"/>
                <w:sz w:val="20"/>
                <w:szCs w:val="20"/>
              </w:rPr>
              <w:t xml:space="preserve">Jdos Cont.-administrativo                               </w:t>
            </w:r>
          </w:p>
        </w:tc>
        <w:tc>
          <w:tcPr>
            <w:tcW w:w="1448"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0,3%</w:t>
            </w:r>
          </w:p>
        </w:tc>
        <w:tc>
          <w:tcPr>
            <w:tcW w:w="1317"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-6,7%</w:t>
            </w:r>
          </w:p>
        </w:tc>
        <w:tc>
          <w:tcPr>
            <w:tcW w:w="1383"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-4,7%</w:t>
            </w:r>
          </w:p>
        </w:tc>
      </w:tr>
      <w:tr w:rsidR="000E2AF8" w:rsidRPr="00F16467" w:rsidTr="003621EA">
        <w:trPr>
          <w:trHeight w:val="512"/>
          <w:jc w:val="center"/>
        </w:trPr>
        <w:tc>
          <w:tcPr>
            <w:tcW w:w="3292" w:type="dxa"/>
            <w:tcBorders>
              <w:top w:val="nil"/>
              <w:left w:val="nil"/>
              <w:bottom w:val="nil"/>
              <w:right w:val="nil"/>
            </w:tcBorders>
            <w:shd w:val="clear" w:color="auto" w:fill="auto"/>
            <w:vAlign w:val="center"/>
            <w:hideMark/>
          </w:tcPr>
          <w:p w:rsidR="000E2AF8" w:rsidRPr="00F16467" w:rsidRDefault="000E2AF8">
            <w:pPr>
              <w:rPr>
                <w:rFonts w:ascii="Verdana" w:hAnsi="Verdana" w:cs="Calibri"/>
                <w:color w:val="000000"/>
                <w:sz w:val="20"/>
                <w:szCs w:val="20"/>
              </w:rPr>
            </w:pPr>
            <w:r w:rsidRPr="00F16467">
              <w:rPr>
                <w:rFonts w:ascii="Verdana" w:hAnsi="Verdana" w:cs="Arial"/>
                <w:color w:val="000000"/>
                <w:sz w:val="20"/>
                <w:szCs w:val="20"/>
              </w:rPr>
              <w:t xml:space="preserve">Jdos Central Cont. Administrativo  </w:t>
            </w:r>
          </w:p>
        </w:tc>
        <w:tc>
          <w:tcPr>
            <w:tcW w:w="1448"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-16,6%</w:t>
            </w:r>
          </w:p>
        </w:tc>
        <w:tc>
          <w:tcPr>
            <w:tcW w:w="1317"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-17,7%</w:t>
            </w:r>
          </w:p>
        </w:tc>
        <w:tc>
          <w:tcPr>
            <w:tcW w:w="1383"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-7,4%</w:t>
            </w:r>
          </w:p>
        </w:tc>
      </w:tr>
      <w:tr w:rsidR="000E2AF8" w:rsidRPr="00F16467" w:rsidTr="003621EA">
        <w:trPr>
          <w:trHeight w:val="512"/>
          <w:jc w:val="center"/>
        </w:trPr>
        <w:tc>
          <w:tcPr>
            <w:tcW w:w="3292" w:type="dxa"/>
            <w:tcBorders>
              <w:top w:val="nil"/>
              <w:left w:val="nil"/>
              <w:bottom w:val="nil"/>
              <w:right w:val="nil"/>
            </w:tcBorders>
            <w:shd w:val="clear" w:color="auto" w:fill="auto"/>
            <w:vAlign w:val="center"/>
            <w:hideMark/>
          </w:tcPr>
          <w:p w:rsidR="000E2AF8" w:rsidRPr="00F16467" w:rsidRDefault="000E2AF8">
            <w:pPr>
              <w:jc w:val="both"/>
              <w:rPr>
                <w:rFonts w:ascii="Verdana" w:hAnsi="Verdana" w:cs="Calibri"/>
                <w:color w:val="000000"/>
                <w:sz w:val="20"/>
                <w:szCs w:val="20"/>
              </w:rPr>
            </w:pPr>
            <w:r w:rsidRPr="00F16467">
              <w:rPr>
                <w:rFonts w:ascii="Verdana" w:hAnsi="Verdana" w:cs="Arial"/>
                <w:color w:val="000000"/>
                <w:sz w:val="20"/>
                <w:szCs w:val="20"/>
              </w:rPr>
              <w:t xml:space="preserve">T.S.J. Sala Cont.administrat.  </w:t>
            </w:r>
          </w:p>
        </w:tc>
        <w:tc>
          <w:tcPr>
            <w:tcW w:w="1448"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0,4%</w:t>
            </w:r>
          </w:p>
        </w:tc>
        <w:tc>
          <w:tcPr>
            <w:tcW w:w="1317"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-3,3%</w:t>
            </w:r>
          </w:p>
        </w:tc>
        <w:tc>
          <w:tcPr>
            <w:tcW w:w="1383"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-1,8%</w:t>
            </w:r>
          </w:p>
        </w:tc>
      </w:tr>
      <w:tr w:rsidR="000E2AF8" w:rsidRPr="00F16467" w:rsidTr="003621EA">
        <w:trPr>
          <w:trHeight w:val="512"/>
          <w:jc w:val="center"/>
        </w:trPr>
        <w:tc>
          <w:tcPr>
            <w:tcW w:w="3292" w:type="dxa"/>
            <w:tcBorders>
              <w:top w:val="nil"/>
              <w:left w:val="nil"/>
              <w:bottom w:val="nil"/>
              <w:right w:val="nil"/>
            </w:tcBorders>
            <w:shd w:val="clear" w:color="auto" w:fill="auto"/>
            <w:vAlign w:val="center"/>
            <w:hideMark/>
          </w:tcPr>
          <w:p w:rsidR="000E2AF8" w:rsidRPr="00F16467" w:rsidRDefault="000E2AF8">
            <w:pPr>
              <w:jc w:val="both"/>
              <w:rPr>
                <w:rFonts w:ascii="Verdana" w:hAnsi="Verdana" w:cs="Calibri"/>
                <w:color w:val="000000"/>
                <w:sz w:val="20"/>
                <w:szCs w:val="20"/>
              </w:rPr>
            </w:pPr>
            <w:r w:rsidRPr="00F16467">
              <w:rPr>
                <w:rFonts w:ascii="Verdana" w:hAnsi="Verdana" w:cs="Arial"/>
                <w:color w:val="000000"/>
                <w:sz w:val="20"/>
                <w:szCs w:val="20"/>
              </w:rPr>
              <w:t xml:space="preserve">A.N. Sala Cont.-administrativo    </w:t>
            </w:r>
          </w:p>
        </w:tc>
        <w:tc>
          <w:tcPr>
            <w:tcW w:w="1448"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3,6%</w:t>
            </w:r>
          </w:p>
        </w:tc>
        <w:tc>
          <w:tcPr>
            <w:tcW w:w="1317"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-5,0%</w:t>
            </w:r>
          </w:p>
        </w:tc>
        <w:tc>
          <w:tcPr>
            <w:tcW w:w="1383"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5,5%</w:t>
            </w:r>
          </w:p>
        </w:tc>
      </w:tr>
      <w:tr w:rsidR="000E2AF8" w:rsidRPr="00F16467" w:rsidTr="003621EA">
        <w:trPr>
          <w:trHeight w:val="316"/>
          <w:jc w:val="center"/>
        </w:trPr>
        <w:tc>
          <w:tcPr>
            <w:tcW w:w="3292" w:type="dxa"/>
            <w:tcBorders>
              <w:top w:val="nil"/>
              <w:left w:val="nil"/>
              <w:bottom w:val="nil"/>
              <w:right w:val="nil"/>
            </w:tcBorders>
            <w:shd w:val="clear" w:color="auto" w:fill="auto"/>
            <w:vAlign w:val="center"/>
            <w:hideMark/>
          </w:tcPr>
          <w:p w:rsidR="000E2AF8" w:rsidRPr="00F16467" w:rsidRDefault="000E2AF8">
            <w:pPr>
              <w:jc w:val="both"/>
              <w:rPr>
                <w:rFonts w:ascii="Verdana" w:hAnsi="Verdana" w:cs="Calibri"/>
                <w:color w:val="000000"/>
                <w:sz w:val="20"/>
                <w:szCs w:val="20"/>
              </w:rPr>
            </w:pPr>
            <w:r w:rsidRPr="00F16467">
              <w:rPr>
                <w:rFonts w:ascii="Verdana" w:hAnsi="Verdana" w:cs="Arial"/>
                <w:color w:val="000000"/>
                <w:sz w:val="20"/>
                <w:szCs w:val="20"/>
              </w:rPr>
              <w:t xml:space="preserve">Tribunal Supremo: Sala 3ª </w:t>
            </w:r>
          </w:p>
        </w:tc>
        <w:tc>
          <w:tcPr>
            <w:tcW w:w="1448"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-7,2%</w:t>
            </w:r>
          </w:p>
        </w:tc>
        <w:tc>
          <w:tcPr>
            <w:tcW w:w="1317"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73,5%</w:t>
            </w:r>
          </w:p>
        </w:tc>
        <w:tc>
          <w:tcPr>
            <w:tcW w:w="1383" w:type="dxa"/>
            <w:tcBorders>
              <w:top w:val="nil"/>
              <w:left w:val="nil"/>
              <w:bottom w:val="nil"/>
              <w:right w:val="nil"/>
            </w:tcBorders>
            <w:shd w:val="clear" w:color="auto" w:fill="auto"/>
            <w:noWrap/>
            <w:vAlign w:val="center"/>
            <w:hideMark/>
          </w:tcPr>
          <w:p w:rsidR="000E2AF8" w:rsidRPr="00F16467" w:rsidRDefault="000E2AF8">
            <w:pPr>
              <w:jc w:val="right"/>
              <w:rPr>
                <w:rFonts w:ascii="Calibri" w:hAnsi="Calibri" w:cs="Calibri"/>
                <w:color w:val="000000"/>
                <w:sz w:val="22"/>
                <w:szCs w:val="22"/>
              </w:rPr>
            </w:pPr>
            <w:r w:rsidRPr="00F16467">
              <w:rPr>
                <w:rFonts w:ascii="Calibri" w:hAnsi="Calibri" w:cs="Calibri"/>
                <w:color w:val="000000"/>
                <w:sz w:val="22"/>
                <w:szCs w:val="22"/>
              </w:rPr>
              <w:t>-1,7%</w:t>
            </w:r>
          </w:p>
        </w:tc>
      </w:tr>
      <w:tr w:rsidR="000E2AF8" w:rsidRPr="00F16467" w:rsidTr="003621EA">
        <w:trPr>
          <w:trHeight w:val="316"/>
          <w:jc w:val="center"/>
        </w:trPr>
        <w:tc>
          <w:tcPr>
            <w:tcW w:w="3292" w:type="dxa"/>
            <w:tcBorders>
              <w:top w:val="single" w:sz="8" w:space="0" w:color="auto"/>
              <w:left w:val="nil"/>
              <w:bottom w:val="single" w:sz="8" w:space="0" w:color="auto"/>
              <w:right w:val="nil"/>
            </w:tcBorders>
            <w:shd w:val="clear" w:color="auto" w:fill="auto"/>
            <w:vAlign w:val="center"/>
            <w:hideMark/>
          </w:tcPr>
          <w:p w:rsidR="000E2AF8" w:rsidRPr="00F16467" w:rsidRDefault="000E2AF8">
            <w:pPr>
              <w:rPr>
                <w:rFonts w:ascii="Verdana" w:hAnsi="Verdana" w:cs="Calibri"/>
                <w:b/>
                <w:bCs/>
                <w:color w:val="000080"/>
                <w:sz w:val="20"/>
                <w:szCs w:val="20"/>
              </w:rPr>
            </w:pPr>
            <w:r w:rsidRPr="00F16467">
              <w:rPr>
                <w:rFonts w:ascii="Verdana" w:hAnsi="Verdana" w:cs="Arial"/>
                <w:b/>
                <w:bCs/>
                <w:color w:val="000080"/>
                <w:sz w:val="20"/>
                <w:szCs w:val="20"/>
              </w:rPr>
              <w:t>TOTAL</w:t>
            </w:r>
          </w:p>
        </w:tc>
        <w:tc>
          <w:tcPr>
            <w:tcW w:w="1448"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right"/>
              <w:rPr>
                <w:rFonts w:ascii="Verdana" w:hAnsi="Verdana" w:cs="Calibri"/>
                <w:b/>
                <w:bCs/>
                <w:color w:val="000080"/>
                <w:sz w:val="20"/>
                <w:szCs w:val="20"/>
              </w:rPr>
            </w:pPr>
            <w:r w:rsidRPr="00F16467">
              <w:rPr>
                <w:rFonts w:ascii="Verdana" w:hAnsi="Verdana" w:cs="Calibri"/>
                <w:b/>
                <w:bCs/>
                <w:color w:val="000080"/>
                <w:sz w:val="20"/>
                <w:szCs w:val="20"/>
              </w:rPr>
              <w:t>-0,1%</w:t>
            </w:r>
          </w:p>
        </w:tc>
        <w:tc>
          <w:tcPr>
            <w:tcW w:w="1317"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right"/>
              <w:rPr>
                <w:rFonts w:ascii="Verdana" w:hAnsi="Verdana" w:cs="Calibri"/>
                <w:b/>
                <w:bCs/>
                <w:color w:val="000080"/>
                <w:sz w:val="20"/>
                <w:szCs w:val="20"/>
              </w:rPr>
            </w:pPr>
            <w:r w:rsidRPr="00F16467">
              <w:rPr>
                <w:rFonts w:ascii="Verdana" w:hAnsi="Verdana" w:cs="Calibri"/>
                <w:b/>
                <w:bCs/>
                <w:color w:val="000080"/>
                <w:sz w:val="20"/>
                <w:szCs w:val="20"/>
              </w:rPr>
              <w:t>-3,9%</w:t>
            </w:r>
          </w:p>
        </w:tc>
        <w:tc>
          <w:tcPr>
            <w:tcW w:w="1383" w:type="dxa"/>
            <w:tcBorders>
              <w:top w:val="single" w:sz="8" w:space="0" w:color="auto"/>
              <w:left w:val="nil"/>
              <w:bottom w:val="single" w:sz="8" w:space="0" w:color="auto"/>
              <w:right w:val="nil"/>
            </w:tcBorders>
            <w:shd w:val="clear" w:color="auto" w:fill="auto"/>
            <w:vAlign w:val="center"/>
            <w:hideMark/>
          </w:tcPr>
          <w:p w:rsidR="000E2AF8" w:rsidRPr="00F16467" w:rsidRDefault="000E2AF8">
            <w:pPr>
              <w:jc w:val="right"/>
              <w:rPr>
                <w:rFonts w:ascii="Verdana" w:hAnsi="Verdana" w:cs="Calibri"/>
                <w:b/>
                <w:bCs/>
                <w:color w:val="000080"/>
                <w:sz w:val="20"/>
                <w:szCs w:val="20"/>
              </w:rPr>
            </w:pPr>
            <w:r w:rsidRPr="00F16467">
              <w:rPr>
                <w:rFonts w:ascii="Verdana" w:hAnsi="Verdana" w:cs="Calibri"/>
                <w:b/>
                <w:bCs/>
                <w:color w:val="000080"/>
                <w:sz w:val="20"/>
                <w:szCs w:val="20"/>
              </w:rPr>
              <w:t>-2,9%</w:t>
            </w:r>
          </w:p>
        </w:tc>
      </w:tr>
    </w:tbl>
    <w:p w:rsidR="00517245" w:rsidRPr="00F16467" w:rsidRDefault="00517245">
      <w:pPr>
        <w:pStyle w:val="Textoindependiente"/>
        <w:spacing w:before="120" w:after="120"/>
        <w:ind w:firstLine="357"/>
        <w:rPr>
          <w:rFonts w:ascii="Verdana" w:hAnsi="Verdana"/>
          <w:sz w:val="20"/>
        </w:rPr>
      </w:pPr>
    </w:p>
    <w:p w:rsidR="0005249F" w:rsidRPr="00F16467" w:rsidRDefault="0005249F" w:rsidP="0005249F">
      <w:pPr>
        <w:pStyle w:val="Textoindependiente"/>
        <w:spacing w:before="120" w:after="120"/>
        <w:ind w:firstLine="357"/>
        <w:rPr>
          <w:rFonts w:ascii="Verdana" w:hAnsi="Verdana"/>
          <w:sz w:val="20"/>
        </w:rPr>
      </w:pPr>
      <w:r w:rsidRPr="00F16467">
        <w:rPr>
          <w:rFonts w:ascii="Verdana" w:hAnsi="Verdana"/>
          <w:sz w:val="20"/>
        </w:rPr>
        <w:t xml:space="preserve">Los asuntos de única instancia ingresados en los juzgados de lo contencioso-administrativo han aumentado ligeramente (0,3%,) aunque el incremento es muy </w:t>
      </w:r>
      <w:r w:rsidR="00750DCB" w:rsidRPr="00F16467">
        <w:rPr>
          <w:rFonts w:ascii="Verdana" w:hAnsi="Verdana"/>
          <w:sz w:val="20"/>
        </w:rPr>
        <w:t>superior</w:t>
      </w:r>
      <w:r w:rsidRPr="00F16467">
        <w:rPr>
          <w:rFonts w:ascii="Verdana" w:hAnsi="Verdana"/>
          <w:sz w:val="20"/>
        </w:rPr>
        <w:t xml:space="preserve"> en algunas comunidades autónomas: 127,7% en País Vasco, 34,4% en la Comunidad Valenciana y 30,8% en La Rioja. Por materias, el aumento mayor ha tenido lugar en  recursos contencioso-administrativos relativos a vulneración de derechos fundamentales que han aumentado un 162,9%;  los relativos a administración tributaria un 17,9%, y los de responsabilidad patrimonial un 9,8%.  El incremento en recursos por vulneración de derechos fundamentales se ha producido muy especialmente en País Vasco (6.070%), y el de recursos contencioso-administrativos en materia de administración tributaria en Asturias (188,0%), País Vasco (115,1%) y Cantabria (79,6%).</w:t>
      </w:r>
    </w:p>
    <w:p w:rsidR="0005249F" w:rsidRPr="00F16467" w:rsidRDefault="0005249F" w:rsidP="0005249F">
      <w:pPr>
        <w:pStyle w:val="Textoindependiente"/>
        <w:spacing w:before="120" w:after="120"/>
        <w:ind w:firstLine="357"/>
        <w:rPr>
          <w:rFonts w:ascii="Verdana" w:hAnsi="Verdana"/>
          <w:sz w:val="20"/>
        </w:rPr>
      </w:pPr>
      <w:r w:rsidRPr="00F16467">
        <w:rPr>
          <w:rFonts w:ascii="Verdana" w:hAnsi="Verdana"/>
          <w:sz w:val="20"/>
        </w:rPr>
        <w:t xml:space="preserve">El peso de las diferentes materias en el total de este tipo de recursos, sigue estando </w:t>
      </w:r>
      <w:r w:rsidR="00F16467" w:rsidRPr="00F16467">
        <w:rPr>
          <w:rFonts w:ascii="Verdana" w:hAnsi="Verdana"/>
          <w:sz w:val="20"/>
        </w:rPr>
        <w:t>dominado</w:t>
      </w:r>
      <w:r w:rsidRPr="00F16467">
        <w:rPr>
          <w:rFonts w:ascii="Verdana" w:hAnsi="Verdana"/>
          <w:sz w:val="20"/>
        </w:rPr>
        <w:t xml:space="preserve"> por los presentado</w:t>
      </w:r>
      <w:r w:rsidR="003621EA" w:rsidRPr="00F16467">
        <w:rPr>
          <w:rFonts w:ascii="Verdana" w:hAnsi="Verdana"/>
          <w:sz w:val="20"/>
        </w:rPr>
        <w:t>s</w:t>
      </w:r>
      <w:r w:rsidRPr="00F16467">
        <w:rPr>
          <w:rFonts w:ascii="Verdana" w:hAnsi="Verdana"/>
          <w:sz w:val="20"/>
        </w:rPr>
        <w:t xml:space="preserve"> sobre administración tributaria, 33,9%, seguidos de los de función pública, 15,8%, Responsabilidad patrimonial, 6,5</w:t>
      </w:r>
      <w:r w:rsidR="003621EA" w:rsidRPr="00F16467">
        <w:rPr>
          <w:rFonts w:ascii="Verdana" w:hAnsi="Verdana"/>
          <w:sz w:val="20"/>
        </w:rPr>
        <w:t>%</w:t>
      </w:r>
      <w:r w:rsidRPr="00F16467">
        <w:rPr>
          <w:rFonts w:ascii="Verdana" w:hAnsi="Verdana"/>
          <w:sz w:val="20"/>
        </w:rPr>
        <w:t>.   Por territorios, y en relación al mismo tipo de asuntos (recursos contencioso-administrativos en única instancia), Andalucía ha recibido el 26,5%, Madrid el 13,4%, la Comunidad Valenciana el 11,6% y País Vasco el 10,2%.</w:t>
      </w:r>
    </w:p>
    <w:p w:rsidR="0005249F" w:rsidRPr="00F16467" w:rsidRDefault="0005249F" w:rsidP="0005249F">
      <w:pPr>
        <w:pStyle w:val="Textoindependiente"/>
        <w:spacing w:before="120" w:after="120"/>
        <w:ind w:firstLine="357"/>
        <w:rPr>
          <w:rFonts w:ascii="Verdana" w:hAnsi="Verdana"/>
          <w:sz w:val="20"/>
        </w:rPr>
      </w:pPr>
      <w:r w:rsidRPr="00F16467">
        <w:rPr>
          <w:rFonts w:ascii="Verdana" w:hAnsi="Verdana"/>
          <w:sz w:val="20"/>
        </w:rPr>
        <w:t>Por comunidades autónomas, los mayores incrementos se han producido en País Vasco (122,7%), Comunidad Valenciana (34,4%) y La Rioja (30,8%), y las mayores disminuciones en Andalucía (21,9%) y Galicia (21,3%).</w:t>
      </w:r>
    </w:p>
    <w:p w:rsidR="0005249F" w:rsidRPr="00F16467" w:rsidRDefault="0005249F" w:rsidP="0005249F">
      <w:pPr>
        <w:pStyle w:val="Textoindependiente"/>
        <w:spacing w:before="120" w:after="120"/>
        <w:ind w:firstLine="357"/>
        <w:rPr>
          <w:rFonts w:ascii="Verdana" w:hAnsi="Verdana"/>
          <w:sz w:val="20"/>
        </w:rPr>
      </w:pPr>
      <w:r w:rsidRPr="00F16467">
        <w:rPr>
          <w:rFonts w:ascii="Verdana" w:hAnsi="Verdana"/>
          <w:sz w:val="20"/>
        </w:rPr>
        <w:t>Los incrementos en las comunidades autónomas indicadas se han debido principalmente a impugnaciones de liquidaciones de plusvalías municipales (administración tributaria), reclamación por parte de los funcionarios públicos de los días de vacaciones adicionales y de asuntos particulares perdidos en 2012, recurso</w:t>
      </w:r>
      <w:r w:rsidR="00F16467" w:rsidRPr="00F16467">
        <w:rPr>
          <w:rFonts w:ascii="Verdana" w:hAnsi="Verdana"/>
          <w:sz w:val="20"/>
        </w:rPr>
        <w:t>s</w:t>
      </w:r>
      <w:r w:rsidRPr="00F16467">
        <w:rPr>
          <w:rFonts w:ascii="Verdana" w:hAnsi="Verdana"/>
          <w:sz w:val="20"/>
        </w:rPr>
        <w:t xml:space="preserve"> presentados por los funcionarios </w:t>
      </w:r>
      <w:r w:rsidR="00750DCB" w:rsidRPr="00F16467">
        <w:rPr>
          <w:rFonts w:ascii="Verdana" w:hAnsi="Verdana"/>
          <w:sz w:val="20"/>
        </w:rPr>
        <w:t>interinos</w:t>
      </w:r>
      <w:r w:rsidRPr="00F16467">
        <w:rPr>
          <w:rFonts w:ascii="Verdana" w:hAnsi="Verdana"/>
          <w:sz w:val="20"/>
        </w:rPr>
        <w:t xml:space="preserve"> en casos de despido, y en el caso de País Vasco, además, los recursos presentados por los ertzainas relativos a su carrera profesional, al amparo de la STS 22/06/2015; estos recursos contencioso-administrativos se han presentado en unos casos como vulneración de derechos fundamentales, en otros como responsabilidad patrimonial, y en otros como materia de función pública.</w:t>
      </w:r>
    </w:p>
    <w:p w:rsidR="0005249F" w:rsidRPr="00F16467" w:rsidRDefault="0005249F" w:rsidP="0005249F">
      <w:pPr>
        <w:pStyle w:val="Textoindependiente"/>
        <w:spacing w:before="120" w:after="120"/>
        <w:ind w:firstLine="357"/>
        <w:rPr>
          <w:rFonts w:ascii="Verdana" w:hAnsi="Verdana"/>
          <w:sz w:val="20"/>
        </w:rPr>
      </w:pPr>
      <w:r w:rsidRPr="00F16467">
        <w:rPr>
          <w:rFonts w:ascii="Verdana" w:hAnsi="Verdana"/>
          <w:sz w:val="20"/>
        </w:rPr>
        <w:t xml:space="preserve">Por otro lado, el incremento en el ingreso de recursos contencioso-administrativos en materia de Administración tributaria obedece a la impugnación de liquidaciones de plusvalías municipales, muy especialmente, a consecuencia de la Sentencia del Pleno </w:t>
      </w:r>
      <w:r w:rsidRPr="00F16467">
        <w:rPr>
          <w:rFonts w:ascii="Verdana" w:hAnsi="Verdana"/>
          <w:sz w:val="20"/>
        </w:rPr>
        <w:lastRenderedPageBreak/>
        <w:t>del Tribunal Constitucional de 11 de mayo de 2017, que declara nulos los artículos 107.1, 107.2 a) y 110.4, todos ellos del texto refundido de la Ley Reguladora de las Haciendas Locales, aprobado por el RDLeg. 2/2004, pero únicamente en la medida que someten a tributación situaciones de inexistencia de incrementos de valor.</w:t>
      </w:r>
    </w:p>
    <w:p w:rsidR="0005249F" w:rsidRPr="00F16467" w:rsidRDefault="00750DCB" w:rsidP="003621EA">
      <w:pPr>
        <w:pStyle w:val="Textoindependiente"/>
        <w:spacing w:before="120" w:after="120"/>
        <w:ind w:firstLine="357"/>
        <w:rPr>
          <w:rFonts w:ascii="Verdana" w:hAnsi="Verdana"/>
          <w:sz w:val="20"/>
        </w:rPr>
      </w:pPr>
      <w:r w:rsidRPr="00F16467">
        <w:rPr>
          <w:rFonts w:ascii="Verdana" w:hAnsi="Verdana"/>
          <w:sz w:val="20"/>
        </w:rPr>
        <w:t xml:space="preserve">En las salas de lo contencioso-administrativo de los tribunales superiores de justicia los asuntos ingresados han aumentado un 0,4%, especialmente por el elevado número de recursos contencioso-administrativos de única instancia registrados ante la Sala de lo contencioso-administrativo de País Vasco en materia de responsabilidad patrimonial, como consecuencia de los presentados por las empresas públicas contra el gobierno vasco en relación a los efectos de la Sentencia 143/2015 del Tribunal Constitucional, de 22 de junio de 2015, que resolvió cuestión de inconstitucionalidad planteada por la Sala de lo Social del Tribunal Supremo. </w:t>
      </w:r>
    </w:p>
    <w:p w:rsidR="0005249F" w:rsidRPr="00F16467" w:rsidRDefault="0005249F" w:rsidP="003621EA">
      <w:pPr>
        <w:pStyle w:val="Textoindependiente"/>
        <w:spacing w:before="120" w:after="120"/>
        <w:ind w:firstLine="357"/>
        <w:rPr>
          <w:rFonts w:ascii="Verdana" w:hAnsi="Verdana"/>
          <w:sz w:val="20"/>
        </w:rPr>
      </w:pPr>
      <w:r w:rsidRPr="00F16467">
        <w:rPr>
          <w:rFonts w:ascii="Verdana" w:hAnsi="Verdana"/>
          <w:sz w:val="20"/>
        </w:rPr>
        <w:t>En cuanto a los recursos de apelación recibidos, han descendido un 2,0%, siendo los descensos más acusados en La Rioja (-17,1%)</w:t>
      </w:r>
      <w:r w:rsidR="00F16467" w:rsidRPr="00F16467">
        <w:rPr>
          <w:rFonts w:ascii="Verdana" w:hAnsi="Verdana"/>
          <w:sz w:val="20"/>
        </w:rPr>
        <w:t>;</w:t>
      </w:r>
      <w:r w:rsidRPr="00F16467">
        <w:rPr>
          <w:rFonts w:ascii="Verdana" w:hAnsi="Verdana"/>
          <w:sz w:val="20"/>
        </w:rPr>
        <w:t xml:space="preserve"> Cataluña (-0,4%)</w:t>
      </w:r>
      <w:r w:rsidR="00F16467" w:rsidRPr="00F16467">
        <w:rPr>
          <w:rFonts w:ascii="Verdana" w:hAnsi="Verdana"/>
          <w:sz w:val="20"/>
        </w:rPr>
        <w:t xml:space="preserve">; </w:t>
      </w:r>
      <w:r w:rsidRPr="00F16467">
        <w:rPr>
          <w:rFonts w:ascii="Verdana" w:hAnsi="Verdana"/>
          <w:sz w:val="20"/>
        </w:rPr>
        <w:t>Aragón (-10,1%)</w:t>
      </w:r>
      <w:r w:rsidR="00F16467" w:rsidRPr="00F16467">
        <w:rPr>
          <w:rFonts w:ascii="Verdana" w:hAnsi="Verdana"/>
          <w:sz w:val="20"/>
        </w:rPr>
        <w:t>;</w:t>
      </w:r>
      <w:r w:rsidRPr="00F16467">
        <w:rPr>
          <w:rFonts w:ascii="Verdana" w:hAnsi="Verdana"/>
          <w:sz w:val="20"/>
        </w:rPr>
        <w:t xml:space="preserve"> Comunidad Valenciana (-8,3%) y Galicia (-8,1%); por el contrario, han aumentado en la Región de Murcia (55,5%)</w:t>
      </w:r>
      <w:r w:rsidR="00F16467" w:rsidRPr="00F16467">
        <w:rPr>
          <w:rFonts w:ascii="Verdana" w:hAnsi="Verdana"/>
          <w:sz w:val="20"/>
        </w:rPr>
        <w:t>;</w:t>
      </w:r>
      <w:r w:rsidRPr="00F16467">
        <w:rPr>
          <w:rFonts w:ascii="Verdana" w:hAnsi="Verdana"/>
          <w:sz w:val="20"/>
        </w:rPr>
        <w:t xml:space="preserve"> Extremadura (23,5%); Illes Balears (22,7%)</w:t>
      </w:r>
      <w:r w:rsidR="00F16467" w:rsidRPr="00F16467">
        <w:rPr>
          <w:rFonts w:ascii="Verdana" w:hAnsi="Verdana"/>
          <w:sz w:val="20"/>
        </w:rPr>
        <w:t>;</w:t>
      </w:r>
      <w:r w:rsidRPr="00F16467">
        <w:rPr>
          <w:rFonts w:ascii="Verdana" w:hAnsi="Verdana"/>
          <w:sz w:val="20"/>
        </w:rPr>
        <w:t xml:space="preserve"> Asturias (15,0%) y Canarias (12,8%).</w:t>
      </w:r>
    </w:p>
    <w:p w:rsidR="00D52B6C" w:rsidRDefault="00D52B6C" w:rsidP="00521ABE">
      <w:pPr>
        <w:pStyle w:val="Textoindependiente"/>
        <w:spacing w:before="120" w:after="120"/>
        <w:ind w:firstLine="357"/>
        <w:rPr>
          <w:rFonts w:ascii="Verdana" w:hAnsi="Verdana"/>
          <w:color w:val="0070C0"/>
          <w:sz w:val="20"/>
        </w:rPr>
      </w:pPr>
    </w:p>
    <w:p w:rsidR="00D61091" w:rsidRPr="00F16467" w:rsidRDefault="004A4134" w:rsidP="003621EA">
      <w:pPr>
        <w:pStyle w:val="Textoindependiente"/>
        <w:spacing w:before="120" w:after="120"/>
        <w:ind w:firstLine="357"/>
        <w:rPr>
          <w:rFonts w:ascii="Verdana" w:hAnsi="Verdana"/>
          <w:sz w:val="20"/>
        </w:rPr>
      </w:pPr>
      <w:r w:rsidRPr="00F16467">
        <w:rPr>
          <w:rFonts w:ascii="Verdana" w:hAnsi="Verdana"/>
          <w:sz w:val="20"/>
        </w:rPr>
        <w:t>Los asuntos ingresado</w:t>
      </w:r>
      <w:r w:rsidR="00F16467" w:rsidRPr="00F16467">
        <w:rPr>
          <w:rFonts w:ascii="Verdana" w:hAnsi="Verdana"/>
          <w:sz w:val="20"/>
        </w:rPr>
        <w:t>s</w:t>
      </w:r>
      <w:r w:rsidRPr="00F16467">
        <w:rPr>
          <w:rFonts w:ascii="Verdana" w:hAnsi="Verdana"/>
          <w:sz w:val="20"/>
        </w:rPr>
        <w:t xml:space="preserve"> en la Sala Tercera del Tribunal supremo han descendido el 7,2%, descenso producido por la </w:t>
      </w:r>
      <w:r w:rsidR="009E0899" w:rsidRPr="00F16467">
        <w:rPr>
          <w:rFonts w:ascii="Verdana" w:hAnsi="Verdana"/>
          <w:sz w:val="20"/>
        </w:rPr>
        <w:t>disminución de recursos en única instancia,</w:t>
      </w:r>
      <w:r w:rsidR="00D61091" w:rsidRPr="00F16467">
        <w:rPr>
          <w:rFonts w:ascii="Verdana" w:hAnsi="Verdana"/>
          <w:sz w:val="20"/>
        </w:rPr>
        <w:t xml:space="preserve"> que han pasado de 5</w:t>
      </w:r>
      <w:r w:rsidR="003621EA" w:rsidRPr="00F16467">
        <w:rPr>
          <w:rFonts w:ascii="Verdana" w:hAnsi="Verdana"/>
          <w:sz w:val="20"/>
        </w:rPr>
        <w:t>.</w:t>
      </w:r>
      <w:r w:rsidR="00D61091" w:rsidRPr="00F16467">
        <w:rPr>
          <w:rFonts w:ascii="Verdana" w:hAnsi="Verdana"/>
          <w:sz w:val="20"/>
        </w:rPr>
        <w:t>057 a 704, al desaparecer el ingreso de</w:t>
      </w:r>
      <w:r w:rsidR="009E0899" w:rsidRPr="00F16467">
        <w:rPr>
          <w:rFonts w:ascii="Verdana" w:hAnsi="Verdana"/>
          <w:sz w:val="20"/>
        </w:rPr>
        <w:t xml:space="preserve"> los denominados “recursos del céntimo sanitario”</w:t>
      </w:r>
      <w:r w:rsidR="00D61091" w:rsidRPr="00F16467">
        <w:rPr>
          <w:rFonts w:ascii="Verdana" w:hAnsi="Verdana"/>
          <w:sz w:val="20"/>
        </w:rPr>
        <w:t>. Por el contrario, los recursos de casación han experimentado un incremento muy elevado; en este sentido, es destacable que los recursos de casación anteriores a la entrada en vigor de la disposición final 3ª de la LO 7/2015 han disminuido un 92,4%, pero el resto de recursos de casación se han incrementado un 1</w:t>
      </w:r>
      <w:r w:rsidR="003621EA" w:rsidRPr="00F16467">
        <w:rPr>
          <w:rFonts w:ascii="Verdana" w:hAnsi="Verdana"/>
          <w:sz w:val="20"/>
        </w:rPr>
        <w:t>.</w:t>
      </w:r>
      <w:r w:rsidR="00D61091" w:rsidRPr="00F16467">
        <w:rPr>
          <w:rFonts w:ascii="Verdana" w:hAnsi="Verdana"/>
          <w:sz w:val="20"/>
        </w:rPr>
        <w:t>952,9% (de 346 en 2016 a 7.103 en 2017)</w:t>
      </w:r>
    </w:p>
    <w:p w:rsidR="00521ABE" w:rsidRPr="00F16467" w:rsidRDefault="00521ABE" w:rsidP="00521ABE">
      <w:pPr>
        <w:jc w:val="both"/>
        <w:rPr>
          <w:rFonts w:ascii="Verdana" w:hAnsi="Verdana" w:cs="Arial"/>
          <w:color w:val="0070C0"/>
          <w:sz w:val="20"/>
          <w:lang w:val="es-ES"/>
        </w:rPr>
      </w:pPr>
    </w:p>
    <w:p w:rsidR="001B4EE3" w:rsidRPr="00F16467" w:rsidRDefault="00044F38">
      <w:pPr>
        <w:pStyle w:val="Textoindependiente"/>
        <w:spacing w:before="120" w:after="120"/>
        <w:ind w:firstLine="357"/>
        <w:rPr>
          <w:rFonts w:ascii="Verdana" w:hAnsi="Verdana"/>
          <w:sz w:val="20"/>
        </w:rPr>
      </w:pPr>
      <w:r w:rsidRPr="00F16467">
        <w:rPr>
          <w:rFonts w:ascii="Verdana" w:hAnsi="Verdana"/>
          <w:sz w:val="20"/>
        </w:rPr>
        <w:t xml:space="preserve">Las </w:t>
      </w:r>
      <w:r w:rsidRPr="00F16467">
        <w:rPr>
          <w:rFonts w:ascii="Verdana" w:hAnsi="Verdana"/>
          <w:b/>
          <w:sz w:val="20"/>
        </w:rPr>
        <w:t>ejecu</w:t>
      </w:r>
      <w:r w:rsidR="004D2A35" w:rsidRPr="00F16467">
        <w:rPr>
          <w:rFonts w:ascii="Verdana" w:hAnsi="Verdana"/>
          <w:b/>
          <w:sz w:val="20"/>
        </w:rPr>
        <w:t>ciones</w:t>
      </w:r>
      <w:r w:rsidRPr="00F16467">
        <w:rPr>
          <w:rFonts w:ascii="Verdana" w:hAnsi="Verdana"/>
          <w:sz w:val="20"/>
        </w:rPr>
        <w:t xml:space="preserve"> en los distintos tipos de órganos de esta jurisdicción han sido en 201</w:t>
      </w:r>
      <w:r w:rsidR="00AA3752" w:rsidRPr="00F16467">
        <w:rPr>
          <w:rFonts w:ascii="Verdana" w:hAnsi="Verdana"/>
          <w:sz w:val="20"/>
        </w:rPr>
        <w:t>7</w:t>
      </w:r>
      <w:r w:rsidR="001B4EE3" w:rsidRPr="00F16467">
        <w:rPr>
          <w:rFonts w:ascii="Verdana" w:hAnsi="Verdana"/>
          <w:sz w:val="20"/>
        </w:rPr>
        <w:t>:</w:t>
      </w:r>
    </w:p>
    <w:tbl>
      <w:tblPr>
        <w:tblW w:w="6780" w:type="dxa"/>
        <w:jc w:val="center"/>
        <w:tblInd w:w="55" w:type="dxa"/>
        <w:tblCellMar>
          <w:left w:w="70" w:type="dxa"/>
          <w:right w:w="70" w:type="dxa"/>
        </w:tblCellMar>
        <w:tblLook w:val="04A0" w:firstRow="1" w:lastRow="0" w:firstColumn="1" w:lastColumn="0" w:noHBand="0" w:noVBand="1"/>
      </w:tblPr>
      <w:tblGrid>
        <w:gridCol w:w="2985"/>
        <w:gridCol w:w="1340"/>
        <w:gridCol w:w="1199"/>
        <w:gridCol w:w="1256"/>
      </w:tblGrid>
      <w:tr w:rsidR="00AA3752" w:rsidRPr="00F16467" w:rsidTr="00AA3752">
        <w:trPr>
          <w:trHeight w:val="690"/>
          <w:jc w:val="center"/>
        </w:trPr>
        <w:tc>
          <w:tcPr>
            <w:tcW w:w="3000" w:type="dxa"/>
            <w:tcBorders>
              <w:top w:val="nil"/>
              <w:left w:val="nil"/>
              <w:bottom w:val="single" w:sz="8" w:space="0" w:color="auto"/>
              <w:right w:val="nil"/>
            </w:tcBorders>
            <w:shd w:val="clear" w:color="auto" w:fill="auto"/>
            <w:vAlign w:val="center"/>
            <w:hideMark/>
          </w:tcPr>
          <w:p w:rsidR="00AA3752" w:rsidRPr="00F16467" w:rsidRDefault="00AA3752">
            <w:pPr>
              <w:jc w:val="center"/>
              <w:rPr>
                <w:rFonts w:ascii="Verdana" w:hAnsi="Verdana" w:cs="Calibri"/>
                <w:b/>
                <w:bCs/>
                <w:color w:val="000080"/>
                <w:sz w:val="20"/>
                <w:szCs w:val="20"/>
              </w:rPr>
            </w:pPr>
            <w:r w:rsidRPr="00F16467">
              <w:rPr>
                <w:rFonts w:ascii="Verdana" w:hAnsi="Verdana" w:cs="Arial"/>
                <w:b/>
                <w:bCs/>
                <w:color w:val="000080"/>
                <w:sz w:val="20"/>
                <w:szCs w:val="20"/>
              </w:rPr>
              <w:t> </w:t>
            </w:r>
          </w:p>
        </w:tc>
        <w:tc>
          <w:tcPr>
            <w:tcW w:w="132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center"/>
              <w:rPr>
                <w:rFonts w:ascii="Verdana" w:hAnsi="Verdana" w:cs="Calibri"/>
                <w:b/>
                <w:bCs/>
                <w:color w:val="000080"/>
                <w:sz w:val="18"/>
                <w:szCs w:val="18"/>
              </w:rPr>
            </w:pPr>
            <w:r w:rsidRPr="00F16467">
              <w:rPr>
                <w:rFonts w:ascii="Verdana" w:hAnsi="Verdana" w:cs="Arial"/>
                <w:b/>
                <w:bCs/>
                <w:color w:val="000080"/>
                <w:sz w:val="18"/>
                <w:szCs w:val="18"/>
              </w:rPr>
              <w:t>Registradas</w:t>
            </w:r>
          </w:p>
        </w:tc>
        <w:tc>
          <w:tcPr>
            <w:tcW w:w="120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center"/>
              <w:rPr>
                <w:rFonts w:ascii="Verdana" w:hAnsi="Verdana" w:cs="Calibri"/>
                <w:b/>
                <w:bCs/>
                <w:color w:val="000080"/>
                <w:sz w:val="18"/>
                <w:szCs w:val="18"/>
              </w:rPr>
            </w:pPr>
            <w:r w:rsidRPr="00F16467">
              <w:rPr>
                <w:rFonts w:ascii="Verdana" w:hAnsi="Verdana" w:cs="Arial"/>
                <w:b/>
                <w:bCs/>
                <w:color w:val="000080"/>
                <w:sz w:val="18"/>
                <w:szCs w:val="18"/>
              </w:rPr>
              <w:t>Resueltas</w:t>
            </w:r>
          </w:p>
        </w:tc>
        <w:tc>
          <w:tcPr>
            <w:tcW w:w="126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center"/>
              <w:rPr>
                <w:rFonts w:ascii="Verdana" w:hAnsi="Verdana" w:cs="Calibri"/>
                <w:b/>
                <w:bCs/>
                <w:color w:val="000080"/>
                <w:sz w:val="18"/>
                <w:szCs w:val="18"/>
              </w:rPr>
            </w:pPr>
            <w:r w:rsidRPr="00F16467">
              <w:rPr>
                <w:rFonts w:ascii="Verdana" w:hAnsi="Verdana" w:cs="Arial"/>
                <w:b/>
                <w:bCs/>
                <w:color w:val="000080"/>
                <w:sz w:val="18"/>
                <w:szCs w:val="18"/>
              </w:rPr>
              <w:t>En trámite al final del año</w:t>
            </w:r>
          </w:p>
        </w:tc>
      </w:tr>
      <w:tr w:rsidR="00AA3752" w:rsidRPr="00F16467" w:rsidTr="00AA3752">
        <w:trPr>
          <w:trHeight w:val="300"/>
          <w:jc w:val="center"/>
        </w:trPr>
        <w:tc>
          <w:tcPr>
            <w:tcW w:w="3000" w:type="dxa"/>
            <w:tcBorders>
              <w:top w:val="nil"/>
              <w:left w:val="nil"/>
              <w:bottom w:val="nil"/>
              <w:right w:val="nil"/>
            </w:tcBorders>
            <w:shd w:val="clear" w:color="auto" w:fill="auto"/>
            <w:vAlign w:val="center"/>
            <w:hideMark/>
          </w:tcPr>
          <w:p w:rsidR="00AA3752" w:rsidRPr="00F16467" w:rsidRDefault="00AA3752">
            <w:pPr>
              <w:rPr>
                <w:rFonts w:ascii="Verdana" w:hAnsi="Verdana" w:cs="Calibri"/>
                <w:color w:val="000000"/>
                <w:sz w:val="20"/>
                <w:szCs w:val="20"/>
              </w:rPr>
            </w:pPr>
            <w:r w:rsidRPr="00F16467">
              <w:rPr>
                <w:rFonts w:ascii="Verdana" w:hAnsi="Verdana" w:cs="Arial"/>
                <w:color w:val="000000"/>
                <w:sz w:val="20"/>
                <w:szCs w:val="20"/>
              </w:rPr>
              <w:t xml:space="preserve">Jdos Cont.-administrativo                               </w:t>
            </w:r>
          </w:p>
        </w:tc>
        <w:tc>
          <w:tcPr>
            <w:tcW w:w="132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8.961</w:t>
            </w:r>
          </w:p>
        </w:tc>
        <w:tc>
          <w:tcPr>
            <w:tcW w:w="120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9.547</w:t>
            </w:r>
          </w:p>
        </w:tc>
        <w:tc>
          <w:tcPr>
            <w:tcW w:w="126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8.307</w:t>
            </w:r>
          </w:p>
        </w:tc>
      </w:tr>
      <w:tr w:rsidR="00AA3752" w:rsidRPr="00F16467" w:rsidTr="00AA3752">
        <w:trPr>
          <w:trHeight w:val="510"/>
          <w:jc w:val="center"/>
        </w:trPr>
        <w:tc>
          <w:tcPr>
            <w:tcW w:w="3000" w:type="dxa"/>
            <w:tcBorders>
              <w:top w:val="nil"/>
              <w:left w:val="nil"/>
              <w:bottom w:val="nil"/>
              <w:right w:val="nil"/>
            </w:tcBorders>
            <w:shd w:val="clear" w:color="auto" w:fill="auto"/>
            <w:vAlign w:val="center"/>
            <w:hideMark/>
          </w:tcPr>
          <w:p w:rsidR="00AA3752" w:rsidRPr="00F16467" w:rsidRDefault="00AA3752">
            <w:pPr>
              <w:rPr>
                <w:rFonts w:ascii="Verdana" w:hAnsi="Verdana" w:cs="Calibri"/>
                <w:color w:val="000000"/>
                <w:sz w:val="20"/>
                <w:szCs w:val="20"/>
              </w:rPr>
            </w:pPr>
            <w:r w:rsidRPr="00F16467">
              <w:rPr>
                <w:rFonts w:ascii="Verdana" w:hAnsi="Verdana" w:cs="Arial"/>
                <w:color w:val="000000"/>
                <w:sz w:val="20"/>
                <w:szCs w:val="20"/>
              </w:rPr>
              <w:t xml:space="preserve">Jdos Central Cont.-administra.  </w:t>
            </w:r>
          </w:p>
        </w:tc>
        <w:tc>
          <w:tcPr>
            <w:tcW w:w="132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281</w:t>
            </w:r>
          </w:p>
        </w:tc>
        <w:tc>
          <w:tcPr>
            <w:tcW w:w="120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252</w:t>
            </w:r>
          </w:p>
        </w:tc>
        <w:tc>
          <w:tcPr>
            <w:tcW w:w="126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146</w:t>
            </w:r>
          </w:p>
        </w:tc>
      </w:tr>
      <w:tr w:rsidR="00AA3752" w:rsidRPr="00F16467" w:rsidTr="00AA3752">
        <w:trPr>
          <w:trHeight w:val="510"/>
          <w:jc w:val="center"/>
        </w:trPr>
        <w:tc>
          <w:tcPr>
            <w:tcW w:w="3000" w:type="dxa"/>
            <w:tcBorders>
              <w:top w:val="nil"/>
              <w:left w:val="nil"/>
              <w:bottom w:val="nil"/>
              <w:right w:val="nil"/>
            </w:tcBorders>
            <w:shd w:val="clear" w:color="auto" w:fill="auto"/>
            <w:vAlign w:val="center"/>
            <w:hideMark/>
          </w:tcPr>
          <w:p w:rsidR="00AA3752" w:rsidRPr="00F16467" w:rsidRDefault="00AA3752">
            <w:pPr>
              <w:rPr>
                <w:rFonts w:ascii="Verdana" w:hAnsi="Verdana" w:cs="Calibri"/>
                <w:color w:val="000000"/>
                <w:sz w:val="20"/>
                <w:szCs w:val="20"/>
                <w:lang w:val="fr-FR"/>
              </w:rPr>
            </w:pPr>
            <w:r w:rsidRPr="00F16467">
              <w:rPr>
                <w:rFonts w:ascii="Verdana" w:hAnsi="Verdana" w:cs="Arial"/>
                <w:color w:val="000000"/>
                <w:sz w:val="20"/>
                <w:szCs w:val="20"/>
                <w:lang w:val="fr-FR"/>
              </w:rPr>
              <w:t xml:space="preserve">T.S.J. Sala Cont. -administrat. </w:t>
            </w:r>
          </w:p>
        </w:tc>
        <w:tc>
          <w:tcPr>
            <w:tcW w:w="132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4.756</w:t>
            </w:r>
          </w:p>
        </w:tc>
        <w:tc>
          <w:tcPr>
            <w:tcW w:w="120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5.708</w:t>
            </w:r>
          </w:p>
        </w:tc>
        <w:tc>
          <w:tcPr>
            <w:tcW w:w="126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6.326</w:t>
            </w:r>
          </w:p>
        </w:tc>
      </w:tr>
      <w:tr w:rsidR="00AA3752" w:rsidRPr="00F16467" w:rsidTr="00AA3752">
        <w:trPr>
          <w:trHeight w:val="510"/>
          <w:jc w:val="center"/>
        </w:trPr>
        <w:tc>
          <w:tcPr>
            <w:tcW w:w="3000" w:type="dxa"/>
            <w:tcBorders>
              <w:top w:val="nil"/>
              <w:left w:val="nil"/>
              <w:bottom w:val="nil"/>
              <w:right w:val="nil"/>
            </w:tcBorders>
            <w:shd w:val="clear" w:color="auto" w:fill="auto"/>
            <w:vAlign w:val="center"/>
            <w:hideMark/>
          </w:tcPr>
          <w:p w:rsidR="00AA3752" w:rsidRPr="00F16467" w:rsidRDefault="00AA3752">
            <w:pPr>
              <w:rPr>
                <w:rFonts w:ascii="Verdana" w:hAnsi="Verdana" w:cs="Calibri"/>
                <w:color w:val="000000"/>
                <w:sz w:val="20"/>
                <w:szCs w:val="20"/>
              </w:rPr>
            </w:pPr>
            <w:r w:rsidRPr="00F16467">
              <w:rPr>
                <w:rFonts w:ascii="Verdana" w:hAnsi="Verdana" w:cs="Arial"/>
                <w:color w:val="000000"/>
                <w:sz w:val="20"/>
                <w:szCs w:val="20"/>
              </w:rPr>
              <w:t xml:space="preserve">A.N. Sala Cont.-administrativo    </w:t>
            </w:r>
          </w:p>
        </w:tc>
        <w:tc>
          <w:tcPr>
            <w:tcW w:w="132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325</w:t>
            </w:r>
          </w:p>
        </w:tc>
        <w:tc>
          <w:tcPr>
            <w:tcW w:w="120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336</w:t>
            </w:r>
          </w:p>
        </w:tc>
        <w:tc>
          <w:tcPr>
            <w:tcW w:w="126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422</w:t>
            </w:r>
          </w:p>
        </w:tc>
      </w:tr>
      <w:tr w:rsidR="00AA3752" w:rsidRPr="00F16467" w:rsidTr="00AA3752">
        <w:trPr>
          <w:trHeight w:val="315"/>
          <w:jc w:val="center"/>
        </w:trPr>
        <w:tc>
          <w:tcPr>
            <w:tcW w:w="3000" w:type="dxa"/>
            <w:tcBorders>
              <w:top w:val="nil"/>
              <w:left w:val="nil"/>
              <w:bottom w:val="nil"/>
              <w:right w:val="nil"/>
            </w:tcBorders>
            <w:shd w:val="clear" w:color="auto" w:fill="auto"/>
            <w:vAlign w:val="center"/>
            <w:hideMark/>
          </w:tcPr>
          <w:p w:rsidR="00AA3752" w:rsidRPr="00F16467" w:rsidRDefault="00AA3752">
            <w:pPr>
              <w:rPr>
                <w:rFonts w:ascii="Verdana" w:hAnsi="Verdana" w:cs="Calibri"/>
                <w:color w:val="000000"/>
                <w:sz w:val="20"/>
                <w:szCs w:val="20"/>
              </w:rPr>
            </w:pPr>
            <w:r w:rsidRPr="00F16467">
              <w:rPr>
                <w:rFonts w:ascii="Verdana" w:hAnsi="Verdana" w:cs="Arial"/>
                <w:color w:val="000000"/>
                <w:sz w:val="20"/>
                <w:szCs w:val="20"/>
              </w:rPr>
              <w:t xml:space="preserve">Tribunal Supremo: Sala 3ª </w:t>
            </w:r>
          </w:p>
        </w:tc>
        <w:tc>
          <w:tcPr>
            <w:tcW w:w="132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265</w:t>
            </w:r>
          </w:p>
        </w:tc>
        <w:tc>
          <w:tcPr>
            <w:tcW w:w="120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67</w:t>
            </w:r>
          </w:p>
        </w:tc>
        <w:tc>
          <w:tcPr>
            <w:tcW w:w="1260" w:type="dxa"/>
            <w:tcBorders>
              <w:top w:val="nil"/>
              <w:left w:val="nil"/>
              <w:bottom w:val="nil"/>
              <w:right w:val="nil"/>
            </w:tcBorders>
            <w:shd w:val="clear" w:color="auto" w:fill="auto"/>
            <w:vAlign w:val="center"/>
            <w:hideMark/>
          </w:tcPr>
          <w:p w:rsidR="00AA3752" w:rsidRPr="00F16467" w:rsidRDefault="00AA3752">
            <w:pPr>
              <w:jc w:val="right"/>
              <w:rPr>
                <w:rFonts w:ascii="Verdana" w:hAnsi="Verdana" w:cs="Calibri"/>
                <w:color w:val="000000"/>
                <w:sz w:val="20"/>
                <w:szCs w:val="20"/>
              </w:rPr>
            </w:pPr>
            <w:r w:rsidRPr="00F16467">
              <w:rPr>
                <w:rFonts w:ascii="Verdana" w:hAnsi="Verdana" w:cs="Calibri"/>
                <w:color w:val="000000"/>
                <w:sz w:val="20"/>
                <w:szCs w:val="20"/>
              </w:rPr>
              <w:t>218</w:t>
            </w:r>
          </w:p>
        </w:tc>
      </w:tr>
      <w:tr w:rsidR="00AA3752" w:rsidRPr="00F16467" w:rsidTr="00AA3752">
        <w:trPr>
          <w:trHeight w:val="315"/>
          <w:jc w:val="center"/>
        </w:trPr>
        <w:tc>
          <w:tcPr>
            <w:tcW w:w="3000" w:type="dxa"/>
            <w:tcBorders>
              <w:top w:val="single" w:sz="8" w:space="0" w:color="auto"/>
              <w:left w:val="nil"/>
              <w:bottom w:val="single" w:sz="8" w:space="0" w:color="auto"/>
              <w:right w:val="nil"/>
            </w:tcBorders>
            <w:shd w:val="clear" w:color="auto" w:fill="auto"/>
            <w:vAlign w:val="center"/>
            <w:hideMark/>
          </w:tcPr>
          <w:p w:rsidR="00AA3752" w:rsidRPr="00F16467" w:rsidRDefault="00AA3752">
            <w:pPr>
              <w:rPr>
                <w:rFonts w:ascii="Verdana" w:hAnsi="Verdana" w:cs="Calibri"/>
                <w:b/>
                <w:bCs/>
                <w:color w:val="000080"/>
                <w:sz w:val="20"/>
                <w:szCs w:val="20"/>
              </w:rPr>
            </w:pPr>
            <w:r w:rsidRPr="00F16467">
              <w:rPr>
                <w:rFonts w:ascii="Verdana" w:hAnsi="Verdana" w:cs="Arial"/>
                <w:b/>
                <w:bCs/>
                <w:color w:val="000080"/>
                <w:sz w:val="20"/>
                <w:szCs w:val="20"/>
              </w:rPr>
              <w:t>TOTAL</w:t>
            </w:r>
          </w:p>
        </w:tc>
        <w:tc>
          <w:tcPr>
            <w:tcW w:w="132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right"/>
              <w:rPr>
                <w:rFonts w:ascii="Verdana" w:hAnsi="Verdana" w:cs="Calibri"/>
                <w:b/>
                <w:bCs/>
                <w:color w:val="000000"/>
                <w:sz w:val="20"/>
                <w:szCs w:val="20"/>
              </w:rPr>
            </w:pPr>
            <w:r w:rsidRPr="00F16467">
              <w:rPr>
                <w:rFonts w:ascii="Verdana" w:hAnsi="Verdana" w:cs="Calibri"/>
                <w:b/>
                <w:bCs/>
                <w:color w:val="000000"/>
                <w:sz w:val="20"/>
                <w:szCs w:val="20"/>
              </w:rPr>
              <w:t>14.588</w:t>
            </w:r>
          </w:p>
        </w:tc>
        <w:tc>
          <w:tcPr>
            <w:tcW w:w="120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right"/>
              <w:rPr>
                <w:rFonts w:ascii="Verdana" w:hAnsi="Verdana" w:cs="Calibri"/>
                <w:b/>
                <w:bCs/>
                <w:color w:val="000000"/>
                <w:sz w:val="20"/>
                <w:szCs w:val="20"/>
              </w:rPr>
            </w:pPr>
            <w:r w:rsidRPr="00F16467">
              <w:rPr>
                <w:rFonts w:ascii="Verdana" w:hAnsi="Verdana" w:cs="Calibri"/>
                <w:b/>
                <w:bCs/>
                <w:color w:val="000000"/>
                <w:sz w:val="20"/>
                <w:szCs w:val="20"/>
              </w:rPr>
              <w:t>15.910</w:t>
            </w:r>
          </w:p>
        </w:tc>
        <w:tc>
          <w:tcPr>
            <w:tcW w:w="1260" w:type="dxa"/>
            <w:tcBorders>
              <w:top w:val="single" w:sz="8" w:space="0" w:color="auto"/>
              <w:left w:val="nil"/>
              <w:bottom w:val="single" w:sz="8" w:space="0" w:color="auto"/>
              <w:right w:val="nil"/>
            </w:tcBorders>
            <w:shd w:val="clear" w:color="auto" w:fill="auto"/>
            <w:vAlign w:val="center"/>
            <w:hideMark/>
          </w:tcPr>
          <w:p w:rsidR="00AA3752" w:rsidRPr="00F16467" w:rsidRDefault="00AA3752">
            <w:pPr>
              <w:jc w:val="right"/>
              <w:rPr>
                <w:rFonts w:ascii="Verdana" w:hAnsi="Verdana" w:cs="Calibri"/>
                <w:b/>
                <w:bCs/>
                <w:color w:val="000000"/>
                <w:sz w:val="20"/>
                <w:szCs w:val="20"/>
              </w:rPr>
            </w:pPr>
            <w:r w:rsidRPr="00F16467">
              <w:rPr>
                <w:rFonts w:ascii="Verdana" w:hAnsi="Verdana" w:cs="Calibri"/>
                <w:b/>
                <w:bCs/>
                <w:color w:val="000000"/>
                <w:sz w:val="20"/>
                <w:szCs w:val="20"/>
              </w:rPr>
              <w:t>15.419</w:t>
            </w:r>
          </w:p>
        </w:tc>
      </w:tr>
    </w:tbl>
    <w:p w:rsidR="006E55F8" w:rsidRPr="00F16467" w:rsidRDefault="006E55F8" w:rsidP="00FB7FB0">
      <w:pPr>
        <w:pStyle w:val="Ttulo2"/>
        <w:numPr>
          <w:ilvl w:val="0"/>
          <w:numId w:val="0"/>
        </w:numPr>
        <w:ind w:left="720"/>
        <w:rPr>
          <w:rFonts w:ascii="Verdana" w:hAnsi="Verdana"/>
          <w:color w:val="333399"/>
        </w:rPr>
      </w:pPr>
    </w:p>
    <w:p w:rsidR="001B4EE3" w:rsidRPr="00F16467" w:rsidRDefault="001B4EE3">
      <w:pPr>
        <w:pStyle w:val="Ttulo2"/>
        <w:numPr>
          <w:ilvl w:val="1"/>
          <w:numId w:val="10"/>
        </w:numPr>
        <w:rPr>
          <w:rFonts w:ascii="Verdana" w:hAnsi="Verdana"/>
          <w:color w:val="333399"/>
        </w:rPr>
      </w:pPr>
      <w:r w:rsidRPr="00F16467">
        <w:rPr>
          <w:rFonts w:ascii="Verdana" w:hAnsi="Verdana"/>
          <w:color w:val="333399"/>
        </w:rPr>
        <w:t>Terminación por Sentencia</w:t>
      </w:r>
    </w:p>
    <w:p w:rsidR="00FF40F6" w:rsidRPr="00CE214A" w:rsidRDefault="004A0160">
      <w:pPr>
        <w:pStyle w:val="Textoindependiente"/>
        <w:spacing w:before="120" w:after="120"/>
        <w:ind w:firstLine="357"/>
        <w:rPr>
          <w:rFonts w:ascii="Verdana" w:hAnsi="Verdana"/>
          <w:sz w:val="20"/>
        </w:rPr>
      </w:pPr>
      <w:r w:rsidRPr="00F16467">
        <w:rPr>
          <w:rFonts w:ascii="Verdana" w:hAnsi="Verdana"/>
          <w:sz w:val="20"/>
        </w:rPr>
        <w:t>E</w:t>
      </w:r>
      <w:r w:rsidR="00D0787C" w:rsidRPr="00F16467">
        <w:rPr>
          <w:rFonts w:ascii="Verdana" w:hAnsi="Verdana"/>
          <w:sz w:val="20"/>
        </w:rPr>
        <w:t>n</w:t>
      </w:r>
      <w:r w:rsidR="001B4EE3" w:rsidRPr="00F16467">
        <w:rPr>
          <w:rFonts w:ascii="Verdana" w:hAnsi="Verdana"/>
          <w:sz w:val="20"/>
        </w:rPr>
        <w:t xml:space="preserve"> </w:t>
      </w:r>
      <w:r w:rsidR="0035050C" w:rsidRPr="00F16467">
        <w:rPr>
          <w:rFonts w:ascii="Verdana" w:hAnsi="Verdana"/>
          <w:sz w:val="20"/>
        </w:rPr>
        <w:t>20</w:t>
      </w:r>
      <w:r w:rsidR="000E0BD2" w:rsidRPr="00F16467">
        <w:rPr>
          <w:rFonts w:ascii="Verdana" w:hAnsi="Verdana"/>
          <w:sz w:val="20"/>
        </w:rPr>
        <w:t>1</w:t>
      </w:r>
      <w:r w:rsidR="00D80CF8" w:rsidRPr="00F16467">
        <w:rPr>
          <w:rFonts w:ascii="Verdana" w:hAnsi="Verdana"/>
          <w:sz w:val="20"/>
        </w:rPr>
        <w:t>7</w:t>
      </w:r>
      <w:r w:rsidRPr="00F16467">
        <w:rPr>
          <w:rFonts w:ascii="Verdana" w:hAnsi="Verdana"/>
          <w:sz w:val="20"/>
        </w:rPr>
        <w:t xml:space="preserve"> se han dictado 13</w:t>
      </w:r>
      <w:r w:rsidR="00D80CF8" w:rsidRPr="00F16467">
        <w:rPr>
          <w:rFonts w:ascii="Verdana" w:hAnsi="Verdana"/>
          <w:sz w:val="20"/>
        </w:rPr>
        <w:t>1</w:t>
      </w:r>
      <w:r w:rsidR="000E0BD2" w:rsidRPr="00F16467">
        <w:rPr>
          <w:rFonts w:ascii="Verdana" w:hAnsi="Verdana"/>
          <w:sz w:val="20"/>
        </w:rPr>
        <w:t>.</w:t>
      </w:r>
      <w:r w:rsidR="00D80CF8" w:rsidRPr="00F16467">
        <w:rPr>
          <w:rFonts w:ascii="Verdana" w:hAnsi="Verdana"/>
          <w:sz w:val="20"/>
        </w:rPr>
        <w:t>779</w:t>
      </w:r>
      <w:r w:rsidRPr="00F16467">
        <w:rPr>
          <w:rFonts w:ascii="Verdana" w:hAnsi="Verdana"/>
          <w:sz w:val="20"/>
        </w:rPr>
        <w:t xml:space="preserve"> sentencias en esta jurisdicción, </w:t>
      </w:r>
      <w:r w:rsidR="00545B62" w:rsidRPr="00F16467">
        <w:rPr>
          <w:rFonts w:ascii="Verdana" w:hAnsi="Verdana"/>
          <w:sz w:val="20"/>
        </w:rPr>
        <w:t xml:space="preserve">un </w:t>
      </w:r>
      <w:r w:rsidR="00D80CF8" w:rsidRPr="00F16467">
        <w:rPr>
          <w:rFonts w:ascii="Verdana" w:hAnsi="Verdana"/>
          <w:sz w:val="20"/>
        </w:rPr>
        <w:t>4,8</w:t>
      </w:r>
      <w:r w:rsidR="00545B62" w:rsidRPr="00F16467">
        <w:rPr>
          <w:rFonts w:ascii="Verdana" w:hAnsi="Verdana"/>
          <w:sz w:val="20"/>
        </w:rPr>
        <w:t xml:space="preserve"> menos que las </w:t>
      </w:r>
      <w:r w:rsidR="00ED1747" w:rsidRPr="00F16467">
        <w:rPr>
          <w:rFonts w:ascii="Verdana" w:hAnsi="Verdana"/>
          <w:sz w:val="20"/>
        </w:rPr>
        <w:t>dictadas</w:t>
      </w:r>
      <w:r w:rsidR="00545B62" w:rsidRPr="00F16467">
        <w:rPr>
          <w:rFonts w:ascii="Verdana" w:hAnsi="Verdana"/>
          <w:sz w:val="20"/>
        </w:rPr>
        <w:t xml:space="preserve"> e</w:t>
      </w:r>
      <w:r w:rsidR="00D80CF8" w:rsidRPr="00F16467">
        <w:rPr>
          <w:rFonts w:ascii="Verdana" w:hAnsi="Verdana"/>
          <w:sz w:val="20"/>
        </w:rPr>
        <w:t>l año anterior</w:t>
      </w:r>
      <w:r w:rsidR="00545B62" w:rsidRPr="00F16467">
        <w:rPr>
          <w:rFonts w:ascii="Verdana" w:hAnsi="Verdana"/>
          <w:sz w:val="20"/>
        </w:rPr>
        <w:t>.</w:t>
      </w:r>
      <w:r w:rsidR="001B4EE3" w:rsidRPr="00F16467">
        <w:rPr>
          <w:rFonts w:ascii="Verdana" w:hAnsi="Verdana"/>
          <w:sz w:val="20"/>
        </w:rPr>
        <w:t xml:space="preserve"> </w:t>
      </w:r>
      <w:r w:rsidR="00FF40F6" w:rsidRPr="00F16467">
        <w:rPr>
          <w:rFonts w:ascii="Verdana" w:hAnsi="Verdana"/>
          <w:sz w:val="20"/>
        </w:rPr>
        <w:t>La evolución en los últimos años la describe el siguiente gráfico:</w:t>
      </w:r>
    </w:p>
    <w:p w:rsidR="00E97150" w:rsidRPr="00CE214A" w:rsidRDefault="00E97150">
      <w:pPr>
        <w:pStyle w:val="Textoindependiente"/>
        <w:spacing w:before="120" w:after="120"/>
        <w:ind w:firstLine="357"/>
        <w:rPr>
          <w:rFonts w:ascii="Verdana" w:hAnsi="Verdana"/>
          <w:sz w:val="20"/>
        </w:rPr>
      </w:pPr>
    </w:p>
    <w:p w:rsidR="00FF40F6" w:rsidRPr="00CE214A" w:rsidRDefault="00C25DB3" w:rsidP="00236925">
      <w:pPr>
        <w:pStyle w:val="Textoindependiente"/>
        <w:spacing w:before="120" w:after="120"/>
        <w:ind w:firstLine="357"/>
        <w:jc w:val="center"/>
        <w:rPr>
          <w:rFonts w:ascii="Verdana" w:hAnsi="Verdana"/>
        </w:rPr>
      </w:pPr>
      <w:r>
        <w:rPr>
          <w:noProof/>
        </w:rPr>
        <w:lastRenderedPageBreak/>
        <w:drawing>
          <wp:inline distT="0" distB="0" distL="0" distR="0" wp14:anchorId="760555B1" wp14:editId="45B55AC4">
            <wp:extent cx="5229225" cy="3305175"/>
            <wp:effectExtent l="0" t="0" r="9525" b="9525"/>
            <wp:docPr id="1073" name="Gráfico 10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B4EE3" w:rsidRPr="00CE214A" w:rsidRDefault="001B4EE3">
      <w:pPr>
        <w:pStyle w:val="Textoindependiente"/>
        <w:spacing w:before="120" w:after="120"/>
        <w:ind w:firstLine="357"/>
        <w:rPr>
          <w:rFonts w:ascii="Verdana" w:hAnsi="Verdana"/>
          <w:sz w:val="20"/>
        </w:rPr>
      </w:pPr>
      <w:r w:rsidRPr="00AD16E1">
        <w:rPr>
          <w:rFonts w:ascii="Verdana" w:hAnsi="Verdana"/>
          <w:sz w:val="20"/>
        </w:rPr>
        <w:t xml:space="preserve">Su distribución por tipo de </w:t>
      </w:r>
      <w:r w:rsidR="000E0BD2" w:rsidRPr="00AD16E1">
        <w:rPr>
          <w:rFonts w:ascii="Verdana" w:hAnsi="Verdana"/>
          <w:sz w:val="20"/>
        </w:rPr>
        <w:t>órganos</w:t>
      </w:r>
      <w:r w:rsidRPr="00AD16E1">
        <w:rPr>
          <w:rFonts w:ascii="Verdana" w:hAnsi="Verdana"/>
          <w:sz w:val="20"/>
        </w:rPr>
        <w:t xml:space="preserve"> ha sido:</w:t>
      </w:r>
    </w:p>
    <w:tbl>
      <w:tblPr>
        <w:tblW w:w="4840" w:type="dxa"/>
        <w:jc w:val="center"/>
        <w:tblInd w:w="55" w:type="dxa"/>
        <w:tblCellMar>
          <w:left w:w="70" w:type="dxa"/>
          <w:right w:w="70" w:type="dxa"/>
        </w:tblCellMar>
        <w:tblLook w:val="04A0" w:firstRow="1" w:lastRow="0" w:firstColumn="1" w:lastColumn="0" w:noHBand="0" w:noVBand="1"/>
      </w:tblPr>
      <w:tblGrid>
        <w:gridCol w:w="3600"/>
        <w:gridCol w:w="1240"/>
      </w:tblGrid>
      <w:tr w:rsidR="00D80CF8" w:rsidTr="00D80CF8">
        <w:trPr>
          <w:trHeight w:val="465"/>
          <w:jc w:val="center"/>
        </w:trPr>
        <w:tc>
          <w:tcPr>
            <w:tcW w:w="3640" w:type="dxa"/>
            <w:tcBorders>
              <w:top w:val="nil"/>
              <w:left w:val="nil"/>
              <w:bottom w:val="single" w:sz="8" w:space="0" w:color="auto"/>
              <w:right w:val="nil"/>
            </w:tcBorders>
            <w:shd w:val="clear" w:color="auto" w:fill="auto"/>
            <w:vAlign w:val="center"/>
            <w:hideMark/>
          </w:tcPr>
          <w:p w:rsidR="00D80CF8" w:rsidRDefault="00D80CF8">
            <w:pPr>
              <w:jc w:val="center"/>
              <w:rPr>
                <w:rFonts w:ascii="Verdana" w:hAnsi="Verdana" w:cs="Calibri"/>
                <w:b/>
                <w:bCs/>
                <w:color w:val="000080"/>
                <w:sz w:val="20"/>
                <w:szCs w:val="20"/>
              </w:rPr>
            </w:pPr>
            <w:r>
              <w:rPr>
                <w:rFonts w:ascii="Verdana" w:hAnsi="Verdana" w:cs="Arial"/>
                <w:b/>
                <w:bCs/>
                <w:color w:val="00008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D80CF8" w:rsidRDefault="00D80CF8">
            <w:pPr>
              <w:jc w:val="center"/>
              <w:rPr>
                <w:rFonts w:ascii="Verdana" w:hAnsi="Verdana" w:cs="Calibri"/>
                <w:b/>
                <w:bCs/>
                <w:color w:val="000080"/>
                <w:sz w:val="18"/>
                <w:szCs w:val="18"/>
              </w:rPr>
            </w:pPr>
            <w:r>
              <w:rPr>
                <w:rFonts w:ascii="Verdana" w:hAnsi="Verdana" w:cs="Arial"/>
                <w:b/>
                <w:bCs/>
                <w:color w:val="000080"/>
                <w:sz w:val="18"/>
                <w:szCs w:val="18"/>
              </w:rPr>
              <w:t>Sentencias</w:t>
            </w:r>
          </w:p>
        </w:tc>
      </w:tr>
      <w:tr w:rsidR="00D80CF8" w:rsidTr="00D80CF8">
        <w:trPr>
          <w:trHeight w:val="300"/>
          <w:jc w:val="center"/>
        </w:trPr>
        <w:tc>
          <w:tcPr>
            <w:tcW w:w="3640" w:type="dxa"/>
            <w:tcBorders>
              <w:top w:val="nil"/>
              <w:left w:val="nil"/>
              <w:bottom w:val="nil"/>
              <w:right w:val="nil"/>
            </w:tcBorders>
            <w:shd w:val="clear" w:color="auto" w:fill="auto"/>
            <w:vAlign w:val="center"/>
            <w:hideMark/>
          </w:tcPr>
          <w:p w:rsidR="00D80CF8" w:rsidRDefault="00D80CF8">
            <w:pPr>
              <w:rPr>
                <w:rFonts w:ascii="Verdana" w:hAnsi="Verdana" w:cs="Calibri"/>
                <w:color w:val="000000"/>
                <w:sz w:val="20"/>
                <w:szCs w:val="20"/>
              </w:rPr>
            </w:pPr>
            <w:r>
              <w:rPr>
                <w:rFonts w:ascii="Verdana" w:hAnsi="Verdana" w:cs="Arial"/>
                <w:color w:val="000000"/>
                <w:sz w:val="20"/>
                <w:szCs w:val="20"/>
              </w:rPr>
              <w:t xml:space="preserve">Jdos Cont.-administrativo                               </w:t>
            </w:r>
          </w:p>
        </w:tc>
        <w:tc>
          <w:tcPr>
            <w:tcW w:w="1200" w:type="dxa"/>
            <w:tcBorders>
              <w:top w:val="nil"/>
              <w:left w:val="nil"/>
              <w:bottom w:val="nil"/>
              <w:right w:val="nil"/>
            </w:tcBorders>
            <w:shd w:val="clear" w:color="auto" w:fill="auto"/>
            <w:vAlign w:val="center"/>
            <w:hideMark/>
          </w:tcPr>
          <w:p w:rsidR="00D80CF8" w:rsidRDefault="00D80CF8">
            <w:pPr>
              <w:jc w:val="right"/>
              <w:rPr>
                <w:rFonts w:ascii="Verdana" w:hAnsi="Verdana" w:cs="Calibri"/>
                <w:color w:val="000000"/>
                <w:sz w:val="20"/>
                <w:szCs w:val="20"/>
              </w:rPr>
            </w:pPr>
            <w:r>
              <w:rPr>
                <w:rFonts w:ascii="Verdana" w:hAnsi="Verdana" w:cs="Calibri"/>
                <w:color w:val="000000"/>
                <w:sz w:val="20"/>
                <w:szCs w:val="20"/>
              </w:rPr>
              <w:t>75.158</w:t>
            </w:r>
          </w:p>
        </w:tc>
      </w:tr>
      <w:tr w:rsidR="00D80CF8" w:rsidTr="00D80CF8">
        <w:trPr>
          <w:trHeight w:val="300"/>
          <w:jc w:val="center"/>
        </w:trPr>
        <w:tc>
          <w:tcPr>
            <w:tcW w:w="3640" w:type="dxa"/>
            <w:tcBorders>
              <w:top w:val="nil"/>
              <w:left w:val="nil"/>
              <w:bottom w:val="nil"/>
              <w:right w:val="nil"/>
            </w:tcBorders>
            <w:shd w:val="clear" w:color="auto" w:fill="auto"/>
            <w:vAlign w:val="center"/>
            <w:hideMark/>
          </w:tcPr>
          <w:p w:rsidR="00D80CF8" w:rsidRDefault="00D80CF8">
            <w:pPr>
              <w:rPr>
                <w:rFonts w:ascii="Verdana" w:hAnsi="Verdana" w:cs="Calibri"/>
                <w:color w:val="000000"/>
                <w:sz w:val="20"/>
                <w:szCs w:val="20"/>
              </w:rPr>
            </w:pPr>
            <w:r>
              <w:rPr>
                <w:rFonts w:ascii="Verdana" w:hAnsi="Verdana" w:cs="Arial"/>
                <w:color w:val="000000"/>
                <w:sz w:val="20"/>
                <w:szCs w:val="20"/>
              </w:rPr>
              <w:t xml:space="preserve">Jdos Central Cont.-administrativo   </w:t>
            </w:r>
          </w:p>
        </w:tc>
        <w:tc>
          <w:tcPr>
            <w:tcW w:w="1200" w:type="dxa"/>
            <w:tcBorders>
              <w:top w:val="nil"/>
              <w:left w:val="nil"/>
              <w:bottom w:val="nil"/>
              <w:right w:val="nil"/>
            </w:tcBorders>
            <w:shd w:val="clear" w:color="auto" w:fill="auto"/>
            <w:vAlign w:val="center"/>
            <w:hideMark/>
          </w:tcPr>
          <w:p w:rsidR="00D80CF8" w:rsidRDefault="00D80CF8">
            <w:pPr>
              <w:jc w:val="right"/>
              <w:rPr>
                <w:rFonts w:ascii="Verdana" w:hAnsi="Verdana" w:cs="Calibri"/>
                <w:color w:val="000000"/>
                <w:sz w:val="20"/>
                <w:szCs w:val="20"/>
              </w:rPr>
            </w:pPr>
            <w:r>
              <w:rPr>
                <w:rFonts w:ascii="Verdana" w:hAnsi="Verdana" w:cs="Calibri"/>
                <w:color w:val="000000"/>
                <w:sz w:val="20"/>
                <w:szCs w:val="20"/>
              </w:rPr>
              <w:t>1.848</w:t>
            </w:r>
          </w:p>
        </w:tc>
      </w:tr>
      <w:tr w:rsidR="00D80CF8" w:rsidTr="00D80CF8">
        <w:trPr>
          <w:trHeight w:val="300"/>
          <w:jc w:val="center"/>
        </w:trPr>
        <w:tc>
          <w:tcPr>
            <w:tcW w:w="3640" w:type="dxa"/>
            <w:tcBorders>
              <w:top w:val="nil"/>
              <w:left w:val="nil"/>
              <w:bottom w:val="nil"/>
              <w:right w:val="nil"/>
            </w:tcBorders>
            <w:shd w:val="clear" w:color="auto" w:fill="auto"/>
            <w:vAlign w:val="center"/>
            <w:hideMark/>
          </w:tcPr>
          <w:p w:rsidR="00D80CF8" w:rsidRDefault="00D80CF8">
            <w:pPr>
              <w:rPr>
                <w:rFonts w:ascii="Verdana" w:hAnsi="Verdana" w:cs="Calibri"/>
                <w:color w:val="000000"/>
                <w:sz w:val="20"/>
                <w:szCs w:val="20"/>
              </w:rPr>
            </w:pPr>
            <w:r>
              <w:rPr>
                <w:rFonts w:ascii="Verdana" w:hAnsi="Verdana" w:cs="Calibri"/>
                <w:color w:val="000000"/>
                <w:sz w:val="20"/>
                <w:szCs w:val="20"/>
                <w:lang w:val="fr-FR"/>
              </w:rPr>
              <w:t xml:space="preserve">T.S.J. Sala Cont.-administrativo  </w:t>
            </w:r>
          </w:p>
        </w:tc>
        <w:tc>
          <w:tcPr>
            <w:tcW w:w="1200" w:type="dxa"/>
            <w:tcBorders>
              <w:top w:val="nil"/>
              <w:left w:val="nil"/>
              <w:bottom w:val="nil"/>
              <w:right w:val="nil"/>
            </w:tcBorders>
            <w:shd w:val="clear" w:color="auto" w:fill="auto"/>
            <w:vAlign w:val="center"/>
            <w:hideMark/>
          </w:tcPr>
          <w:p w:rsidR="00D80CF8" w:rsidRDefault="00D80CF8">
            <w:pPr>
              <w:jc w:val="right"/>
              <w:rPr>
                <w:rFonts w:ascii="Verdana" w:hAnsi="Verdana" w:cs="Calibri"/>
                <w:color w:val="000000"/>
                <w:sz w:val="20"/>
                <w:szCs w:val="20"/>
              </w:rPr>
            </w:pPr>
            <w:r>
              <w:rPr>
                <w:rFonts w:ascii="Verdana" w:hAnsi="Verdana" w:cs="Calibri"/>
                <w:color w:val="000000"/>
                <w:sz w:val="20"/>
                <w:szCs w:val="20"/>
              </w:rPr>
              <w:t>45.388</w:t>
            </w:r>
          </w:p>
        </w:tc>
      </w:tr>
      <w:tr w:rsidR="00D80CF8" w:rsidTr="00D80CF8">
        <w:trPr>
          <w:trHeight w:val="300"/>
          <w:jc w:val="center"/>
        </w:trPr>
        <w:tc>
          <w:tcPr>
            <w:tcW w:w="3640" w:type="dxa"/>
            <w:tcBorders>
              <w:top w:val="nil"/>
              <w:left w:val="nil"/>
              <w:bottom w:val="nil"/>
              <w:right w:val="nil"/>
            </w:tcBorders>
            <w:shd w:val="clear" w:color="auto" w:fill="auto"/>
            <w:vAlign w:val="center"/>
            <w:hideMark/>
          </w:tcPr>
          <w:p w:rsidR="00D80CF8" w:rsidRDefault="00D80CF8">
            <w:pPr>
              <w:rPr>
                <w:rFonts w:ascii="Verdana" w:hAnsi="Verdana" w:cs="Calibri"/>
                <w:color w:val="000000"/>
                <w:sz w:val="20"/>
                <w:szCs w:val="20"/>
              </w:rPr>
            </w:pPr>
            <w:r>
              <w:rPr>
                <w:rFonts w:ascii="Verdana" w:hAnsi="Verdana" w:cs="Calibri"/>
                <w:color w:val="000000"/>
                <w:sz w:val="20"/>
                <w:szCs w:val="20"/>
                <w:lang w:val="fr-FR"/>
              </w:rPr>
              <w:t xml:space="preserve">A.N. Sala Cont.-administrativo    </w:t>
            </w:r>
          </w:p>
        </w:tc>
        <w:tc>
          <w:tcPr>
            <w:tcW w:w="1200" w:type="dxa"/>
            <w:tcBorders>
              <w:top w:val="nil"/>
              <w:left w:val="nil"/>
              <w:bottom w:val="nil"/>
              <w:right w:val="nil"/>
            </w:tcBorders>
            <w:shd w:val="clear" w:color="auto" w:fill="auto"/>
            <w:vAlign w:val="center"/>
            <w:hideMark/>
          </w:tcPr>
          <w:p w:rsidR="00D80CF8" w:rsidRDefault="00D80CF8">
            <w:pPr>
              <w:jc w:val="right"/>
              <w:rPr>
                <w:rFonts w:ascii="Verdana" w:hAnsi="Verdana" w:cs="Calibri"/>
                <w:color w:val="000000"/>
                <w:sz w:val="20"/>
                <w:szCs w:val="20"/>
              </w:rPr>
            </w:pPr>
            <w:r>
              <w:rPr>
                <w:rFonts w:ascii="Verdana" w:hAnsi="Verdana" w:cs="Calibri"/>
                <w:color w:val="000000"/>
                <w:sz w:val="20"/>
                <w:szCs w:val="20"/>
              </w:rPr>
              <w:t>5.253</w:t>
            </w:r>
          </w:p>
        </w:tc>
      </w:tr>
      <w:tr w:rsidR="00D80CF8" w:rsidTr="00D80CF8">
        <w:trPr>
          <w:trHeight w:val="315"/>
          <w:jc w:val="center"/>
        </w:trPr>
        <w:tc>
          <w:tcPr>
            <w:tcW w:w="3640" w:type="dxa"/>
            <w:tcBorders>
              <w:top w:val="nil"/>
              <w:left w:val="nil"/>
              <w:bottom w:val="nil"/>
              <w:right w:val="nil"/>
            </w:tcBorders>
            <w:shd w:val="clear" w:color="auto" w:fill="auto"/>
            <w:vAlign w:val="center"/>
            <w:hideMark/>
          </w:tcPr>
          <w:p w:rsidR="00D80CF8" w:rsidRDefault="00D80CF8">
            <w:pPr>
              <w:rPr>
                <w:rFonts w:ascii="Verdana" w:hAnsi="Verdana" w:cs="Calibri"/>
                <w:color w:val="000000"/>
                <w:sz w:val="20"/>
                <w:szCs w:val="20"/>
              </w:rPr>
            </w:pPr>
            <w:r>
              <w:rPr>
                <w:rFonts w:ascii="Verdana" w:hAnsi="Verdana" w:cs="Arial"/>
                <w:color w:val="000000"/>
                <w:sz w:val="20"/>
                <w:szCs w:val="20"/>
              </w:rPr>
              <w:t xml:space="preserve">Tribunal Supremo: Sala 3ª </w:t>
            </w:r>
          </w:p>
        </w:tc>
        <w:tc>
          <w:tcPr>
            <w:tcW w:w="1200" w:type="dxa"/>
            <w:tcBorders>
              <w:top w:val="nil"/>
              <w:left w:val="nil"/>
              <w:bottom w:val="nil"/>
              <w:right w:val="nil"/>
            </w:tcBorders>
            <w:shd w:val="clear" w:color="auto" w:fill="auto"/>
            <w:vAlign w:val="center"/>
            <w:hideMark/>
          </w:tcPr>
          <w:p w:rsidR="00D80CF8" w:rsidRDefault="00D80CF8">
            <w:pPr>
              <w:jc w:val="right"/>
              <w:rPr>
                <w:rFonts w:ascii="Verdana" w:hAnsi="Verdana" w:cs="Calibri"/>
                <w:color w:val="000000"/>
                <w:sz w:val="20"/>
                <w:szCs w:val="20"/>
              </w:rPr>
            </w:pPr>
            <w:r>
              <w:rPr>
                <w:rFonts w:ascii="Verdana" w:hAnsi="Verdana" w:cs="Calibri"/>
                <w:color w:val="000000"/>
                <w:sz w:val="20"/>
                <w:szCs w:val="20"/>
              </w:rPr>
              <w:t>4.132</w:t>
            </w:r>
          </w:p>
        </w:tc>
      </w:tr>
      <w:tr w:rsidR="00D80CF8" w:rsidTr="00D80CF8">
        <w:trPr>
          <w:trHeight w:val="315"/>
          <w:jc w:val="center"/>
        </w:trPr>
        <w:tc>
          <w:tcPr>
            <w:tcW w:w="3640" w:type="dxa"/>
            <w:tcBorders>
              <w:top w:val="single" w:sz="8" w:space="0" w:color="auto"/>
              <w:left w:val="nil"/>
              <w:bottom w:val="single" w:sz="8" w:space="0" w:color="auto"/>
              <w:right w:val="nil"/>
            </w:tcBorders>
            <w:shd w:val="clear" w:color="auto" w:fill="auto"/>
            <w:vAlign w:val="center"/>
            <w:hideMark/>
          </w:tcPr>
          <w:p w:rsidR="00D80CF8" w:rsidRDefault="00D80CF8">
            <w:pPr>
              <w:rPr>
                <w:rFonts w:ascii="Verdana" w:hAnsi="Verdana" w:cs="Calibri"/>
                <w:b/>
                <w:bCs/>
                <w:color w:val="000080"/>
                <w:sz w:val="20"/>
                <w:szCs w:val="20"/>
              </w:rPr>
            </w:pPr>
            <w:r>
              <w:rPr>
                <w:rFonts w:ascii="Verdana" w:hAnsi="Verdana" w:cs="Arial"/>
                <w:b/>
                <w:bCs/>
                <w:color w:val="000080"/>
                <w:sz w:val="20"/>
                <w:szCs w:val="20"/>
              </w:rPr>
              <w:t>TOTAL</w:t>
            </w:r>
          </w:p>
        </w:tc>
        <w:tc>
          <w:tcPr>
            <w:tcW w:w="1200" w:type="dxa"/>
            <w:tcBorders>
              <w:top w:val="single" w:sz="8" w:space="0" w:color="auto"/>
              <w:left w:val="nil"/>
              <w:bottom w:val="single" w:sz="8" w:space="0" w:color="auto"/>
              <w:right w:val="nil"/>
            </w:tcBorders>
            <w:shd w:val="clear" w:color="auto" w:fill="auto"/>
            <w:vAlign w:val="center"/>
            <w:hideMark/>
          </w:tcPr>
          <w:p w:rsidR="00D80CF8" w:rsidRDefault="00D80CF8">
            <w:pPr>
              <w:jc w:val="right"/>
              <w:rPr>
                <w:rFonts w:ascii="Verdana" w:hAnsi="Verdana" w:cs="Calibri"/>
                <w:b/>
                <w:bCs/>
                <w:color w:val="000000"/>
                <w:sz w:val="20"/>
                <w:szCs w:val="20"/>
              </w:rPr>
            </w:pPr>
            <w:r>
              <w:rPr>
                <w:rFonts w:ascii="Verdana" w:hAnsi="Verdana" w:cs="Calibri"/>
                <w:b/>
                <w:bCs/>
                <w:color w:val="000000"/>
                <w:sz w:val="20"/>
                <w:szCs w:val="20"/>
              </w:rPr>
              <w:t>131.779</w:t>
            </w:r>
          </w:p>
        </w:tc>
      </w:tr>
    </w:tbl>
    <w:p w:rsidR="003B5FC2" w:rsidRPr="00CE214A" w:rsidRDefault="003B5FC2">
      <w:pPr>
        <w:pStyle w:val="Textoindependiente"/>
        <w:spacing w:before="120" w:after="120"/>
        <w:ind w:firstLine="357"/>
        <w:rPr>
          <w:rFonts w:ascii="Verdana" w:hAnsi="Verdana"/>
          <w:sz w:val="20"/>
        </w:rPr>
      </w:pPr>
    </w:p>
    <w:p w:rsidR="007A0E53" w:rsidRDefault="00D80CF8">
      <w:pPr>
        <w:pStyle w:val="Textoindependiente"/>
        <w:spacing w:before="120" w:after="120"/>
        <w:ind w:firstLine="357"/>
        <w:rPr>
          <w:rFonts w:ascii="Verdana" w:hAnsi="Verdana"/>
          <w:sz w:val="20"/>
        </w:rPr>
      </w:pPr>
      <w:r w:rsidRPr="00AD16E1">
        <w:rPr>
          <w:rFonts w:ascii="Verdana" w:hAnsi="Verdana"/>
          <w:sz w:val="20"/>
        </w:rPr>
        <w:t xml:space="preserve">El número de sentencias dictadas ha aumentado en la Sala de la </w:t>
      </w:r>
      <w:r w:rsidR="007A0E53" w:rsidRPr="00AD16E1">
        <w:rPr>
          <w:rFonts w:ascii="Verdana" w:hAnsi="Verdana"/>
          <w:sz w:val="20"/>
        </w:rPr>
        <w:t>A</w:t>
      </w:r>
      <w:r w:rsidRPr="00AD16E1">
        <w:rPr>
          <w:rFonts w:ascii="Verdana" w:hAnsi="Verdana"/>
          <w:sz w:val="20"/>
        </w:rPr>
        <w:t xml:space="preserve">udiencia </w:t>
      </w:r>
      <w:r w:rsidR="007A0E53" w:rsidRPr="00AD16E1">
        <w:rPr>
          <w:rFonts w:ascii="Verdana" w:hAnsi="Verdana"/>
          <w:sz w:val="20"/>
        </w:rPr>
        <w:t>Na</w:t>
      </w:r>
      <w:r w:rsidRPr="00AD16E1">
        <w:rPr>
          <w:rFonts w:ascii="Verdana" w:hAnsi="Verdana"/>
          <w:sz w:val="20"/>
        </w:rPr>
        <w:t xml:space="preserve">cional, el 13,6%, y en el Tribunal </w:t>
      </w:r>
      <w:r w:rsidR="002F644C" w:rsidRPr="00AD16E1">
        <w:rPr>
          <w:rFonts w:ascii="Verdana" w:hAnsi="Verdana"/>
          <w:sz w:val="20"/>
        </w:rPr>
        <w:t>Supremo</w:t>
      </w:r>
      <w:r w:rsidRPr="00AD16E1">
        <w:rPr>
          <w:rFonts w:ascii="Verdana" w:hAnsi="Verdana"/>
          <w:sz w:val="20"/>
        </w:rPr>
        <w:t xml:space="preserve">, el 51,6%. Por el contrario, ha disminuido un 8,4% en </w:t>
      </w:r>
      <w:r w:rsidR="002F644C" w:rsidRPr="00AD16E1">
        <w:rPr>
          <w:rFonts w:ascii="Verdana" w:hAnsi="Verdana"/>
          <w:sz w:val="20"/>
        </w:rPr>
        <w:t>los</w:t>
      </w:r>
      <w:r w:rsidRPr="00AD16E1">
        <w:rPr>
          <w:rFonts w:ascii="Verdana" w:hAnsi="Verdana"/>
          <w:sz w:val="20"/>
        </w:rPr>
        <w:t xml:space="preserve"> juzgados de</w:t>
      </w:r>
      <w:r w:rsidR="007A0E53" w:rsidRPr="00AD16E1">
        <w:rPr>
          <w:rFonts w:ascii="Verdana" w:hAnsi="Verdana"/>
          <w:sz w:val="20"/>
        </w:rPr>
        <w:t xml:space="preserve"> </w:t>
      </w:r>
      <w:r w:rsidRPr="00AD16E1">
        <w:rPr>
          <w:rFonts w:ascii="Verdana" w:hAnsi="Verdana"/>
          <w:sz w:val="20"/>
        </w:rPr>
        <w:t xml:space="preserve">lo contencioso, del </w:t>
      </w:r>
      <w:r w:rsidR="007A0E53" w:rsidRPr="00AD16E1">
        <w:rPr>
          <w:rFonts w:ascii="Verdana" w:hAnsi="Verdana"/>
          <w:sz w:val="20"/>
        </w:rPr>
        <w:t>6% en los juzgados centrales, y del 3,6% en las salas de los tribunales superiores de justicia.</w:t>
      </w:r>
    </w:p>
    <w:p w:rsidR="00626849" w:rsidRPr="00AD16E1" w:rsidRDefault="00626849" w:rsidP="00626849">
      <w:pPr>
        <w:pStyle w:val="Textoindependiente"/>
        <w:spacing w:before="120" w:after="120"/>
        <w:ind w:firstLine="357"/>
        <w:rPr>
          <w:rFonts w:ascii="Verdana" w:hAnsi="Verdana"/>
          <w:sz w:val="20"/>
        </w:rPr>
      </w:pPr>
      <w:r w:rsidRPr="00AD16E1">
        <w:rPr>
          <w:rFonts w:ascii="Verdana" w:hAnsi="Verdana"/>
          <w:sz w:val="20"/>
        </w:rPr>
        <w:t>Las sentencias dictadas en los tribunales superiores de justicia han disminuido un 3,6%, disminución que se aprecia tanto en los recursos de única instancia (-3,9%) como en los de apelación (-3,4%)</w:t>
      </w:r>
      <w:r w:rsidR="00AD16E1" w:rsidRPr="00AD16E1">
        <w:rPr>
          <w:rFonts w:ascii="Verdana" w:hAnsi="Verdana"/>
          <w:sz w:val="20"/>
        </w:rPr>
        <w:t>.  L</w:t>
      </w:r>
      <w:r w:rsidRPr="00AD16E1">
        <w:rPr>
          <w:rFonts w:ascii="Verdana" w:hAnsi="Verdana"/>
          <w:sz w:val="20"/>
        </w:rPr>
        <w:t>a Región de Murcia es la comunidad autónoma con el mayor descenso (-28,4</w:t>
      </w:r>
      <w:r w:rsidR="00293551">
        <w:rPr>
          <w:rFonts w:ascii="Verdana" w:hAnsi="Verdana"/>
          <w:sz w:val="20"/>
        </w:rPr>
        <w:t>);</w:t>
      </w:r>
      <w:r w:rsidRPr="00AD16E1">
        <w:rPr>
          <w:rFonts w:ascii="Verdana" w:hAnsi="Verdana"/>
          <w:sz w:val="20"/>
        </w:rPr>
        <w:t xml:space="preserve"> seguida de Galicia (-19,6%) y Castilla-La Mancha (-19,2%); por el contrario, la evolución de sentencias dictadas es muy positiva en la Comunidad Valenciana, dónde han aumentado el 29,6%, y en Extremadura, con un 8,3%</w:t>
      </w:r>
      <w:r w:rsidR="00293551">
        <w:rPr>
          <w:rFonts w:ascii="Verdana" w:hAnsi="Verdana"/>
          <w:sz w:val="20"/>
        </w:rPr>
        <w:t xml:space="preserve">. </w:t>
      </w:r>
      <w:r w:rsidRPr="00AD16E1">
        <w:rPr>
          <w:rFonts w:ascii="Verdana" w:hAnsi="Verdana"/>
          <w:sz w:val="20"/>
        </w:rPr>
        <w:t xml:space="preserve"> En estas dos comunidades autónomas debe citarse como causa de la favorable evolución de las sentencias dictadas, los planes de refuerzo que se están aplicando en este tipo de órganos.</w:t>
      </w:r>
    </w:p>
    <w:p w:rsidR="009E0899" w:rsidRDefault="009E0899">
      <w:pPr>
        <w:pStyle w:val="Textoindependiente"/>
        <w:spacing w:before="120" w:after="120"/>
        <w:ind w:firstLine="357"/>
        <w:rPr>
          <w:rFonts w:ascii="Verdana" w:hAnsi="Verdana"/>
          <w:sz w:val="20"/>
        </w:rPr>
      </w:pPr>
    </w:p>
    <w:p w:rsidR="00E25942" w:rsidRPr="00293551" w:rsidRDefault="0025228C" w:rsidP="00AD0214">
      <w:pPr>
        <w:pStyle w:val="Textoindependiente"/>
        <w:spacing w:before="120" w:after="120"/>
        <w:ind w:firstLine="357"/>
        <w:rPr>
          <w:rFonts w:ascii="Verdana" w:hAnsi="Verdana"/>
          <w:sz w:val="20"/>
        </w:rPr>
      </w:pPr>
      <w:r w:rsidRPr="00293551">
        <w:rPr>
          <w:rFonts w:ascii="Verdana" w:hAnsi="Verdana"/>
          <w:sz w:val="20"/>
        </w:rPr>
        <w:t>En los juzgados de lo contencios</w:t>
      </w:r>
      <w:r w:rsidR="003D6C43" w:rsidRPr="00293551">
        <w:rPr>
          <w:rFonts w:ascii="Verdana" w:hAnsi="Verdana"/>
          <w:sz w:val="20"/>
        </w:rPr>
        <w:t>o-</w:t>
      </w:r>
      <w:r w:rsidR="00B67D16" w:rsidRPr="00293551">
        <w:rPr>
          <w:rFonts w:ascii="Verdana" w:hAnsi="Verdana"/>
          <w:sz w:val="20"/>
        </w:rPr>
        <w:t xml:space="preserve">administrativo </w:t>
      </w:r>
      <w:r w:rsidRPr="00293551">
        <w:rPr>
          <w:rFonts w:ascii="Verdana" w:hAnsi="Verdana"/>
          <w:sz w:val="20"/>
        </w:rPr>
        <w:t>e</w:t>
      </w:r>
      <w:r w:rsidR="001B4EE3" w:rsidRPr="00293551">
        <w:rPr>
          <w:rFonts w:ascii="Verdana" w:hAnsi="Verdana"/>
          <w:sz w:val="20"/>
        </w:rPr>
        <w:t xml:space="preserve">l </w:t>
      </w:r>
      <w:r w:rsidR="00AA1977" w:rsidRPr="00293551">
        <w:rPr>
          <w:rFonts w:ascii="Verdana" w:hAnsi="Verdana"/>
          <w:sz w:val="20"/>
        </w:rPr>
        <w:t>8</w:t>
      </w:r>
      <w:r w:rsidR="00AD0214" w:rsidRPr="00293551">
        <w:rPr>
          <w:rFonts w:ascii="Verdana" w:hAnsi="Verdana"/>
          <w:sz w:val="20"/>
        </w:rPr>
        <w:t>7,7</w:t>
      </w:r>
      <w:r w:rsidR="001B4EE3" w:rsidRPr="00293551">
        <w:rPr>
          <w:rFonts w:ascii="Verdana" w:hAnsi="Verdana"/>
          <w:sz w:val="20"/>
        </w:rPr>
        <w:t xml:space="preserve">% de las sentencias </w:t>
      </w:r>
      <w:r w:rsidRPr="00293551">
        <w:rPr>
          <w:rFonts w:ascii="Verdana" w:hAnsi="Verdana"/>
          <w:sz w:val="20"/>
        </w:rPr>
        <w:t xml:space="preserve">las han dictado los </w:t>
      </w:r>
      <w:r w:rsidR="001B4EE3" w:rsidRPr="00293551">
        <w:rPr>
          <w:rFonts w:ascii="Verdana" w:hAnsi="Verdana"/>
          <w:sz w:val="20"/>
        </w:rPr>
        <w:t>jueces titulares</w:t>
      </w:r>
      <w:r w:rsidRPr="00293551">
        <w:rPr>
          <w:rFonts w:ascii="Verdana" w:hAnsi="Verdana"/>
          <w:sz w:val="20"/>
        </w:rPr>
        <w:t xml:space="preserve"> del órgano</w:t>
      </w:r>
      <w:r w:rsidR="00CB3C61" w:rsidRPr="00293551">
        <w:rPr>
          <w:rFonts w:ascii="Verdana" w:hAnsi="Verdana"/>
          <w:sz w:val="20"/>
        </w:rPr>
        <w:t xml:space="preserve">. </w:t>
      </w:r>
      <w:r w:rsidR="00973328" w:rsidRPr="00293551">
        <w:rPr>
          <w:rFonts w:ascii="Verdana" w:hAnsi="Verdana"/>
          <w:sz w:val="20"/>
        </w:rPr>
        <w:t>Los</w:t>
      </w:r>
      <w:r w:rsidR="001B4EE3" w:rsidRPr="00293551">
        <w:rPr>
          <w:rFonts w:ascii="Verdana" w:hAnsi="Verdana"/>
          <w:sz w:val="20"/>
        </w:rPr>
        <w:t xml:space="preserve"> porcentaje</w:t>
      </w:r>
      <w:r w:rsidR="00973328" w:rsidRPr="00293551">
        <w:rPr>
          <w:rFonts w:ascii="Verdana" w:hAnsi="Verdana"/>
          <w:sz w:val="20"/>
        </w:rPr>
        <w:t>s</w:t>
      </w:r>
      <w:r w:rsidR="001B4EE3" w:rsidRPr="00293551">
        <w:rPr>
          <w:rFonts w:ascii="Verdana" w:hAnsi="Verdana"/>
          <w:sz w:val="20"/>
        </w:rPr>
        <w:t xml:space="preserve"> m</w:t>
      </w:r>
      <w:r w:rsidR="00E12AC8" w:rsidRPr="00293551">
        <w:rPr>
          <w:rFonts w:ascii="Verdana" w:hAnsi="Verdana"/>
          <w:sz w:val="20"/>
        </w:rPr>
        <w:t>á</w:t>
      </w:r>
      <w:r w:rsidR="001B4EE3" w:rsidRPr="00293551">
        <w:rPr>
          <w:rFonts w:ascii="Verdana" w:hAnsi="Verdana"/>
          <w:sz w:val="20"/>
        </w:rPr>
        <w:t>s alto</w:t>
      </w:r>
      <w:r w:rsidR="00973328" w:rsidRPr="00293551">
        <w:rPr>
          <w:rFonts w:ascii="Verdana" w:hAnsi="Verdana"/>
          <w:sz w:val="20"/>
        </w:rPr>
        <w:t>s</w:t>
      </w:r>
      <w:r w:rsidR="001B4EE3" w:rsidRPr="00293551">
        <w:rPr>
          <w:rFonts w:ascii="Verdana" w:hAnsi="Verdana"/>
          <w:sz w:val="20"/>
        </w:rPr>
        <w:t xml:space="preserve"> se </w:t>
      </w:r>
      <w:r w:rsidR="00074DED" w:rsidRPr="00293551">
        <w:rPr>
          <w:rFonts w:ascii="Verdana" w:hAnsi="Verdana"/>
          <w:sz w:val="20"/>
        </w:rPr>
        <w:t xml:space="preserve"> </w:t>
      </w:r>
      <w:r w:rsidR="001B4EE3" w:rsidRPr="00293551">
        <w:rPr>
          <w:rFonts w:ascii="Verdana" w:hAnsi="Verdana"/>
          <w:sz w:val="20"/>
        </w:rPr>
        <w:t>ha</w:t>
      </w:r>
      <w:r w:rsidR="00973328" w:rsidRPr="00293551">
        <w:rPr>
          <w:rFonts w:ascii="Verdana" w:hAnsi="Verdana"/>
          <w:sz w:val="20"/>
        </w:rPr>
        <w:t>n</w:t>
      </w:r>
      <w:r w:rsidR="001B4EE3" w:rsidRPr="00293551">
        <w:rPr>
          <w:rFonts w:ascii="Verdana" w:hAnsi="Verdana"/>
          <w:sz w:val="20"/>
        </w:rPr>
        <w:t xml:space="preserve"> dado en</w:t>
      </w:r>
      <w:r w:rsidR="00AA1977" w:rsidRPr="00293551">
        <w:rPr>
          <w:rFonts w:ascii="Verdana" w:hAnsi="Verdana"/>
          <w:sz w:val="20"/>
        </w:rPr>
        <w:t xml:space="preserve"> </w:t>
      </w:r>
      <w:r w:rsidR="00AD0214" w:rsidRPr="00293551">
        <w:rPr>
          <w:rFonts w:ascii="Verdana" w:hAnsi="Verdana"/>
          <w:sz w:val="20"/>
        </w:rPr>
        <w:t xml:space="preserve">Navarra, 98,9%; </w:t>
      </w:r>
      <w:r w:rsidR="00CB3C61" w:rsidRPr="00293551">
        <w:rPr>
          <w:rFonts w:ascii="Verdana" w:hAnsi="Verdana"/>
          <w:sz w:val="20"/>
        </w:rPr>
        <w:t>Extremadura, 98,</w:t>
      </w:r>
      <w:r w:rsidR="00AD0214" w:rsidRPr="00293551">
        <w:rPr>
          <w:rFonts w:ascii="Verdana" w:hAnsi="Verdana"/>
          <w:sz w:val="20"/>
        </w:rPr>
        <w:t>5</w:t>
      </w:r>
      <w:r w:rsidR="00CB3C61" w:rsidRPr="00293551">
        <w:rPr>
          <w:rFonts w:ascii="Verdana" w:hAnsi="Verdana"/>
          <w:sz w:val="20"/>
        </w:rPr>
        <w:t xml:space="preserve">%; </w:t>
      </w:r>
      <w:r w:rsidR="00AD0214" w:rsidRPr="00293551">
        <w:rPr>
          <w:rFonts w:ascii="Verdana" w:hAnsi="Verdana"/>
          <w:sz w:val="20"/>
        </w:rPr>
        <w:t xml:space="preserve">Aragón, 98,4%; y Andalucía, 93,8%. </w:t>
      </w:r>
      <w:r w:rsidR="0075769C" w:rsidRPr="00293551">
        <w:rPr>
          <w:rFonts w:ascii="Verdana" w:hAnsi="Verdana"/>
          <w:sz w:val="20"/>
        </w:rPr>
        <w:t>En</w:t>
      </w:r>
      <w:r w:rsidRPr="00293551">
        <w:rPr>
          <w:rFonts w:ascii="Verdana" w:hAnsi="Verdana"/>
          <w:sz w:val="20"/>
        </w:rPr>
        <w:t xml:space="preserve"> Illes Balears, los jueces titulares del </w:t>
      </w:r>
      <w:r w:rsidR="0018371C" w:rsidRPr="00293551">
        <w:rPr>
          <w:rFonts w:ascii="Verdana" w:hAnsi="Verdana"/>
          <w:sz w:val="20"/>
        </w:rPr>
        <w:t>órgano</w:t>
      </w:r>
      <w:r w:rsidRPr="00293551">
        <w:rPr>
          <w:rFonts w:ascii="Verdana" w:hAnsi="Verdana"/>
          <w:sz w:val="20"/>
        </w:rPr>
        <w:t xml:space="preserve"> han dictado sólo el 2</w:t>
      </w:r>
      <w:r w:rsidR="00AD0214" w:rsidRPr="00293551">
        <w:rPr>
          <w:rFonts w:ascii="Verdana" w:hAnsi="Verdana"/>
          <w:sz w:val="20"/>
        </w:rPr>
        <w:t>2</w:t>
      </w:r>
      <w:r w:rsidRPr="00293551">
        <w:rPr>
          <w:rFonts w:ascii="Verdana" w:hAnsi="Verdana"/>
          <w:sz w:val="20"/>
        </w:rPr>
        <w:t>,</w:t>
      </w:r>
      <w:r w:rsidR="00AD0214" w:rsidRPr="00293551">
        <w:rPr>
          <w:rFonts w:ascii="Verdana" w:hAnsi="Verdana"/>
          <w:sz w:val="20"/>
        </w:rPr>
        <w:t>2</w:t>
      </w:r>
      <w:r w:rsidRPr="00293551">
        <w:rPr>
          <w:rFonts w:ascii="Verdana" w:hAnsi="Verdana"/>
          <w:sz w:val="20"/>
        </w:rPr>
        <w:t>% de las sentencias</w:t>
      </w:r>
      <w:r w:rsidR="00AD0214" w:rsidRPr="00293551">
        <w:rPr>
          <w:rFonts w:ascii="Verdana" w:hAnsi="Verdana"/>
          <w:sz w:val="20"/>
        </w:rPr>
        <w:t xml:space="preserve">, y en La Rioja el 53,1%. </w:t>
      </w:r>
      <w:r w:rsidRPr="00293551">
        <w:rPr>
          <w:rFonts w:ascii="Verdana" w:hAnsi="Verdana"/>
          <w:sz w:val="20"/>
        </w:rPr>
        <w:t xml:space="preserve"> </w:t>
      </w:r>
      <w:r w:rsidR="00717556" w:rsidRPr="00293551">
        <w:rPr>
          <w:rFonts w:ascii="Verdana" w:hAnsi="Verdana"/>
          <w:sz w:val="20"/>
        </w:rPr>
        <w:t xml:space="preserve">Los refuerzos más importantes se han dado en Illes Balears, donde el </w:t>
      </w:r>
      <w:r w:rsidR="00CB3C61" w:rsidRPr="00293551">
        <w:rPr>
          <w:rFonts w:ascii="Verdana" w:hAnsi="Verdana"/>
          <w:sz w:val="20"/>
        </w:rPr>
        <w:t>23</w:t>
      </w:r>
      <w:r w:rsidR="00717556" w:rsidRPr="00293551">
        <w:rPr>
          <w:rFonts w:ascii="Verdana" w:hAnsi="Verdana"/>
          <w:sz w:val="20"/>
        </w:rPr>
        <w:t xml:space="preserve">,3% de las sentencias las han </w:t>
      </w:r>
      <w:r w:rsidR="0018371C" w:rsidRPr="00293551">
        <w:rPr>
          <w:rFonts w:ascii="Verdana" w:hAnsi="Verdana"/>
          <w:sz w:val="20"/>
        </w:rPr>
        <w:t>dictado</w:t>
      </w:r>
      <w:r w:rsidR="00717556" w:rsidRPr="00293551">
        <w:rPr>
          <w:rFonts w:ascii="Verdana" w:hAnsi="Verdana"/>
          <w:sz w:val="20"/>
        </w:rPr>
        <w:t xml:space="preserve"> </w:t>
      </w:r>
      <w:r w:rsidR="00AD0214" w:rsidRPr="00293551">
        <w:rPr>
          <w:rFonts w:ascii="Verdana" w:hAnsi="Verdana"/>
          <w:sz w:val="20"/>
        </w:rPr>
        <w:t>jueces sustitutos</w:t>
      </w:r>
      <w:r w:rsidR="00717556" w:rsidRPr="00293551">
        <w:rPr>
          <w:rFonts w:ascii="Verdana" w:hAnsi="Verdana"/>
          <w:sz w:val="20"/>
        </w:rPr>
        <w:t xml:space="preserve"> actuando como refuerzo, </w:t>
      </w:r>
      <w:r w:rsidR="00CB3C61" w:rsidRPr="00293551">
        <w:rPr>
          <w:rFonts w:ascii="Verdana" w:hAnsi="Verdana"/>
          <w:sz w:val="20"/>
        </w:rPr>
        <w:t xml:space="preserve">y el </w:t>
      </w:r>
      <w:r w:rsidR="00AD0214" w:rsidRPr="00293551">
        <w:rPr>
          <w:rFonts w:ascii="Verdana" w:hAnsi="Verdana"/>
          <w:sz w:val="20"/>
        </w:rPr>
        <w:t>30</w:t>
      </w:r>
      <w:r w:rsidR="00CB3C61" w:rsidRPr="00293551">
        <w:rPr>
          <w:rFonts w:ascii="Verdana" w:hAnsi="Verdana"/>
          <w:sz w:val="20"/>
        </w:rPr>
        <w:t>,</w:t>
      </w:r>
      <w:r w:rsidR="00AD0214" w:rsidRPr="00293551">
        <w:rPr>
          <w:rFonts w:ascii="Verdana" w:hAnsi="Verdana"/>
          <w:sz w:val="20"/>
        </w:rPr>
        <w:t>2</w:t>
      </w:r>
      <w:r w:rsidR="00CB3C61" w:rsidRPr="00293551">
        <w:rPr>
          <w:rFonts w:ascii="Verdana" w:hAnsi="Verdana"/>
          <w:sz w:val="20"/>
        </w:rPr>
        <w:t>% JAT actuando como refuerzo.</w:t>
      </w:r>
      <w:r w:rsidR="00AD0214" w:rsidRPr="00293551">
        <w:rPr>
          <w:rFonts w:ascii="Verdana" w:hAnsi="Verdana"/>
          <w:sz w:val="20"/>
        </w:rPr>
        <w:t xml:space="preserve"> En La Rioja, el 14% de las sentencias se han puesto por JAT actuando como refuerzo. </w:t>
      </w:r>
      <w:r w:rsidR="00CB3C61" w:rsidRPr="00293551">
        <w:rPr>
          <w:rFonts w:ascii="Verdana" w:hAnsi="Verdana"/>
          <w:sz w:val="20"/>
        </w:rPr>
        <w:t xml:space="preserve"> </w:t>
      </w:r>
      <w:r w:rsidR="00734C3A" w:rsidRPr="00293551">
        <w:rPr>
          <w:rFonts w:ascii="Verdana" w:hAnsi="Verdana"/>
          <w:sz w:val="20"/>
        </w:rPr>
        <w:t xml:space="preserve">Jueces sustitutos han </w:t>
      </w:r>
      <w:r w:rsidR="00734C3A" w:rsidRPr="00293551">
        <w:rPr>
          <w:rFonts w:ascii="Verdana" w:hAnsi="Verdana"/>
          <w:sz w:val="20"/>
        </w:rPr>
        <w:lastRenderedPageBreak/>
        <w:t xml:space="preserve">puesto el </w:t>
      </w:r>
      <w:r w:rsidR="00AD0214" w:rsidRPr="00293551">
        <w:rPr>
          <w:rFonts w:ascii="Verdana" w:hAnsi="Verdana"/>
          <w:sz w:val="20"/>
        </w:rPr>
        <w:t>4</w:t>
      </w:r>
      <w:r w:rsidR="00734C3A" w:rsidRPr="00293551">
        <w:rPr>
          <w:rFonts w:ascii="Verdana" w:hAnsi="Verdana"/>
          <w:sz w:val="20"/>
        </w:rPr>
        <w:t>,</w:t>
      </w:r>
      <w:r w:rsidR="00AD0214" w:rsidRPr="00293551">
        <w:rPr>
          <w:rFonts w:ascii="Verdana" w:hAnsi="Verdana"/>
          <w:sz w:val="20"/>
        </w:rPr>
        <w:t>5</w:t>
      </w:r>
      <w:r w:rsidR="00734C3A" w:rsidRPr="00293551">
        <w:rPr>
          <w:rFonts w:ascii="Verdana" w:hAnsi="Verdana"/>
          <w:sz w:val="20"/>
        </w:rPr>
        <w:t>% de las sentencias</w:t>
      </w:r>
      <w:r w:rsidR="00AD0214" w:rsidRPr="00293551">
        <w:rPr>
          <w:rFonts w:ascii="Verdana" w:hAnsi="Verdana"/>
          <w:sz w:val="20"/>
        </w:rPr>
        <w:t xml:space="preserve"> sustituyendo a titulares y el 0,5% como refuerzo, pero en Illes </w:t>
      </w:r>
      <w:r w:rsidR="00097707" w:rsidRPr="00293551">
        <w:rPr>
          <w:rFonts w:ascii="Verdana" w:hAnsi="Verdana"/>
          <w:sz w:val="20"/>
        </w:rPr>
        <w:t>Balears</w:t>
      </w:r>
      <w:r w:rsidR="00AD0214" w:rsidRPr="00293551">
        <w:rPr>
          <w:rFonts w:ascii="Verdana" w:hAnsi="Verdana"/>
          <w:sz w:val="20"/>
        </w:rPr>
        <w:t xml:space="preserve"> estos porcentajes han sido del 11,8% y 26,3% respectivamente. Actuando en sustitución del titular han dictado el 13,7% en la C. </w:t>
      </w:r>
      <w:r w:rsidR="00750DCB" w:rsidRPr="00293551">
        <w:rPr>
          <w:rFonts w:ascii="Verdana" w:hAnsi="Verdana"/>
          <w:sz w:val="20"/>
        </w:rPr>
        <w:t>Valenciana</w:t>
      </w:r>
      <w:r w:rsidR="00AD0214" w:rsidRPr="00293551">
        <w:rPr>
          <w:rFonts w:ascii="Verdana" w:hAnsi="Verdana"/>
          <w:sz w:val="20"/>
        </w:rPr>
        <w:t xml:space="preserve">; el 13,3% en Cataluña; el 9,7% en Castilla la </w:t>
      </w:r>
      <w:r w:rsidR="0038667D" w:rsidRPr="00293551">
        <w:rPr>
          <w:rFonts w:ascii="Verdana" w:hAnsi="Verdana"/>
          <w:sz w:val="20"/>
        </w:rPr>
        <w:t>Mancha; y</w:t>
      </w:r>
      <w:r w:rsidR="00AD0214" w:rsidRPr="00293551">
        <w:rPr>
          <w:rFonts w:ascii="Verdana" w:hAnsi="Verdana"/>
          <w:sz w:val="20"/>
        </w:rPr>
        <w:t xml:space="preserve"> el 6,5% en el País Vasco.</w:t>
      </w:r>
      <w:r w:rsidR="00734C3A" w:rsidRPr="00293551">
        <w:rPr>
          <w:rFonts w:ascii="Verdana" w:hAnsi="Verdana"/>
          <w:sz w:val="20"/>
        </w:rPr>
        <w:t xml:space="preserve"> </w:t>
      </w:r>
      <w:r w:rsidR="00E25942" w:rsidRPr="00293551">
        <w:rPr>
          <w:rFonts w:ascii="Verdana" w:hAnsi="Verdana"/>
          <w:sz w:val="20"/>
        </w:rPr>
        <w:t xml:space="preserve">Las dictadas por los jueces </w:t>
      </w:r>
      <w:r w:rsidR="004F4905" w:rsidRPr="00293551">
        <w:rPr>
          <w:rFonts w:ascii="Verdana" w:hAnsi="Verdana"/>
          <w:sz w:val="20"/>
        </w:rPr>
        <w:t>d</w:t>
      </w:r>
      <w:r w:rsidR="00E25942" w:rsidRPr="00293551">
        <w:rPr>
          <w:rFonts w:ascii="Verdana" w:hAnsi="Verdana"/>
          <w:sz w:val="20"/>
        </w:rPr>
        <w:t>e adscripción terr</w:t>
      </w:r>
      <w:r w:rsidR="00CB3C61" w:rsidRPr="00293551">
        <w:rPr>
          <w:rFonts w:ascii="Verdana" w:hAnsi="Verdana"/>
          <w:sz w:val="20"/>
        </w:rPr>
        <w:t xml:space="preserve">itorial han representado el </w:t>
      </w:r>
      <w:r w:rsidR="006A3B5D" w:rsidRPr="00293551">
        <w:rPr>
          <w:rFonts w:ascii="Verdana" w:hAnsi="Verdana"/>
          <w:sz w:val="20"/>
        </w:rPr>
        <w:t>4</w:t>
      </w:r>
      <w:r w:rsidR="00CB3C61" w:rsidRPr="00293551">
        <w:rPr>
          <w:rFonts w:ascii="Verdana" w:hAnsi="Verdana"/>
          <w:sz w:val="20"/>
        </w:rPr>
        <w:t>,</w:t>
      </w:r>
      <w:r w:rsidR="006A3B5D" w:rsidRPr="00293551">
        <w:rPr>
          <w:rFonts w:ascii="Verdana" w:hAnsi="Verdana"/>
          <w:sz w:val="20"/>
        </w:rPr>
        <w:t>4</w:t>
      </w:r>
      <w:r w:rsidR="00E25942" w:rsidRPr="00293551">
        <w:rPr>
          <w:rFonts w:ascii="Verdana" w:hAnsi="Verdana"/>
          <w:sz w:val="20"/>
        </w:rPr>
        <w:t xml:space="preserve">% del total, </w:t>
      </w:r>
      <w:r w:rsidR="00CB3C61" w:rsidRPr="00293551">
        <w:rPr>
          <w:rFonts w:ascii="Verdana" w:hAnsi="Verdana"/>
          <w:sz w:val="20"/>
        </w:rPr>
        <w:t>el 1,</w:t>
      </w:r>
      <w:r w:rsidR="006A3B5D" w:rsidRPr="00293551">
        <w:rPr>
          <w:rFonts w:ascii="Verdana" w:hAnsi="Verdana"/>
          <w:sz w:val="20"/>
        </w:rPr>
        <w:t>5</w:t>
      </w:r>
      <w:r w:rsidR="00CB3C61" w:rsidRPr="00293551">
        <w:rPr>
          <w:rFonts w:ascii="Verdana" w:hAnsi="Verdana"/>
          <w:sz w:val="20"/>
        </w:rPr>
        <w:t xml:space="preserve">% como sustitución y el </w:t>
      </w:r>
      <w:r w:rsidR="006A3B5D" w:rsidRPr="00293551">
        <w:rPr>
          <w:rFonts w:ascii="Verdana" w:hAnsi="Verdana"/>
          <w:sz w:val="20"/>
        </w:rPr>
        <w:t>2</w:t>
      </w:r>
      <w:r w:rsidR="00CB3C61" w:rsidRPr="00293551">
        <w:rPr>
          <w:rFonts w:ascii="Verdana" w:hAnsi="Verdana"/>
          <w:sz w:val="20"/>
        </w:rPr>
        <w:t>,</w:t>
      </w:r>
      <w:r w:rsidR="006A3B5D" w:rsidRPr="00293551">
        <w:rPr>
          <w:rFonts w:ascii="Verdana" w:hAnsi="Verdana"/>
          <w:sz w:val="20"/>
        </w:rPr>
        <w:t>9</w:t>
      </w:r>
      <w:r w:rsidR="00CB3C61" w:rsidRPr="00293551">
        <w:rPr>
          <w:rFonts w:ascii="Verdana" w:hAnsi="Verdana"/>
          <w:sz w:val="20"/>
        </w:rPr>
        <w:t>% como refuerzo. Han sido</w:t>
      </w:r>
      <w:r w:rsidR="008A4F09" w:rsidRPr="00293551">
        <w:rPr>
          <w:rFonts w:ascii="Verdana" w:hAnsi="Verdana"/>
          <w:sz w:val="20"/>
        </w:rPr>
        <w:t xml:space="preserve"> especialmente relevantes en L</w:t>
      </w:r>
      <w:r w:rsidR="00717556" w:rsidRPr="00293551">
        <w:rPr>
          <w:rFonts w:ascii="Verdana" w:hAnsi="Verdana"/>
          <w:sz w:val="20"/>
        </w:rPr>
        <w:t xml:space="preserve">a Rioja, </w:t>
      </w:r>
      <w:r w:rsidR="006A3B5D" w:rsidRPr="00293551">
        <w:rPr>
          <w:rFonts w:ascii="Verdana" w:hAnsi="Verdana"/>
          <w:sz w:val="20"/>
        </w:rPr>
        <w:t>donde han representado el 30,4% como sustitución y el 14% como refuerzo.</w:t>
      </w:r>
    </w:p>
    <w:p w:rsidR="00BE4774" w:rsidRPr="00293551" w:rsidRDefault="00B67D16" w:rsidP="00DE45F5">
      <w:pPr>
        <w:pStyle w:val="Textoindependiente"/>
        <w:spacing w:before="120" w:after="120"/>
        <w:ind w:firstLine="357"/>
        <w:rPr>
          <w:rFonts w:ascii="Verdana" w:hAnsi="Verdana"/>
          <w:sz w:val="20"/>
        </w:rPr>
      </w:pPr>
      <w:r w:rsidRPr="00293551">
        <w:rPr>
          <w:rFonts w:ascii="Verdana" w:hAnsi="Verdana"/>
          <w:sz w:val="20"/>
        </w:rPr>
        <w:t>En las salas de lo c</w:t>
      </w:r>
      <w:r w:rsidR="00DE45F5" w:rsidRPr="00293551">
        <w:rPr>
          <w:rFonts w:ascii="Verdana" w:hAnsi="Verdana"/>
          <w:sz w:val="20"/>
        </w:rPr>
        <w:t>onte</w:t>
      </w:r>
      <w:r w:rsidR="003D6C43" w:rsidRPr="00293551">
        <w:rPr>
          <w:rFonts w:ascii="Verdana" w:hAnsi="Verdana"/>
          <w:sz w:val="20"/>
        </w:rPr>
        <w:t>ncioso-</w:t>
      </w:r>
      <w:r w:rsidRPr="00293551">
        <w:rPr>
          <w:rFonts w:ascii="Verdana" w:hAnsi="Verdana"/>
          <w:sz w:val="20"/>
        </w:rPr>
        <w:t>administrativo de los tribunales superiores de j</w:t>
      </w:r>
      <w:r w:rsidR="00DE45F5" w:rsidRPr="00293551">
        <w:rPr>
          <w:rFonts w:ascii="Verdana" w:hAnsi="Verdana"/>
          <w:sz w:val="20"/>
        </w:rPr>
        <w:t xml:space="preserve">usticia el </w:t>
      </w:r>
      <w:r w:rsidR="00881EA4" w:rsidRPr="00293551">
        <w:rPr>
          <w:rFonts w:ascii="Verdana" w:hAnsi="Verdana"/>
          <w:sz w:val="20"/>
        </w:rPr>
        <w:t>8</w:t>
      </w:r>
      <w:r w:rsidR="00B773C0" w:rsidRPr="00293551">
        <w:rPr>
          <w:rFonts w:ascii="Verdana" w:hAnsi="Verdana"/>
          <w:sz w:val="20"/>
        </w:rPr>
        <w:t>7</w:t>
      </w:r>
      <w:r w:rsidR="00B00ABF" w:rsidRPr="00293551">
        <w:rPr>
          <w:rFonts w:ascii="Verdana" w:hAnsi="Verdana"/>
          <w:sz w:val="20"/>
        </w:rPr>
        <w:t>,</w:t>
      </w:r>
      <w:r w:rsidR="00B773C0" w:rsidRPr="00293551">
        <w:rPr>
          <w:rFonts w:ascii="Verdana" w:hAnsi="Verdana"/>
          <w:sz w:val="20"/>
        </w:rPr>
        <w:t>8</w:t>
      </w:r>
      <w:r w:rsidR="00DE45F5" w:rsidRPr="00293551">
        <w:rPr>
          <w:rFonts w:ascii="Verdana" w:hAnsi="Verdana"/>
          <w:sz w:val="20"/>
        </w:rPr>
        <w:t>% de las sentencias han sido dictadas por titulares</w:t>
      </w:r>
      <w:r w:rsidR="00B773C0" w:rsidRPr="00293551">
        <w:rPr>
          <w:rFonts w:ascii="Verdana" w:hAnsi="Verdana"/>
          <w:sz w:val="20"/>
        </w:rPr>
        <w:t xml:space="preserve"> en actuación ordinaria y el 2,2% como </w:t>
      </w:r>
      <w:r w:rsidR="00750DCB" w:rsidRPr="00293551">
        <w:rPr>
          <w:rFonts w:ascii="Verdana" w:hAnsi="Verdana"/>
          <w:sz w:val="20"/>
        </w:rPr>
        <w:t>auto refuerzo</w:t>
      </w:r>
      <w:r w:rsidR="00B00ABF" w:rsidRPr="00293551">
        <w:rPr>
          <w:rFonts w:ascii="Verdana" w:hAnsi="Verdana"/>
          <w:sz w:val="20"/>
        </w:rPr>
        <w:t xml:space="preserve">. </w:t>
      </w:r>
      <w:r w:rsidR="00BB5CE5" w:rsidRPr="00293551">
        <w:rPr>
          <w:rFonts w:ascii="Verdana" w:hAnsi="Verdana"/>
          <w:sz w:val="20"/>
        </w:rPr>
        <w:t xml:space="preserve"> En</w:t>
      </w:r>
      <w:r w:rsidR="00B00ABF" w:rsidRPr="00293551">
        <w:rPr>
          <w:rFonts w:ascii="Verdana" w:hAnsi="Verdana"/>
          <w:sz w:val="20"/>
        </w:rPr>
        <w:t xml:space="preserve"> </w:t>
      </w:r>
      <w:r w:rsidR="00BB5CE5" w:rsidRPr="00293551">
        <w:rPr>
          <w:rFonts w:ascii="Verdana" w:hAnsi="Verdana"/>
          <w:sz w:val="20"/>
        </w:rPr>
        <w:t xml:space="preserve"> </w:t>
      </w:r>
      <w:r w:rsidR="00EB76B9" w:rsidRPr="00293551">
        <w:rPr>
          <w:rFonts w:ascii="Verdana" w:hAnsi="Verdana"/>
          <w:sz w:val="20"/>
        </w:rPr>
        <w:t>Illes Balears</w:t>
      </w:r>
      <w:r w:rsidR="00881EA4" w:rsidRPr="00293551">
        <w:rPr>
          <w:rFonts w:ascii="Verdana" w:hAnsi="Verdana"/>
          <w:sz w:val="20"/>
        </w:rPr>
        <w:t xml:space="preserve"> </w:t>
      </w:r>
      <w:r w:rsidR="00B773C0" w:rsidRPr="00293551">
        <w:rPr>
          <w:rFonts w:ascii="Verdana" w:hAnsi="Verdana"/>
          <w:sz w:val="20"/>
        </w:rPr>
        <w:t xml:space="preserve">y Navarra </w:t>
      </w:r>
      <w:r w:rsidR="00BB5CE5" w:rsidRPr="00293551">
        <w:rPr>
          <w:rFonts w:ascii="Verdana" w:hAnsi="Verdana"/>
          <w:sz w:val="20"/>
        </w:rPr>
        <w:t>han dictado el 100%</w:t>
      </w:r>
      <w:r w:rsidR="00B00ABF" w:rsidRPr="00293551">
        <w:rPr>
          <w:rFonts w:ascii="Verdana" w:hAnsi="Verdana"/>
          <w:sz w:val="20"/>
        </w:rPr>
        <w:t xml:space="preserve"> y en </w:t>
      </w:r>
      <w:r w:rsidR="00B773C0" w:rsidRPr="00293551">
        <w:rPr>
          <w:rFonts w:ascii="Verdana" w:hAnsi="Verdana"/>
          <w:sz w:val="20"/>
        </w:rPr>
        <w:t>Asturias</w:t>
      </w:r>
      <w:r w:rsidR="00B00ABF" w:rsidRPr="00293551">
        <w:rPr>
          <w:rFonts w:ascii="Verdana" w:hAnsi="Verdana"/>
          <w:sz w:val="20"/>
        </w:rPr>
        <w:t xml:space="preserve"> el 98,</w:t>
      </w:r>
      <w:r w:rsidR="00B773C0" w:rsidRPr="00293551">
        <w:rPr>
          <w:rFonts w:ascii="Verdana" w:hAnsi="Verdana"/>
          <w:sz w:val="20"/>
        </w:rPr>
        <w:t>4</w:t>
      </w:r>
      <w:r w:rsidR="00B00ABF" w:rsidRPr="00293551">
        <w:rPr>
          <w:rFonts w:ascii="Verdana" w:hAnsi="Verdana"/>
          <w:sz w:val="20"/>
        </w:rPr>
        <w:t>%.</w:t>
      </w:r>
      <w:r w:rsidR="00BB5CE5" w:rsidRPr="00293551">
        <w:rPr>
          <w:rFonts w:ascii="Verdana" w:hAnsi="Verdana"/>
          <w:sz w:val="20"/>
        </w:rPr>
        <w:t xml:space="preserve"> Los</w:t>
      </w:r>
      <w:r w:rsidR="00DE45F5" w:rsidRPr="00293551">
        <w:rPr>
          <w:rFonts w:ascii="Verdana" w:hAnsi="Verdana"/>
          <w:sz w:val="20"/>
        </w:rPr>
        <w:t xml:space="preserve"> porcentaje</w:t>
      </w:r>
      <w:r w:rsidR="00BB5CE5" w:rsidRPr="00293551">
        <w:rPr>
          <w:rFonts w:ascii="Verdana" w:hAnsi="Verdana"/>
          <w:sz w:val="20"/>
        </w:rPr>
        <w:t>s</w:t>
      </w:r>
      <w:r w:rsidR="00DE45F5" w:rsidRPr="00293551">
        <w:rPr>
          <w:rFonts w:ascii="Verdana" w:hAnsi="Verdana"/>
          <w:sz w:val="20"/>
        </w:rPr>
        <w:t xml:space="preserve"> más bajo</w:t>
      </w:r>
      <w:r w:rsidR="00BB5CE5" w:rsidRPr="00293551">
        <w:rPr>
          <w:rFonts w:ascii="Verdana" w:hAnsi="Verdana"/>
          <w:sz w:val="20"/>
        </w:rPr>
        <w:t>s</w:t>
      </w:r>
      <w:r w:rsidR="00DE45F5" w:rsidRPr="00293551">
        <w:rPr>
          <w:rFonts w:ascii="Verdana" w:hAnsi="Verdana"/>
          <w:sz w:val="20"/>
        </w:rPr>
        <w:t xml:space="preserve"> se ha</w:t>
      </w:r>
      <w:r w:rsidR="00BB5CE5" w:rsidRPr="00293551">
        <w:rPr>
          <w:rFonts w:ascii="Verdana" w:hAnsi="Verdana"/>
          <w:sz w:val="20"/>
        </w:rPr>
        <w:t>n</w:t>
      </w:r>
      <w:r w:rsidR="00DE45F5" w:rsidRPr="00293551">
        <w:rPr>
          <w:rFonts w:ascii="Verdana" w:hAnsi="Verdana"/>
          <w:sz w:val="20"/>
        </w:rPr>
        <w:t xml:space="preserve"> dado en</w:t>
      </w:r>
      <w:r w:rsidR="007F678F" w:rsidRPr="00293551">
        <w:rPr>
          <w:rFonts w:ascii="Verdana" w:hAnsi="Verdana"/>
          <w:sz w:val="20"/>
        </w:rPr>
        <w:t xml:space="preserve"> </w:t>
      </w:r>
      <w:r w:rsidR="00EB76B9" w:rsidRPr="00293551">
        <w:rPr>
          <w:rFonts w:ascii="Verdana" w:hAnsi="Verdana"/>
          <w:sz w:val="20"/>
        </w:rPr>
        <w:t xml:space="preserve">Murcia, </w:t>
      </w:r>
      <w:r w:rsidR="00B773C0" w:rsidRPr="00293551">
        <w:rPr>
          <w:rFonts w:ascii="Verdana" w:hAnsi="Verdana"/>
          <w:sz w:val="20"/>
        </w:rPr>
        <w:t>6</w:t>
      </w:r>
      <w:r w:rsidR="00EB76B9" w:rsidRPr="00293551">
        <w:rPr>
          <w:rFonts w:ascii="Verdana" w:hAnsi="Verdana"/>
          <w:sz w:val="20"/>
        </w:rPr>
        <w:t>7,</w:t>
      </w:r>
      <w:r w:rsidR="00B773C0" w:rsidRPr="00293551">
        <w:rPr>
          <w:rFonts w:ascii="Verdana" w:hAnsi="Verdana"/>
          <w:sz w:val="20"/>
        </w:rPr>
        <w:t>9</w:t>
      </w:r>
      <w:r w:rsidR="00EB76B9" w:rsidRPr="00293551">
        <w:rPr>
          <w:rFonts w:ascii="Verdana" w:hAnsi="Verdana"/>
          <w:sz w:val="20"/>
        </w:rPr>
        <w:t>%</w:t>
      </w:r>
      <w:r w:rsidR="00B773C0" w:rsidRPr="00293551">
        <w:rPr>
          <w:rFonts w:ascii="Verdana" w:hAnsi="Verdana"/>
          <w:sz w:val="20"/>
        </w:rPr>
        <w:t xml:space="preserve"> y Castilla la Mancha, 78,7%</w:t>
      </w:r>
      <w:r w:rsidR="00EB76B9" w:rsidRPr="00293551">
        <w:rPr>
          <w:rFonts w:ascii="Verdana" w:hAnsi="Verdana"/>
          <w:sz w:val="20"/>
        </w:rPr>
        <w:t>.</w:t>
      </w:r>
      <w:r w:rsidR="0075769C" w:rsidRPr="00293551">
        <w:rPr>
          <w:rFonts w:ascii="Verdana" w:hAnsi="Verdana"/>
          <w:sz w:val="20"/>
        </w:rPr>
        <w:t xml:space="preserve"> </w:t>
      </w:r>
      <w:r w:rsidR="0019398F" w:rsidRPr="00293551">
        <w:rPr>
          <w:rFonts w:ascii="Verdana" w:hAnsi="Verdana"/>
          <w:sz w:val="20"/>
        </w:rPr>
        <w:t>Las s</w:t>
      </w:r>
      <w:r w:rsidR="00D83F79" w:rsidRPr="00293551">
        <w:rPr>
          <w:rFonts w:ascii="Verdana" w:hAnsi="Verdana"/>
          <w:sz w:val="20"/>
        </w:rPr>
        <w:t>entencias di</w:t>
      </w:r>
      <w:r w:rsidR="0019398F" w:rsidRPr="00293551">
        <w:rPr>
          <w:rFonts w:ascii="Verdana" w:hAnsi="Verdana"/>
          <w:sz w:val="20"/>
        </w:rPr>
        <w:t>ctada</w:t>
      </w:r>
      <w:r w:rsidR="00D83F79" w:rsidRPr="00293551">
        <w:rPr>
          <w:rFonts w:ascii="Verdana" w:hAnsi="Verdana"/>
          <w:sz w:val="20"/>
        </w:rPr>
        <w:t>s</w:t>
      </w:r>
      <w:r w:rsidR="0019398F" w:rsidRPr="00293551">
        <w:rPr>
          <w:rFonts w:ascii="Verdana" w:hAnsi="Verdana"/>
          <w:sz w:val="20"/>
        </w:rPr>
        <w:t xml:space="preserve"> en refuerzos han representado el </w:t>
      </w:r>
      <w:r w:rsidR="00B773C0" w:rsidRPr="00293551">
        <w:rPr>
          <w:rFonts w:ascii="Verdana" w:hAnsi="Verdana"/>
          <w:sz w:val="20"/>
        </w:rPr>
        <w:t>5</w:t>
      </w:r>
      <w:r w:rsidR="0019398F" w:rsidRPr="00293551">
        <w:rPr>
          <w:rFonts w:ascii="Verdana" w:hAnsi="Verdana"/>
          <w:sz w:val="20"/>
        </w:rPr>
        <w:t>,</w:t>
      </w:r>
      <w:r w:rsidR="00B773C0" w:rsidRPr="00293551">
        <w:rPr>
          <w:rFonts w:ascii="Verdana" w:hAnsi="Verdana"/>
          <w:sz w:val="20"/>
        </w:rPr>
        <w:t>5</w:t>
      </w:r>
      <w:r w:rsidR="0019398F" w:rsidRPr="00293551">
        <w:rPr>
          <w:rFonts w:ascii="Verdana" w:hAnsi="Verdana"/>
          <w:sz w:val="20"/>
        </w:rPr>
        <w:t>%</w:t>
      </w:r>
      <w:r w:rsidR="00D83F79" w:rsidRPr="00293551">
        <w:rPr>
          <w:rFonts w:ascii="Verdana" w:hAnsi="Verdana"/>
          <w:sz w:val="20"/>
        </w:rPr>
        <w:t xml:space="preserve">, llegándose en </w:t>
      </w:r>
      <w:r w:rsidR="00B773C0" w:rsidRPr="00293551">
        <w:rPr>
          <w:rFonts w:ascii="Verdana" w:hAnsi="Verdana"/>
          <w:sz w:val="20"/>
        </w:rPr>
        <w:t xml:space="preserve">Extremadura, el 23,7%, todas como </w:t>
      </w:r>
      <w:r w:rsidR="00750DCB" w:rsidRPr="00293551">
        <w:rPr>
          <w:rFonts w:ascii="Verdana" w:hAnsi="Verdana"/>
          <w:sz w:val="20"/>
        </w:rPr>
        <w:t>auto refuerzos</w:t>
      </w:r>
      <w:r w:rsidR="00B773C0" w:rsidRPr="00293551">
        <w:rPr>
          <w:rFonts w:ascii="Verdana" w:hAnsi="Verdana"/>
          <w:sz w:val="20"/>
        </w:rPr>
        <w:t xml:space="preserve">; </w:t>
      </w:r>
      <w:r w:rsidR="00D83F79" w:rsidRPr="00293551">
        <w:rPr>
          <w:rFonts w:ascii="Verdana" w:hAnsi="Verdana"/>
          <w:sz w:val="20"/>
        </w:rPr>
        <w:t xml:space="preserve"> </w:t>
      </w:r>
      <w:r w:rsidR="00B773C0" w:rsidRPr="00293551">
        <w:rPr>
          <w:rFonts w:ascii="Verdana" w:hAnsi="Verdana"/>
          <w:sz w:val="20"/>
        </w:rPr>
        <w:t xml:space="preserve">Aragón, 16,3%; y Castilla la Mancha, 14,2%. </w:t>
      </w:r>
      <w:r w:rsidR="00881EA4" w:rsidRPr="00293551">
        <w:rPr>
          <w:rFonts w:ascii="Verdana" w:hAnsi="Verdana"/>
          <w:sz w:val="20"/>
        </w:rPr>
        <w:t xml:space="preserve">Los </w:t>
      </w:r>
      <w:r w:rsidR="000618BE" w:rsidRPr="00293551">
        <w:rPr>
          <w:rFonts w:ascii="Verdana" w:hAnsi="Verdana"/>
          <w:sz w:val="20"/>
        </w:rPr>
        <w:t>magistrados</w:t>
      </w:r>
      <w:r w:rsidR="00881EA4" w:rsidRPr="00293551">
        <w:rPr>
          <w:rFonts w:ascii="Verdana" w:hAnsi="Verdana"/>
          <w:sz w:val="20"/>
        </w:rPr>
        <w:t xml:space="preserve"> suplentes han dictado el </w:t>
      </w:r>
      <w:r w:rsidR="00DA11A4" w:rsidRPr="00293551">
        <w:rPr>
          <w:rFonts w:ascii="Verdana" w:hAnsi="Verdana"/>
          <w:sz w:val="20"/>
        </w:rPr>
        <w:t>4</w:t>
      </w:r>
      <w:r w:rsidR="00BE4774" w:rsidRPr="00293551">
        <w:rPr>
          <w:rFonts w:ascii="Verdana" w:hAnsi="Verdana"/>
          <w:sz w:val="20"/>
        </w:rPr>
        <w:t>,4</w:t>
      </w:r>
      <w:r w:rsidR="00881EA4" w:rsidRPr="00293551">
        <w:rPr>
          <w:rFonts w:ascii="Verdana" w:hAnsi="Verdana"/>
          <w:sz w:val="20"/>
        </w:rPr>
        <w:t>% de las sentencias</w:t>
      </w:r>
      <w:r w:rsidR="00DA11A4" w:rsidRPr="00293551">
        <w:rPr>
          <w:rFonts w:ascii="Verdana" w:hAnsi="Verdana"/>
          <w:sz w:val="20"/>
        </w:rPr>
        <w:t xml:space="preserve">; el </w:t>
      </w:r>
      <w:r w:rsidR="00BE4774" w:rsidRPr="00293551">
        <w:rPr>
          <w:rFonts w:ascii="Verdana" w:hAnsi="Verdana"/>
          <w:sz w:val="20"/>
        </w:rPr>
        <w:t>3</w:t>
      </w:r>
      <w:r w:rsidR="00DA11A4" w:rsidRPr="00293551">
        <w:rPr>
          <w:rFonts w:ascii="Verdana" w:hAnsi="Verdana"/>
          <w:sz w:val="20"/>
        </w:rPr>
        <w:t>,</w:t>
      </w:r>
      <w:r w:rsidR="00BE4774" w:rsidRPr="00293551">
        <w:rPr>
          <w:rFonts w:ascii="Verdana" w:hAnsi="Verdana"/>
          <w:sz w:val="20"/>
        </w:rPr>
        <w:t>2</w:t>
      </w:r>
      <w:r w:rsidR="00DA11A4" w:rsidRPr="00293551">
        <w:rPr>
          <w:rFonts w:ascii="Verdana" w:hAnsi="Verdana"/>
          <w:sz w:val="20"/>
        </w:rPr>
        <w:t xml:space="preserve">% como sustitución del titular y el </w:t>
      </w:r>
      <w:r w:rsidR="00BE4774" w:rsidRPr="00293551">
        <w:rPr>
          <w:rFonts w:ascii="Verdana" w:hAnsi="Verdana"/>
          <w:sz w:val="20"/>
        </w:rPr>
        <w:t>1</w:t>
      </w:r>
      <w:r w:rsidR="00DA11A4" w:rsidRPr="00293551">
        <w:rPr>
          <w:rFonts w:ascii="Verdana" w:hAnsi="Verdana"/>
          <w:sz w:val="20"/>
        </w:rPr>
        <w:t>,</w:t>
      </w:r>
      <w:r w:rsidR="00BE4774" w:rsidRPr="00293551">
        <w:rPr>
          <w:rFonts w:ascii="Verdana" w:hAnsi="Verdana"/>
          <w:sz w:val="20"/>
        </w:rPr>
        <w:t>2</w:t>
      </w:r>
      <w:r w:rsidR="00DA11A4" w:rsidRPr="00293551">
        <w:rPr>
          <w:rFonts w:ascii="Verdana" w:hAnsi="Verdana"/>
          <w:sz w:val="20"/>
        </w:rPr>
        <w:t xml:space="preserve">% como refuerzo. </w:t>
      </w:r>
      <w:r w:rsidR="00881EA4" w:rsidRPr="00293551">
        <w:rPr>
          <w:rFonts w:ascii="Verdana" w:hAnsi="Verdana"/>
          <w:sz w:val="20"/>
        </w:rPr>
        <w:t xml:space="preserve">En </w:t>
      </w:r>
      <w:r w:rsidR="00BE4774" w:rsidRPr="00293551">
        <w:rPr>
          <w:rFonts w:ascii="Verdana" w:hAnsi="Verdana"/>
          <w:sz w:val="20"/>
        </w:rPr>
        <w:t xml:space="preserve">el </w:t>
      </w:r>
      <w:r w:rsidR="0038667D" w:rsidRPr="00293551">
        <w:rPr>
          <w:rFonts w:ascii="Verdana" w:hAnsi="Verdana"/>
          <w:sz w:val="20"/>
        </w:rPr>
        <w:t>País</w:t>
      </w:r>
      <w:r w:rsidR="00BE4774" w:rsidRPr="00293551">
        <w:rPr>
          <w:rFonts w:ascii="Verdana" w:hAnsi="Verdana"/>
          <w:sz w:val="20"/>
        </w:rPr>
        <w:t xml:space="preserve"> Vasco han representado el 19,6%, en Galicia el 7,4%; y en Cataluña el 3,6% como sustitución del titular y el 8,9% como refuerzo.</w:t>
      </w:r>
    </w:p>
    <w:p w:rsidR="009E0899" w:rsidRDefault="009E0899" w:rsidP="00DE45F5">
      <w:pPr>
        <w:pStyle w:val="Textoindependiente"/>
        <w:spacing w:before="120" w:after="120"/>
        <w:ind w:firstLine="357"/>
        <w:rPr>
          <w:rFonts w:ascii="Verdana" w:hAnsi="Verdana"/>
          <w:sz w:val="20"/>
        </w:rPr>
      </w:pPr>
    </w:p>
    <w:p w:rsidR="00C02B6B" w:rsidRPr="00293551" w:rsidRDefault="0057161F" w:rsidP="00DE45F5">
      <w:pPr>
        <w:pStyle w:val="Textoindependiente"/>
        <w:spacing w:before="120" w:after="120"/>
        <w:ind w:firstLine="357"/>
        <w:rPr>
          <w:rFonts w:ascii="Verdana" w:hAnsi="Verdana"/>
          <w:sz w:val="20"/>
        </w:rPr>
      </w:pPr>
      <w:r w:rsidRPr="00293551">
        <w:rPr>
          <w:rFonts w:ascii="Verdana" w:hAnsi="Verdana"/>
          <w:sz w:val="20"/>
        </w:rPr>
        <w:t xml:space="preserve">El siguiente cuadro resume los porcentajes de sentencias dictados en los </w:t>
      </w:r>
      <w:r w:rsidR="00AC15C5" w:rsidRPr="00293551">
        <w:rPr>
          <w:rFonts w:ascii="Verdana" w:hAnsi="Verdana"/>
          <w:sz w:val="20"/>
        </w:rPr>
        <w:t>distintos</w:t>
      </w:r>
      <w:r w:rsidRPr="00293551">
        <w:rPr>
          <w:rFonts w:ascii="Verdana" w:hAnsi="Verdana"/>
          <w:sz w:val="20"/>
        </w:rPr>
        <w:t xml:space="preserve"> tipos de actuación:</w:t>
      </w:r>
    </w:p>
    <w:tbl>
      <w:tblPr>
        <w:tblW w:w="11263" w:type="dxa"/>
        <w:jc w:val="center"/>
        <w:tblInd w:w="656" w:type="dxa"/>
        <w:tblCellMar>
          <w:left w:w="70" w:type="dxa"/>
          <w:right w:w="70" w:type="dxa"/>
        </w:tblCellMar>
        <w:tblLook w:val="04A0" w:firstRow="1" w:lastRow="0" w:firstColumn="1" w:lastColumn="0" w:noHBand="0" w:noVBand="1"/>
      </w:tblPr>
      <w:tblGrid>
        <w:gridCol w:w="1719"/>
        <w:gridCol w:w="1160"/>
        <w:gridCol w:w="1100"/>
        <w:gridCol w:w="1113"/>
        <w:gridCol w:w="890"/>
        <w:gridCol w:w="1113"/>
        <w:gridCol w:w="890"/>
        <w:gridCol w:w="1113"/>
        <w:gridCol w:w="890"/>
        <w:gridCol w:w="1275"/>
      </w:tblGrid>
      <w:tr w:rsidR="001F7C36" w:rsidRPr="00293551" w:rsidTr="001F7C36">
        <w:trPr>
          <w:trHeight w:val="315"/>
          <w:jc w:val="center"/>
        </w:trPr>
        <w:tc>
          <w:tcPr>
            <w:tcW w:w="1719" w:type="dxa"/>
            <w:tcBorders>
              <w:top w:val="nil"/>
              <w:left w:val="nil"/>
              <w:bottom w:val="nil"/>
              <w:right w:val="nil"/>
            </w:tcBorders>
            <w:shd w:val="clear" w:color="auto" w:fill="auto"/>
            <w:noWrap/>
            <w:vAlign w:val="bottom"/>
            <w:hideMark/>
          </w:tcPr>
          <w:p w:rsidR="001F7C36" w:rsidRPr="00293551" w:rsidRDefault="001F7C36" w:rsidP="00FB0811">
            <w:pPr>
              <w:rPr>
                <w:sz w:val="20"/>
                <w:szCs w:val="20"/>
                <w:lang w:val="es-ES"/>
              </w:rPr>
            </w:pPr>
          </w:p>
        </w:tc>
        <w:tc>
          <w:tcPr>
            <w:tcW w:w="2260" w:type="dxa"/>
            <w:gridSpan w:val="2"/>
            <w:tcBorders>
              <w:top w:val="single" w:sz="8" w:space="0" w:color="1F497D"/>
              <w:left w:val="nil"/>
              <w:bottom w:val="single" w:sz="8" w:space="0" w:color="1F497D"/>
              <w:right w:val="nil"/>
            </w:tcBorders>
            <w:shd w:val="clear" w:color="auto" w:fill="auto"/>
            <w:noWrap/>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Titular del órgano</w:t>
            </w:r>
          </w:p>
        </w:tc>
        <w:tc>
          <w:tcPr>
            <w:tcW w:w="2003" w:type="dxa"/>
            <w:gridSpan w:val="2"/>
            <w:tcBorders>
              <w:top w:val="single" w:sz="8" w:space="0" w:color="1F497D"/>
              <w:left w:val="nil"/>
              <w:bottom w:val="single" w:sz="8" w:space="0" w:color="1F497D"/>
              <w:right w:val="nil"/>
            </w:tcBorders>
            <w:shd w:val="clear" w:color="auto" w:fill="auto"/>
            <w:noWrap/>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Titular otro  órgano</w:t>
            </w:r>
          </w:p>
        </w:tc>
        <w:tc>
          <w:tcPr>
            <w:tcW w:w="2003" w:type="dxa"/>
            <w:gridSpan w:val="2"/>
            <w:tcBorders>
              <w:top w:val="single" w:sz="8" w:space="0" w:color="1F497D"/>
              <w:left w:val="nil"/>
              <w:bottom w:val="single" w:sz="8" w:space="0" w:color="1F497D"/>
              <w:right w:val="nil"/>
            </w:tcBorders>
            <w:shd w:val="clear" w:color="auto" w:fill="auto"/>
            <w:noWrap/>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Sustituto</w:t>
            </w:r>
          </w:p>
        </w:tc>
        <w:tc>
          <w:tcPr>
            <w:tcW w:w="2003" w:type="dxa"/>
            <w:gridSpan w:val="2"/>
            <w:tcBorders>
              <w:top w:val="single" w:sz="8" w:space="0" w:color="1F497D"/>
              <w:left w:val="nil"/>
              <w:bottom w:val="single" w:sz="8" w:space="0" w:color="1F497D"/>
              <w:right w:val="nil"/>
            </w:tcBorders>
            <w:shd w:val="clear" w:color="auto" w:fill="auto"/>
            <w:noWrap/>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JAT</w:t>
            </w:r>
          </w:p>
        </w:tc>
        <w:tc>
          <w:tcPr>
            <w:tcW w:w="1275" w:type="dxa"/>
            <w:vMerge w:val="restart"/>
            <w:tcBorders>
              <w:top w:val="single" w:sz="8" w:space="0" w:color="1F497D"/>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Otros magistrados</w:t>
            </w:r>
          </w:p>
        </w:tc>
      </w:tr>
      <w:tr w:rsidR="001F7C36" w:rsidRPr="00293551" w:rsidTr="001F7C36">
        <w:trPr>
          <w:trHeight w:val="465"/>
          <w:jc w:val="center"/>
        </w:trPr>
        <w:tc>
          <w:tcPr>
            <w:tcW w:w="1719" w:type="dxa"/>
            <w:tcBorders>
              <w:top w:val="nil"/>
              <w:left w:val="nil"/>
              <w:bottom w:val="nil"/>
              <w:right w:val="nil"/>
            </w:tcBorders>
            <w:shd w:val="clear" w:color="auto" w:fill="auto"/>
            <w:vAlign w:val="center"/>
            <w:hideMark/>
          </w:tcPr>
          <w:p w:rsidR="001F7C36" w:rsidRPr="00293551" w:rsidRDefault="001F7C36" w:rsidP="00FB0811">
            <w:pPr>
              <w:rPr>
                <w:sz w:val="20"/>
                <w:szCs w:val="20"/>
                <w:lang w:val="es-ES"/>
              </w:rPr>
            </w:pPr>
          </w:p>
        </w:tc>
        <w:tc>
          <w:tcPr>
            <w:tcW w:w="1160"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 xml:space="preserve"> Actuación ordinaria</w:t>
            </w:r>
          </w:p>
        </w:tc>
        <w:tc>
          <w:tcPr>
            <w:tcW w:w="1100"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Refuerzo</w:t>
            </w:r>
          </w:p>
        </w:tc>
        <w:tc>
          <w:tcPr>
            <w:tcW w:w="1113"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sustitución</w:t>
            </w:r>
          </w:p>
        </w:tc>
        <w:tc>
          <w:tcPr>
            <w:tcW w:w="890"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refuerzo</w:t>
            </w:r>
          </w:p>
        </w:tc>
        <w:tc>
          <w:tcPr>
            <w:tcW w:w="1113"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sustitución</w:t>
            </w:r>
          </w:p>
        </w:tc>
        <w:tc>
          <w:tcPr>
            <w:tcW w:w="890"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refuerzo</w:t>
            </w:r>
          </w:p>
        </w:tc>
        <w:tc>
          <w:tcPr>
            <w:tcW w:w="1113"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sustitución</w:t>
            </w:r>
          </w:p>
        </w:tc>
        <w:tc>
          <w:tcPr>
            <w:tcW w:w="890" w:type="dxa"/>
            <w:tcBorders>
              <w:top w:val="nil"/>
              <w:left w:val="nil"/>
              <w:bottom w:val="nil"/>
              <w:right w:val="nil"/>
            </w:tcBorders>
            <w:shd w:val="clear" w:color="auto" w:fill="auto"/>
            <w:vAlign w:val="center"/>
            <w:hideMark/>
          </w:tcPr>
          <w:p w:rsidR="001F7C36" w:rsidRPr="00293551" w:rsidRDefault="001F7C36" w:rsidP="00FB0811">
            <w:pPr>
              <w:jc w:val="center"/>
              <w:rPr>
                <w:rFonts w:ascii="Verdana" w:hAnsi="Verdana" w:cs="Calibri"/>
                <w:sz w:val="18"/>
                <w:szCs w:val="18"/>
                <w:lang w:val="es-ES"/>
              </w:rPr>
            </w:pPr>
            <w:r w:rsidRPr="00293551">
              <w:rPr>
                <w:rFonts w:ascii="Verdana" w:hAnsi="Verdana" w:cs="Calibri"/>
                <w:sz w:val="18"/>
                <w:szCs w:val="18"/>
                <w:lang w:val="es-ES"/>
              </w:rPr>
              <w:t xml:space="preserve"> refuerzo</w:t>
            </w:r>
          </w:p>
        </w:tc>
        <w:tc>
          <w:tcPr>
            <w:tcW w:w="1275" w:type="dxa"/>
            <w:vMerge/>
            <w:tcBorders>
              <w:top w:val="single" w:sz="8" w:space="0" w:color="1F497D"/>
              <w:left w:val="nil"/>
              <w:bottom w:val="nil"/>
              <w:right w:val="nil"/>
            </w:tcBorders>
            <w:vAlign w:val="center"/>
            <w:hideMark/>
          </w:tcPr>
          <w:p w:rsidR="001F7C36" w:rsidRPr="00293551" w:rsidRDefault="001F7C36" w:rsidP="00FB0811">
            <w:pPr>
              <w:rPr>
                <w:rFonts w:ascii="Verdana" w:hAnsi="Verdana" w:cs="Calibri"/>
                <w:sz w:val="18"/>
                <w:szCs w:val="18"/>
                <w:lang w:val="es-ES"/>
              </w:rPr>
            </w:pPr>
          </w:p>
        </w:tc>
      </w:tr>
      <w:tr w:rsidR="002601EC" w:rsidRPr="00293551" w:rsidTr="005E6A27">
        <w:trPr>
          <w:trHeight w:val="510"/>
          <w:jc w:val="center"/>
        </w:trPr>
        <w:tc>
          <w:tcPr>
            <w:tcW w:w="1719" w:type="dxa"/>
            <w:tcBorders>
              <w:top w:val="single" w:sz="8" w:space="0" w:color="auto"/>
              <w:left w:val="nil"/>
              <w:bottom w:val="nil"/>
              <w:right w:val="nil"/>
            </w:tcBorders>
            <w:shd w:val="clear" w:color="auto" w:fill="auto"/>
            <w:vAlign w:val="center"/>
            <w:hideMark/>
          </w:tcPr>
          <w:p w:rsidR="002601EC" w:rsidRPr="00293551" w:rsidRDefault="002601EC" w:rsidP="00FB0811">
            <w:pPr>
              <w:rPr>
                <w:rFonts w:ascii="Verdana" w:hAnsi="Verdana" w:cs="Calibri"/>
                <w:sz w:val="20"/>
                <w:szCs w:val="20"/>
                <w:lang w:val="es-ES"/>
              </w:rPr>
            </w:pPr>
            <w:r w:rsidRPr="00293551">
              <w:rPr>
                <w:rFonts w:ascii="Verdana" w:hAnsi="Verdana" w:cs="Calibri"/>
                <w:sz w:val="20"/>
                <w:szCs w:val="20"/>
                <w:lang w:val="es-ES"/>
              </w:rPr>
              <w:t>Jdos. de lo Contencioso Advo.</w:t>
            </w:r>
          </w:p>
        </w:tc>
        <w:tc>
          <w:tcPr>
            <w:tcW w:w="1160"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88,1</w:t>
            </w:r>
          </w:p>
        </w:tc>
        <w:tc>
          <w:tcPr>
            <w:tcW w:w="1100"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2,7</w:t>
            </w:r>
          </w:p>
        </w:tc>
        <w:tc>
          <w:tcPr>
            <w:tcW w:w="890"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0,9</w:t>
            </w:r>
          </w:p>
        </w:tc>
        <w:tc>
          <w:tcPr>
            <w:tcW w:w="1113"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5,7</w:t>
            </w:r>
          </w:p>
        </w:tc>
        <w:tc>
          <w:tcPr>
            <w:tcW w:w="890"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0,2</w:t>
            </w:r>
          </w:p>
        </w:tc>
        <w:tc>
          <w:tcPr>
            <w:tcW w:w="1113"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0,4</w:t>
            </w:r>
          </w:p>
        </w:tc>
        <w:tc>
          <w:tcPr>
            <w:tcW w:w="890"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1,7</w:t>
            </w:r>
          </w:p>
        </w:tc>
        <w:tc>
          <w:tcPr>
            <w:tcW w:w="1275" w:type="dxa"/>
            <w:tcBorders>
              <w:top w:val="single" w:sz="8" w:space="0" w:color="auto"/>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0,3</w:t>
            </w:r>
          </w:p>
        </w:tc>
      </w:tr>
      <w:tr w:rsidR="002601EC" w:rsidRPr="00293551" w:rsidTr="001F7C36">
        <w:trPr>
          <w:trHeight w:val="510"/>
          <w:jc w:val="center"/>
        </w:trPr>
        <w:tc>
          <w:tcPr>
            <w:tcW w:w="1719" w:type="dxa"/>
            <w:tcBorders>
              <w:top w:val="nil"/>
              <w:left w:val="nil"/>
              <w:bottom w:val="nil"/>
              <w:right w:val="nil"/>
            </w:tcBorders>
            <w:shd w:val="clear" w:color="auto" w:fill="auto"/>
            <w:vAlign w:val="center"/>
            <w:hideMark/>
          </w:tcPr>
          <w:p w:rsidR="002601EC" w:rsidRPr="00293551" w:rsidRDefault="002601EC" w:rsidP="00FB0811">
            <w:pPr>
              <w:rPr>
                <w:rFonts w:ascii="Verdana" w:hAnsi="Verdana" w:cs="Calibri"/>
                <w:sz w:val="20"/>
                <w:szCs w:val="20"/>
                <w:lang w:val="es-ES"/>
              </w:rPr>
            </w:pPr>
            <w:r w:rsidRPr="00293551">
              <w:rPr>
                <w:rFonts w:ascii="Verdana" w:hAnsi="Verdana" w:cs="Calibri"/>
                <w:sz w:val="20"/>
                <w:szCs w:val="20"/>
                <w:lang w:val="es-ES"/>
              </w:rPr>
              <w:t xml:space="preserve">T.S.J. Sala Contencioso Advo. </w:t>
            </w:r>
          </w:p>
        </w:tc>
        <w:tc>
          <w:tcPr>
            <w:tcW w:w="116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86,9</w:t>
            </w:r>
          </w:p>
        </w:tc>
        <w:tc>
          <w:tcPr>
            <w:tcW w:w="110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1,6</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2,5</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2,0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2,4</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0,8</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1,9</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275"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1,9</w:t>
            </w:r>
          </w:p>
        </w:tc>
      </w:tr>
      <w:tr w:rsidR="002601EC" w:rsidRPr="00293551" w:rsidTr="001F7C36">
        <w:trPr>
          <w:trHeight w:val="510"/>
          <w:jc w:val="center"/>
        </w:trPr>
        <w:tc>
          <w:tcPr>
            <w:tcW w:w="1719" w:type="dxa"/>
            <w:tcBorders>
              <w:top w:val="nil"/>
              <w:left w:val="nil"/>
              <w:bottom w:val="nil"/>
              <w:right w:val="nil"/>
            </w:tcBorders>
            <w:shd w:val="clear" w:color="auto" w:fill="auto"/>
            <w:vAlign w:val="center"/>
            <w:hideMark/>
          </w:tcPr>
          <w:p w:rsidR="002601EC" w:rsidRPr="00293551" w:rsidRDefault="002601EC" w:rsidP="00FB0811">
            <w:pPr>
              <w:rPr>
                <w:rFonts w:ascii="Verdana" w:hAnsi="Verdana" w:cs="Calibri"/>
                <w:sz w:val="20"/>
                <w:szCs w:val="20"/>
                <w:lang w:val="es-ES"/>
              </w:rPr>
            </w:pPr>
            <w:r w:rsidRPr="00293551">
              <w:rPr>
                <w:rFonts w:ascii="Verdana" w:hAnsi="Verdana" w:cs="Calibri"/>
                <w:sz w:val="20"/>
                <w:szCs w:val="20"/>
                <w:lang w:val="es-ES"/>
              </w:rPr>
              <w:t>Jdos. Centrales de lo Contencioso Advo.</w:t>
            </w:r>
          </w:p>
        </w:tc>
        <w:tc>
          <w:tcPr>
            <w:tcW w:w="116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84,1</w:t>
            </w:r>
          </w:p>
        </w:tc>
        <w:tc>
          <w:tcPr>
            <w:tcW w:w="110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0,1</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15,9</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275"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r>
      <w:tr w:rsidR="002601EC" w:rsidRPr="00293551" w:rsidTr="001F7C36">
        <w:trPr>
          <w:trHeight w:val="510"/>
          <w:jc w:val="center"/>
        </w:trPr>
        <w:tc>
          <w:tcPr>
            <w:tcW w:w="1719" w:type="dxa"/>
            <w:tcBorders>
              <w:top w:val="nil"/>
              <w:left w:val="nil"/>
              <w:bottom w:val="nil"/>
              <w:right w:val="nil"/>
            </w:tcBorders>
            <w:shd w:val="clear" w:color="auto" w:fill="auto"/>
            <w:vAlign w:val="center"/>
            <w:hideMark/>
          </w:tcPr>
          <w:p w:rsidR="002601EC" w:rsidRPr="00293551" w:rsidRDefault="002601EC" w:rsidP="00FB0811">
            <w:pPr>
              <w:rPr>
                <w:rFonts w:ascii="Verdana" w:hAnsi="Verdana" w:cs="Calibri"/>
                <w:sz w:val="20"/>
                <w:szCs w:val="20"/>
                <w:lang w:val="es-ES"/>
              </w:rPr>
            </w:pPr>
            <w:r w:rsidRPr="00293551">
              <w:rPr>
                <w:rFonts w:ascii="Verdana" w:hAnsi="Verdana" w:cs="Calibri"/>
                <w:sz w:val="20"/>
                <w:szCs w:val="20"/>
                <w:lang w:val="es-ES"/>
              </w:rPr>
              <w:t>A.N.  Sala Contencioso</w:t>
            </w:r>
          </w:p>
        </w:tc>
        <w:tc>
          <w:tcPr>
            <w:tcW w:w="116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99,5</w:t>
            </w:r>
          </w:p>
        </w:tc>
        <w:tc>
          <w:tcPr>
            <w:tcW w:w="110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0,5</w:t>
            </w:r>
          </w:p>
        </w:tc>
        <w:tc>
          <w:tcPr>
            <w:tcW w:w="1113"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275" w:type="dxa"/>
            <w:tcBorders>
              <w:top w:val="nil"/>
              <w:left w:val="nil"/>
              <w:bottom w:val="nil"/>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r>
      <w:tr w:rsidR="002601EC" w:rsidRPr="00293551" w:rsidTr="001F7C36">
        <w:trPr>
          <w:trHeight w:val="525"/>
          <w:jc w:val="center"/>
        </w:trPr>
        <w:tc>
          <w:tcPr>
            <w:tcW w:w="1719" w:type="dxa"/>
            <w:tcBorders>
              <w:top w:val="nil"/>
              <w:left w:val="nil"/>
              <w:bottom w:val="single" w:sz="8" w:space="0" w:color="auto"/>
              <w:right w:val="nil"/>
            </w:tcBorders>
            <w:shd w:val="clear" w:color="auto" w:fill="auto"/>
            <w:vAlign w:val="center"/>
            <w:hideMark/>
          </w:tcPr>
          <w:p w:rsidR="002601EC" w:rsidRPr="00293551" w:rsidRDefault="002601EC" w:rsidP="00FB0811">
            <w:pPr>
              <w:rPr>
                <w:rFonts w:ascii="Verdana" w:hAnsi="Verdana" w:cs="Calibri"/>
                <w:sz w:val="20"/>
                <w:szCs w:val="20"/>
                <w:lang w:val="es-ES"/>
              </w:rPr>
            </w:pPr>
            <w:r w:rsidRPr="00293551">
              <w:rPr>
                <w:rFonts w:ascii="Verdana" w:hAnsi="Verdana" w:cs="Calibri"/>
                <w:sz w:val="20"/>
                <w:szCs w:val="20"/>
                <w:lang w:val="es-ES"/>
              </w:rPr>
              <w:t>Tribunal Supremo Sala 3ª</w:t>
            </w:r>
          </w:p>
        </w:tc>
        <w:tc>
          <w:tcPr>
            <w:tcW w:w="1160"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94,9</w:t>
            </w:r>
          </w:p>
        </w:tc>
        <w:tc>
          <w:tcPr>
            <w:tcW w:w="1100"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113"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890"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0,0</w:t>
            </w:r>
          </w:p>
        </w:tc>
        <w:tc>
          <w:tcPr>
            <w:tcW w:w="1275" w:type="dxa"/>
            <w:tcBorders>
              <w:top w:val="nil"/>
              <w:left w:val="nil"/>
              <w:bottom w:val="single" w:sz="8" w:space="0" w:color="auto"/>
              <w:right w:val="nil"/>
            </w:tcBorders>
            <w:shd w:val="clear" w:color="auto" w:fill="auto"/>
            <w:noWrap/>
            <w:vAlign w:val="bottom"/>
            <w:hideMark/>
          </w:tcPr>
          <w:p w:rsidR="002601EC" w:rsidRPr="00293551" w:rsidRDefault="002601EC">
            <w:pPr>
              <w:jc w:val="right"/>
              <w:rPr>
                <w:rFonts w:ascii="Verdana" w:hAnsi="Verdana" w:cs="Calibri"/>
                <w:color w:val="000000"/>
                <w:sz w:val="20"/>
                <w:szCs w:val="20"/>
              </w:rPr>
            </w:pPr>
            <w:r w:rsidRPr="00293551">
              <w:rPr>
                <w:rFonts w:ascii="Verdana" w:hAnsi="Verdana" w:cs="Calibri"/>
                <w:color w:val="000000"/>
                <w:sz w:val="20"/>
                <w:szCs w:val="20"/>
              </w:rPr>
              <w:t>5,1*</w:t>
            </w:r>
          </w:p>
        </w:tc>
      </w:tr>
    </w:tbl>
    <w:p w:rsidR="005F4588" w:rsidRPr="00293551" w:rsidRDefault="005F4588" w:rsidP="005F4588">
      <w:pPr>
        <w:rPr>
          <w:rFonts w:ascii="Verdana" w:hAnsi="Verdana" w:cs="Arial"/>
          <w:bCs/>
          <w:sz w:val="18"/>
        </w:rPr>
      </w:pPr>
      <w:r w:rsidRPr="00293551">
        <w:rPr>
          <w:rFonts w:ascii="Verdana" w:hAnsi="Verdana" w:cs="Arial"/>
          <w:bCs/>
          <w:sz w:val="18"/>
        </w:rPr>
        <w:t xml:space="preserve">* </w:t>
      </w:r>
      <w:r w:rsidRPr="00293551">
        <w:rPr>
          <w:rFonts w:ascii="Verdana" w:hAnsi="Verdana" w:cs="Arial"/>
          <w:bCs/>
          <w:sz w:val="16"/>
          <w:szCs w:val="16"/>
        </w:rPr>
        <w:t>dictadas por magistrados eméritos</w:t>
      </w:r>
    </w:p>
    <w:p w:rsidR="00137E18" w:rsidRDefault="00B30E5E" w:rsidP="00137E18">
      <w:pPr>
        <w:pStyle w:val="Textoindependiente"/>
        <w:spacing w:before="120" w:after="120"/>
        <w:ind w:firstLine="357"/>
        <w:rPr>
          <w:rFonts w:ascii="Verdana" w:hAnsi="Verdana"/>
          <w:sz w:val="20"/>
        </w:rPr>
      </w:pPr>
      <w:r w:rsidRPr="00293551">
        <w:rPr>
          <w:rFonts w:ascii="Verdana" w:hAnsi="Verdana"/>
          <w:sz w:val="20"/>
        </w:rPr>
        <w:t>E</w:t>
      </w:r>
      <w:r w:rsidR="00526868" w:rsidRPr="00293551">
        <w:rPr>
          <w:rFonts w:ascii="Verdana" w:hAnsi="Verdana"/>
          <w:sz w:val="20"/>
        </w:rPr>
        <w:t xml:space="preserve">l número de decretos finales ha </w:t>
      </w:r>
      <w:r w:rsidR="00745D3F" w:rsidRPr="00293551">
        <w:rPr>
          <w:rFonts w:ascii="Verdana" w:hAnsi="Verdana"/>
          <w:sz w:val="20"/>
        </w:rPr>
        <w:t>disminuido</w:t>
      </w:r>
      <w:r w:rsidR="00591841" w:rsidRPr="00293551">
        <w:rPr>
          <w:rFonts w:ascii="Verdana" w:hAnsi="Verdana"/>
          <w:sz w:val="20"/>
        </w:rPr>
        <w:t xml:space="preserve"> un </w:t>
      </w:r>
      <w:r w:rsidR="00137E18" w:rsidRPr="00293551">
        <w:rPr>
          <w:rFonts w:ascii="Verdana" w:hAnsi="Verdana"/>
          <w:sz w:val="20"/>
        </w:rPr>
        <w:t>3</w:t>
      </w:r>
      <w:r w:rsidR="00745D3F" w:rsidRPr="00293551">
        <w:rPr>
          <w:rFonts w:ascii="Verdana" w:hAnsi="Verdana"/>
          <w:sz w:val="20"/>
        </w:rPr>
        <w:t>,</w:t>
      </w:r>
      <w:r w:rsidR="00137E18" w:rsidRPr="00293551">
        <w:rPr>
          <w:rFonts w:ascii="Verdana" w:hAnsi="Verdana"/>
          <w:sz w:val="20"/>
        </w:rPr>
        <w:t>1</w:t>
      </w:r>
      <w:r w:rsidR="00745D3F" w:rsidRPr="00293551">
        <w:rPr>
          <w:rFonts w:ascii="Verdana" w:hAnsi="Verdana"/>
          <w:sz w:val="20"/>
        </w:rPr>
        <w:t>3</w:t>
      </w:r>
      <w:r w:rsidR="00526868" w:rsidRPr="00293551">
        <w:rPr>
          <w:rFonts w:ascii="Verdana" w:hAnsi="Verdana"/>
          <w:sz w:val="20"/>
        </w:rPr>
        <w:t>%</w:t>
      </w:r>
      <w:r w:rsidR="00FF6C64" w:rsidRPr="00293551">
        <w:rPr>
          <w:rFonts w:ascii="Verdana" w:hAnsi="Verdana"/>
          <w:sz w:val="20"/>
        </w:rPr>
        <w:t xml:space="preserve"> respecto a 201</w:t>
      </w:r>
      <w:r w:rsidR="00137E18" w:rsidRPr="00293551">
        <w:rPr>
          <w:rFonts w:ascii="Verdana" w:hAnsi="Verdana"/>
          <w:sz w:val="20"/>
        </w:rPr>
        <w:t>6</w:t>
      </w:r>
      <w:r w:rsidR="00591841" w:rsidRPr="00293551">
        <w:rPr>
          <w:rFonts w:ascii="Verdana" w:hAnsi="Verdana"/>
          <w:sz w:val="20"/>
        </w:rPr>
        <w:t xml:space="preserve">; </w:t>
      </w:r>
      <w:r w:rsidR="00137E18" w:rsidRPr="00293551">
        <w:rPr>
          <w:rFonts w:ascii="Verdana" w:hAnsi="Verdana"/>
          <w:sz w:val="20"/>
        </w:rPr>
        <w:t>disminuyendo un 2,2% en la fase declarativa y aumentando un 15,9% en la de ejecución.</w:t>
      </w:r>
    </w:p>
    <w:p w:rsidR="00526868" w:rsidRPr="00CE214A" w:rsidRDefault="00526868" w:rsidP="00137E18">
      <w:pPr>
        <w:pStyle w:val="Textoindependiente"/>
        <w:spacing w:before="120" w:after="120"/>
        <w:ind w:left="1077"/>
        <w:rPr>
          <w:rFonts w:ascii="Verdana" w:hAnsi="Verdana"/>
          <w:sz w:val="20"/>
        </w:rPr>
      </w:pPr>
    </w:p>
    <w:tbl>
      <w:tblPr>
        <w:tblW w:w="10100" w:type="dxa"/>
        <w:jc w:val="center"/>
        <w:tblInd w:w="55" w:type="dxa"/>
        <w:tblCellMar>
          <w:left w:w="70" w:type="dxa"/>
          <w:right w:w="70" w:type="dxa"/>
        </w:tblCellMar>
        <w:tblLook w:val="04A0" w:firstRow="1" w:lastRow="0" w:firstColumn="1" w:lastColumn="0" w:noHBand="0" w:noVBand="1"/>
      </w:tblPr>
      <w:tblGrid>
        <w:gridCol w:w="3240"/>
        <w:gridCol w:w="878"/>
        <w:gridCol w:w="1288"/>
        <w:gridCol w:w="1070"/>
        <w:gridCol w:w="1160"/>
        <w:gridCol w:w="1264"/>
        <w:gridCol w:w="1200"/>
      </w:tblGrid>
      <w:tr w:rsidR="00137E18" w:rsidTr="00851DF2">
        <w:trPr>
          <w:trHeight w:val="1365"/>
          <w:jc w:val="center"/>
        </w:trPr>
        <w:tc>
          <w:tcPr>
            <w:tcW w:w="3240" w:type="dxa"/>
            <w:tcBorders>
              <w:top w:val="nil"/>
              <w:left w:val="nil"/>
              <w:bottom w:val="nil"/>
              <w:right w:val="nil"/>
            </w:tcBorders>
            <w:shd w:val="clear" w:color="auto" w:fill="auto"/>
            <w:noWrap/>
            <w:vAlign w:val="bottom"/>
            <w:hideMark/>
          </w:tcPr>
          <w:p w:rsidR="00137E18" w:rsidRDefault="00137E18">
            <w:pPr>
              <w:rPr>
                <w:rFonts w:ascii="Calibri" w:hAnsi="Calibri" w:cs="Calibri"/>
                <w:color w:val="000000"/>
                <w:sz w:val="22"/>
                <w:szCs w:val="22"/>
              </w:rPr>
            </w:pPr>
          </w:p>
        </w:tc>
        <w:tc>
          <w:tcPr>
            <w:tcW w:w="878"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Total</w:t>
            </w:r>
          </w:p>
        </w:tc>
        <w:tc>
          <w:tcPr>
            <w:tcW w:w="1288"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 Fase Declarativa</w:t>
            </w:r>
          </w:p>
        </w:tc>
        <w:tc>
          <w:tcPr>
            <w:tcW w:w="1070"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 Fase Ejecutiva</w:t>
            </w:r>
          </w:p>
        </w:tc>
        <w:tc>
          <w:tcPr>
            <w:tcW w:w="1160"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Evolución total decretos finales respecto a 2016</w:t>
            </w:r>
          </w:p>
        </w:tc>
        <w:tc>
          <w:tcPr>
            <w:tcW w:w="1264"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Evolución  decretos en fase declarativa respecto a 2016</w:t>
            </w:r>
          </w:p>
        </w:tc>
        <w:tc>
          <w:tcPr>
            <w:tcW w:w="1200" w:type="dxa"/>
            <w:tcBorders>
              <w:top w:val="single" w:sz="8" w:space="0" w:color="000080"/>
              <w:left w:val="nil"/>
              <w:bottom w:val="nil"/>
              <w:right w:val="nil"/>
            </w:tcBorders>
            <w:shd w:val="clear" w:color="auto" w:fill="auto"/>
            <w:vAlign w:val="center"/>
            <w:hideMark/>
          </w:tcPr>
          <w:p w:rsidR="00137E18" w:rsidRDefault="00137E18">
            <w:pPr>
              <w:jc w:val="center"/>
              <w:rPr>
                <w:rFonts w:ascii="Verdana" w:hAnsi="Verdana" w:cs="Calibri"/>
                <w:b/>
                <w:bCs/>
                <w:color w:val="000080"/>
                <w:sz w:val="18"/>
                <w:szCs w:val="18"/>
              </w:rPr>
            </w:pPr>
            <w:r>
              <w:rPr>
                <w:rFonts w:ascii="Verdana" w:hAnsi="Verdana" w:cs="Calibri"/>
                <w:b/>
                <w:bCs/>
                <w:color w:val="000080"/>
                <w:sz w:val="18"/>
                <w:szCs w:val="18"/>
              </w:rPr>
              <w:t>Evolución  decretos en ejecución respecto a 2016</w:t>
            </w:r>
          </w:p>
        </w:tc>
      </w:tr>
      <w:tr w:rsidR="00137E18" w:rsidTr="00851DF2">
        <w:trPr>
          <w:trHeight w:val="300"/>
          <w:jc w:val="center"/>
        </w:trPr>
        <w:tc>
          <w:tcPr>
            <w:tcW w:w="3240" w:type="dxa"/>
            <w:tcBorders>
              <w:top w:val="single" w:sz="8" w:space="0" w:color="auto"/>
              <w:left w:val="nil"/>
              <w:bottom w:val="nil"/>
              <w:right w:val="nil"/>
            </w:tcBorders>
            <w:shd w:val="clear" w:color="auto" w:fill="auto"/>
            <w:noWrap/>
            <w:vAlign w:val="center"/>
            <w:hideMark/>
          </w:tcPr>
          <w:p w:rsidR="00137E18" w:rsidRDefault="00137E18">
            <w:pPr>
              <w:rPr>
                <w:rFonts w:ascii="Verdana" w:hAnsi="Verdana" w:cs="Calibri"/>
                <w:color w:val="000000"/>
                <w:sz w:val="18"/>
                <w:szCs w:val="18"/>
              </w:rPr>
            </w:pPr>
            <w:r>
              <w:rPr>
                <w:rFonts w:ascii="Verdana" w:hAnsi="Verdana" w:cs="Calibri"/>
                <w:color w:val="000000"/>
                <w:sz w:val="18"/>
                <w:szCs w:val="18"/>
              </w:rPr>
              <w:t xml:space="preserve">Jdos Cont.-administrativo                               </w:t>
            </w:r>
          </w:p>
        </w:tc>
        <w:tc>
          <w:tcPr>
            <w:tcW w:w="878" w:type="dxa"/>
            <w:tcBorders>
              <w:top w:val="single" w:sz="8" w:space="0" w:color="000080"/>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27.582</w:t>
            </w:r>
          </w:p>
        </w:tc>
        <w:tc>
          <w:tcPr>
            <w:tcW w:w="1288" w:type="dxa"/>
            <w:tcBorders>
              <w:top w:val="single" w:sz="8" w:space="0" w:color="000080"/>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19.393</w:t>
            </w:r>
          </w:p>
        </w:tc>
        <w:tc>
          <w:tcPr>
            <w:tcW w:w="1070" w:type="dxa"/>
            <w:tcBorders>
              <w:top w:val="single" w:sz="8" w:space="0" w:color="000080"/>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8.189</w:t>
            </w:r>
          </w:p>
        </w:tc>
        <w:tc>
          <w:tcPr>
            <w:tcW w:w="1160" w:type="dxa"/>
            <w:tcBorders>
              <w:top w:val="single" w:sz="8" w:space="0" w:color="000080"/>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3,9%</w:t>
            </w:r>
          </w:p>
        </w:tc>
        <w:tc>
          <w:tcPr>
            <w:tcW w:w="1264" w:type="dxa"/>
            <w:tcBorders>
              <w:top w:val="single" w:sz="8" w:space="0" w:color="000080"/>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-1,7%</w:t>
            </w:r>
          </w:p>
        </w:tc>
        <w:tc>
          <w:tcPr>
            <w:tcW w:w="1200" w:type="dxa"/>
            <w:tcBorders>
              <w:top w:val="single" w:sz="8" w:space="0" w:color="000080"/>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19,8%</w:t>
            </w:r>
          </w:p>
        </w:tc>
      </w:tr>
      <w:tr w:rsidR="00137E18" w:rsidTr="00851DF2">
        <w:trPr>
          <w:trHeight w:val="300"/>
          <w:jc w:val="center"/>
        </w:trPr>
        <w:tc>
          <w:tcPr>
            <w:tcW w:w="3240" w:type="dxa"/>
            <w:tcBorders>
              <w:top w:val="nil"/>
              <w:left w:val="nil"/>
              <w:bottom w:val="nil"/>
              <w:right w:val="nil"/>
            </w:tcBorders>
            <w:shd w:val="clear" w:color="auto" w:fill="auto"/>
            <w:noWrap/>
            <w:vAlign w:val="center"/>
            <w:hideMark/>
          </w:tcPr>
          <w:p w:rsidR="00137E18" w:rsidRDefault="00137E18">
            <w:pPr>
              <w:rPr>
                <w:rFonts w:ascii="Verdana" w:hAnsi="Verdana" w:cs="Calibri"/>
                <w:color w:val="000000"/>
                <w:sz w:val="18"/>
                <w:szCs w:val="18"/>
              </w:rPr>
            </w:pPr>
            <w:r>
              <w:rPr>
                <w:rFonts w:ascii="Verdana" w:hAnsi="Verdana" w:cs="Calibri"/>
                <w:color w:val="000000"/>
                <w:sz w:val="18"/>
                <w:szCs w:val="18"/>
              </w:rPr>
              <w:t xml:space="preserve">Jdos Central Cont.-administrativo   </w:t>
            </w:r>
          </w:p>
        </w:tc>
        <w:tc>
          <w:tcPr>
            <w:tcW w:w="878"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361</w:t>
            </w:r>
          </w:p>
        </w:tc>
        <w:tc>
          <w:tcPr>
            <w:tcW w:w="1288"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161</w:t>
            </w:r>
          </w:p>
        </w:tc>
        <w:tc>
          <w:tcPr>
            <w:tcW w:w="1070"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200</w:t>
            </w:r>
          </w:p>
        </w:tc>
        <w:tc>
          <w:tcPr>
            <w:tcW w:w="1160"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3,1%</w:t>
            </w:r>
          </w:p>
        </w:tc>
        <w:tc>
          <w:tcPr>
            <w:tcW w:w="1264"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-29,7%</w:t>
            </w:r>
          </w:p>
        </w:tc>
        <w:tc>
          <w:tcPr>
            <w:tcW w:w="1200"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65,3%</w:t>
            </w:r>
          </w:p>
        </w:tc>
      </w:tr>
      <w:tr w:rsidR="00137E18" w:rsidTr="00851DF2">
        <w:trPr>
          <w:trHeight w:val="300"/>
          <w:jc w:val="center"/>
        </w:trPr>
        <w:tc>
          <w:tcPr>
            <w:tcW w:w="3240" w:type="dxa"/>
            <w:tcBorders>
              <w:top w:val="nil"/>
              <w:left w:val="nil"/>
              <w:bottom w:val="nil"/>
              <w:right w:val="nil"/>
            </w:tcBorders>
            <w:shd w:val="clear" w:color="auto" w:fill="auto"/>
            <w:noWrap/>
            <w:vAlign w:val="center"/>
            <w:hideMark/>
          </w:tcPr>
          <w:p w:rsidR="00137E18" w:rsidRDefault="00137E18">
            <w:pPr>
              <w:rPr>
                <w:rFonts w:ascii="Verdana" w:hAnsi="Verdana" w:cs="Calibri"/>
                <w:color w:val="000000"/>
                <w:sz w:val="18"/>
                <w:szCs w:val="18"/>
              </w:rPr>
            </w:pPr>
            <w:r>
              <w:rPr>
                <w:rFonts w:ascii="Verdana" w:hAnsi="Verdana" w:cs="Calibri"/>
                <w:color w:val="000000"/>
                <w:sz w:val="18"/>
                <w:szCs w:val="18"/>
              </w:rPr>
              <w:t xml:space="preserve">T.S.J. Sala Cont.-administrativo  </w:t>
            </w:r>
          </w:p>
        </w:tc>
        <w:tc>
          <w:tcPr>
            <w:tcW w:w="878"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8.083</w:t>
            </w:r>
          </w:p>
        </w:tc>
        <w:tc>
          <w:tcPr>
            <w:tcW w:w="1288"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4.512</w:t>
            </w:r>
          </w:p>
        </w:tc>
        <w:tc>
          <w:tcPr>
            <w:tcW w:w="1070" w:type="dxa"/>
            <w:tcBorders>
              <w:top w:val="nil"/>
              <w:left w:val="nil"/>
              <w:bottom w:val="nil"/>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3.571</w:t>
            </w:r>
          </w:p>
        </w:tc>
        <w:tc>
          <w:tcPr>
            <w:tcW w:w="1160"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1,7%</w:t>
            </w:r>
          </w:p>
        </w:tc>
        <w:tc>
          <w:tcPr>
            <w:tcW w:w="1264"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-2,8%</w:t>
            </w:r>
          </w:p>
        </w:tc>
        <w:tc>
          <w:tcPr>
            <w:tcW w:w="1200" w:type="dxa"/>
            <w:tcBorders>
              <w:top w:val="nil"/>
              <w:left w:val="nil"/>
              <w:bottom w:val="nil"/>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8,0%</w:t>
            </w:r>
          </w:p>
        </w:tc>
      </w:tr>
      <w:tr w:rsidR="00137E18" w:rsidTr="00851DF2">
        <w:trPr>
          <w:trHeight w:val="315"/>
          <w:jc w:val="center"/>
        </w:trPr>
        <w:tc>
          <w:tcPr>
            <w:tcW w:w="3240" w:type="dxa"/>
            <w:tcBorders>
              <w:top w:val="nil"/>
              <w:left w:val="nil"/>
              <w:bottom w:val="single" w:sz="8" w:space="0" w:color="auto"/>
              <w:right w:val="nil"/>
            </w:tcBorders>
            <w:shd w:val="clear" w:color="auto" w:fill="auto"/>
            <w:noWrap/>
            <w:vAlign w:val="center"/>
            <w:hideMark/>
          </w:tcPr>
          <w:p w:rsidR="00137E18" w:rsidRDefault="00137E18">
            <w:pPr>
              <w:rPr>
                <w:rFonts w:ascii="Verdana" w:hAnsi="Verdana" w:cs="Calibri"/>
                <w:color w:val="000000"/>
                <w:sz w:val="18"/>
                <w:szCs w:val="18"/>
              </w:rPr>
            </w:pPr>
            <w:r>
              <w:rPr>
                <w:rFonts w:ascii="Verdana" w:hAnsi="Verdana" w:cs="Calibri"/>
                <w:color w:val="000000"/>
                <w:sz w:val="18"/>
                <w:szCs w:val="18"/>
              </w:rPr>
              <w:t xml:space="preserve">A.N. Sala Cont.-administrativo    </w:t>
            </w:r>
          </w:p>
        </w:tc>
        <w:tc>
          <w:tcPr>
            <w:tcW w:w="878" w:type="dxa"/>
            <w:tcBorders>
              <w:top w:val="nil"/>
              <w:left w:val="nil"/>
              <w:bottom w:val="single" w:sz="8" w:space="0" w:color="000080"/>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515</w:t>
            </w:r>
          </w:p>
        </w:tc>
        <w:tc>
          <w:tcPr>
            <w:tcW w:w="1288" w:type="dxa"/>
            <w:tcBorders>
              <w:top w:val="nil"/>
              <w:left w:val="nil"/>
              <w:bottom w:val="single" w:sz="8" w:space="0" w:color="000080"/>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487</w:t>
            </w:r>
          </w:p>
        </w:tc>
        <w:tc>
          <w:tcPr>
            <w:tcW w:w="1070" w:type="dxa"/>
            <w:tcBorders>
              <w:top w:val="nil"/>
              <w:left w:val="nil"/>
              <w:bottom w:val="single" w:sz="8" w:space="0" w:color="000080"/>
              <w:right w:val="nil"/>
            </w:tcBorders>
            <w:shd w:val="clear" w:color="auto" w:fill="auto"/>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28</w:t>
            </w:r>
          </w:p>
        </w:tc>
        <w:tc>
          <w:tcPr>
            <w:tcW w:w="1160" w:type="dxa"/>
            <w:tcBorders>
              <w:top w:val="nil"/>
              <w:left w:val="nil"/>
              <w:bottom w:val="single" w:sz="8" w:space="0" w:color="000080"/>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-12,3%</w:t>
            </w:r>
          </w:p>
        </w:tc>
        <w:tc>
          <w:tcPr>
            <w:tcW w:w="1264" w:type="dxa"/>
            <w:tcBorders>
              <w:top w:val="nil"/>
              <w:left w:val="nil"/>
              <w:bottom w:val="single" w:sz="8" w:space="0" w:color="000080"/>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-3,9%</w:t>
            </w:r>
          </w:p>
        </w:tc>
        <w:tc>
          <w:tcPr>
            <w:tcW w:w="1200" w:type="dxa"/>
            <w:tcBorders>
              <w:top w:val="nil"/>
              <w:left w:val="nil"/>
              <w:bottom w:val="single" w:sz="8" w:space="0" w:color="000080"/>
              <w:right w:val="nil"/>
            </w:tcBorders>
            <w:shd w:val="clear" w:color="auto" w:fill="auto"/>
            <w:noWrap/>
            <w:vAlign w:val="center"/>
            <w:hideMark/>
          </w:tcPr>
          <w:p w:rsidR="00137E18" w:rsidRDefault="00137E18">
            <w:pPr>
              <w:jc w:val="right"/>
              <w:rPr>
                <w:rFonts w:ascii="Verdana" w:hAnsi="Verdana" w:cs="Calibri"/>
                <w:color w:val="000000"/>
                <w:sz w:val="16"/>
                <w:szCs w:val="16"/>
              </w:rPr>
            </w:pPr>
            <w:r>
              <w:rPr>
                <w:rFonts w:ascii="Verdana" w:hAnsi="Verdana" w:cs="Calibri"/>
                <w:color w:val="000000"/>
                <w:sz w:val="16"/>
                <w:szCs w:val="16"/>
              </w:rPr>
              <w:t>-65,0%</w:t>
            </w:r>
          </w:p>
        </w:tc>
      </w:tr>
    </w:tbl>
    <w:p w:rsidR="00851DF2" w:rsidRPr="00293551" w:rsidRDefault="00851DF2" w:rsidP="00851DF2">
      <w:pPr>
        <w:pStyle w:val="Textoindependiente"/>
        <w:spacing w:before="120" w:after="120"/>
        <w:ind w:firstLine="357"/>
        <w:rPr>
          <w:rFonts w:ascii="Verdana" w:hAnsi="Verdana"/>
          <w:sz w:val="20"/>
        </w:rPr>
      </w:pPr>
      <w:r w:rsidRPr="00293551">
        <w:rPr>
          <w:rFonts w:ascii="Verdana" w:hAnsi="Verdana"/>
          <w:sz w:val="20"/>
        </w:rPr>
        <w:lastRenderedPageBreak/>
        <w:t xml:space="preserve">En los juzgados de lo contencioso </w:t>
      </w:r>
      <w:r w:rsidR="00354451" w:rsidRPr="00293551">
        <w:rPr>
          <w:rFonts w:ascii="Verdana" w:hAnsi="Verdana"/>
          <w:sz w:val="20"/>
        </w:rPr>
        <w:t>administrativo</w:t>
      </w:r>
      <w:r w:rsidRPr="00293551">
        <w:rPr>
          <w:rFonts w:ascii="Verdana" w:hAnsi="Verdana"/>
          <w:sz w:val="20"/>
        </w:rPr>
        <w:t xml:space="preserve"> se han señalado 89.229 juicios, un 6,2% menos que en 2016. El porcentaje de no suspendidos ha sido del 88,2%, similar al año anterior. Destacan Cantabria, 91,9%; C. Valenciana, 91,2%; y Madrid y Navarra, 90,5%. El menor porcentaje de no suspendidos se ha dado en Extremadura: 75%. En los juzgados centrales de lo contencioso administrativo, se han </w:t>
      </w:r>
      <w:r w:rsidR="00354451" w:rsidRPr="00293551">
        <w:rPr>
          <w:rFonts w:ascii="Verdana" w:hAnsi="Verdana"/>
          <w:sz w:val="20"/>
        </w:rPr>
        <w:t>señalado</w:t>
      </w:r>
      <w:r w:rsidRPr="00293551">
        <w:rPr>
          <w:rFonts w:ascii="Verdana" w:hAnsi="Verdana"/>
          <w:sz w:val="20"/>
        </w:rPr>
        <w:t xml:space="preserve"> 1.904, un 9,7% menos que en 2016. De ellos se ha celebrado un 79,9%.</w:t>
      </w:r>
    </w:p>
    <w:p w:rsidR="00851DF2" w:rsidRDefault="00354451" w:rsidP="00851DF2">
      <w:pPr>
        <w:pStyle w:val="Textoindependiente"/>
        <w:spacing w:before="120" w:after="120"/>
        <w:ind w:firstLine="357"/>
        <w:rPr>
          <w:rFonts w:ascii="Verdana" w:hAnsi="Verdana"/>
          <w:sz w:val="20"/>
        </w:rPr>
      </w:pPr>
      <w:r w:rsidRPr="00293551">
        <w:rPr>
          <w:rFonts w:ascii="Verdana" w:hAnsi="Verdana"/>
          <w:sz w:val="20"/>
        </w:rPr>
        <w:t xml:space="preserve">En las salas de lo contencioso administrativo de los tribunales superiores de justicia el número de señalamientos ha crecido un 19,1% respecto a 2016, habiéndose señalado 12.773. El porcentaje de no suspendidos ha sido del 96,2%. Por su parte, en la Sala de lo Contencioso Administrativo de la Audiencia Nacional </w:t>
      </w:r>
      <w:r w:rsidR="00851DF2" w:rsidRPr="00293551">
        <w:rPr>
          <w:rFonts w:ascii="Verdana" w:hAnsi="Verdana"/>
          <w:sz w:val="20"/>
        </w:rPr>
        <w:t xml:space="preserve"> </w:t>
      </w:r>
      <w:r w:rsidRPr="00293551">
        <w:rPr>
          <w:rFonts w:ascii="Verdana" w:hAnsi="Verdana"/>
          <w:sz w:val="20"/>
        </w:rPr>
        <w:t>el número de señalamientos ha sido de 1.178, un 8,9% menos que el año anterior</w:t>
      </w:r>
      <w:r w:rsidR="00293551" w:rsidRPr="00293551">
        <w:rPr>
          <w:rFonts w:ascii="Verdana" w:hAnsi="Verdana"/>
          <w:sz w:val="20"/>
        </w:rPr>
        <w:t>, h</w:t>
      </w:r>
      <w:r w:rsidRPr="00293551">
        <w:rPr>
          <w:rFonts w:ascii="Verdana" w:hAnsi="Verdana"/>
          <w:sz w:val="20"/>
        </w:rPr>
        <w:t>abiéndose celebrado un 96,6%.</w:t>
      </w:r>
    </w:p>
    <w:p w:rsidR="00851DF2" w:rsidRDefault="00851DF2" w:rsidP="00B310BA">
      <w:pPr>
        <w:pStyle w:val="Textoindependiente"/>
        <w:spacing w:before="120" w:after="120"/>
        <w:ind w:firstLine="357"/>
        <w:rPr>
          <w:rFonts w:ascii="Verdana" w:hAnsi="Verdana"/>
          <w:strike/>
          <w:sz w:val="20"/>
        </w:rPr>
      </w:pPr>
    </w:p>
    <w:p w:rsidR="001B4EE3" w:rsidRPr="00293551" w:rsidRDefault="001B4EE3" w:rsidP="00567FED">
      <w:pPr>
        <w:pStyle w:val="Ttulo2"/>
        <w:numPr>
          <w:ilvl w:val="1"/>
          <w:numId w:val="10"/>
        </w:numPr>
        <w:rPr>
          <w:rFonts w:ascii="Verdana" w:hAnsi="Verdana"/>
          <w:color w:val="333399"/>
        </w:rPr>
      </w:pPr>
      <w:r w:rsidRPr="00293551">
        <w:rPr>
          <w:rFonts w:ascii="Verdana" w:hAnsi="Verdana"/>
          <w:color w:val="333399"/>
        </w:rPr>
        <w:t>Duraciones medias de los procesos</w:t>
      </w:r>
    </w:p>
    <w:p w:rsidR="001B4EE3" w:rsidRPr="00293551" w:rsidRDefault="001B4EE3">
      <w:pPr>
        <w:pStyle w:val="Textoindependiente"/>
        <w:spacing w:before="120" w:after="120"/>
        <w:ind w:firstLine="357"/>
        <w:rPr>
          <w:rFonts w:ascii="Verdana" w:hAnsi="Verdana"/>
          <w:sz w:val="20"/>
        </w:rPr>
      </w:pPr>
      <w:r w:rsidRPr="00293551">
        <w:rPr>
          <w:rFonts w:ascii="Verdana" w:hAnsi="Verdana"/>
          <w:sz w:val="20"/>
        </w:rPr>
        <w:t>La duración media de los asuntos termina</w:t>
      </w:r>
      <w:r w:rsidR="00B67D16" w:rsidRPr="00293551">
        <w:rPr>
          <w:rFonts w:ascii="Verdana" w:hAnsi="Verdana"/>
          <w:sz w:val="20"/>
        </w:rPr>
        <w:t>dos en los últimos años en los juzgados de lo c</w:t>
      </w:r>
      <w:r w:rsidRPr="00293551">
        <w:rPr>
          <w:rFonts w:ascii="Verdana" w:hAnsi="Verdana"/>
          <w:sz w:val="20"/>
        </w:rPr>
        <w:t>ontencioso</w:t>
      </w:r>
      <w:r w:rsidR="003D6C43" w:rsidRPr="00293551">
        <w:rPr>
          <w:rFonts w:ascii="Verdana" w:hAnsi="Verdana"/>
          <w:sz w:val="20"/>
        </w:rPr>
        <w:t>-</w:t>
      </w:r>
      <w:r w:rsidR="00B67D16" w:rsidRPr="00293551">
        <w:rPr>
          <w:rFonts w:ascii="Verdana" w:hAnsi="Verdana"/>
          <w:sz w:val="20"/>
        </w:rPr>
        <w:t>administrativo</w:t>
      </w:r>
      <w:r w:rsidRPr="00293551">
        <w:rPr>
          <w:rFonts w:ascii="Verdana" w:hAnsi="Verdana"/>
          <w:sz w:val="20"/>
        </w:rPr>
        <w:t xml:space="preserve"> ha sido:</w:t>
      </w:r>
    </w:p>
    <w:tbl>
      <w:tblPr>
        <w:tblW w:w="9220" w:type="dxa"/>
        <w:tblInd w:w="55" w:type="dxa"/>
        <w:tblCellMar>
          <w:left w:w="70" w:type="dxa"/>
          <w:right w:w="70" w:type="dxa"/>
        </w:tblCellMar>
        <w:tblLook w:val="0000" w:firstRow="0" w:lastRow="0" w:firstColumn="0" w:lastColumn="0" w:noHBand="0" w:noVBand="0"/>
      </w:tblPr>
      <w:tblGrid>
        <w:gridCol w:w="4268"/>
        <w:gridCol w:w="992"/>
        <w:gridCol w:w="992"/>
        <w:gridCol w:w="993"/>
        <w:gridCol w:w="1134"/>
        <w:gridCol w:w="841"/>
      </w:tblGrid>
      <w:tr w:rsidR="009C3050" w:rsidRPr="00293551" w:rsidTr="003D6C43">
        <w:trPr>
          <w:trHeight w:val="270"/>
        </w:trPr>
        <w:tc>
          <w:tcPr>
            <w:tcW w:w="4268" w:type="dxa"/>
            <w:tcBorders>
              <w:top w:val="nil"/>
              <w:left w:val="nil"/>
              <w:bottom w:val="nil"/>
              <w:right w:val="nil"/>
            </w:tcBorders>
            <w:shd w:val="clear" w:color="auto" w:fill="FFFFFF"/>
            <w:noWrap/>
            <w:vAlign w:val="bottom"/>
          </w:tcPr>
          <w:p w:rsidR="009C3050" w:rsidRPr="00293551" w:rsidRDefault="009C3050">
            <w:pPr>
              <w:rPr>
                <w:rFonts w:ascii="Verdana" w:hAnsi="Verdana" w:cs="Arial"/>
                <w:color w:val="000080"/>
                <w:sz w:val="20"/>
                <w:szCs w:val="20"/>
              </w:rPr>
            </w:pPr>
            <w:r w:rsidRPr="00293551">
              <w:rPr>
                <w:rFonts w:ascii="Verdana" w:hAnsi="Verdana" w:cs="Arial"/>
                <w:color w:val="000080"/>
                <w:sz w:val="20"/>
                <w:szCs w:val="20"/>
              </w:rPr>
              <w:t> </w:t>
            </w:r>
          </w:p>
        </w:tc>
        <w:tc>
          <w:tcPr>
            <w:tcW w:w="992" w:type="dxa"/>
            <w:tcBorders>
              <w:top w:val="single" w:sz="8" w:space="0" w:color="auto"/>
              <w:left w:val="nil"/>
              <w:bottom w:val="single" w:sz="8" w:space="0" w:color="auto"/>
              <w:right w:val="nil"/>
            </w:tcBorders>
            <w:shd w:val="clear" w:color="auto" w:fill="auto"/>
            <w:vAlign w:val="center"/>
          </w:tcPr>
          <w:p w:rsidR="009C3050" w:rsidRPr="00293551" w:rsidRDefault="009C3050" w:rsidP="009C3050">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2017</w:t>
            </w:r>
          </w:p>
        </w:tc>
        <w:tc>
          <w:tcPr>
            <w:tcW w:w="992" w:type="dxa"/>
            <w:tcBorders>
              <w:top w:val="single" w:sz="8" w:space="0" w:color="auto"/>
              <w:left w:val="nil"/>
              <w:bottom w:val="single" w:sz="8" w:space="0" w:color="auto"/>
              <w:right w:val="nil"/>
            </w:tcBorders>
            <w:shd w:val="clear" w:color="auto" w:fill="auto"/>
            <w:vAlign w:val="center"/>
          </w:tcPr>
          <w:p w:rsidR="009C3050" w:rsidRPr="00293551" w:rsidRDefault="009C3050" w:rsidP="000E2714">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2016</w:t>
            </w:r>
          </w:p>
        </w:tc>
        <w:tc>
          <w:tcPr>
            <w:tcW w:w="993" w:type="dxa"/>
            <w:tcBorders>
              <w:top w:val="single" w:sz="8" w:space="0" w:color="auto"/>
              <w:left w:val="nil"/>
              <w:bottom w:val="single" w:sz="8" w:space="0" w:color="auto"/>
              <w:right w:val="nil"/>
            </w:tcBorders>
            <w:shd w:val="clear" w:color="auto" w:fill="auto"/>
            <w:vAlign w:val="center"/>
          </w:tcPr>
          <w:p w:rsidR="009C3050" w:rsidRPr="00293551" w:rsidRDefault="009C3050" w:rsidP="000E2714">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2015</w:t>
            </w:r>
          </w:p>
        </w:tc>
        <w:tc>
          <w:tcPr>
            <w:tcW w:w="1134" w:type="dxa"/>
            <w:tcBorders>
              <w:top w:val="single" w:sz="8" w:space="0" w:color="auto"/>
              <w:left w:val="nil"/>
              <w:bottom w:val="single" w:sz="8" w:space="0" w:color="auto"/>
              <w:right w:val="nil"/>
            </w:tcBorders>
            <w:shd w:val="clear" w:color="auto" w:fill="auto"/>
            <w:vAlign w:val="center"/>
          </w:tcPr>
          <w:p w:rsidR="009C3050" w:rsidRPr="00293551" w:rsidRDefault="009C3050" w:rsidP="000E2714">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2014</w:t>
            </w:r>
          </w:p>
        </w:tc>
        <w:tc>
          <w:tcPr>
            <w:tcW w:w="841" w:type="dxa"/>
            <w:tcBorders>
              <w:top w:val="single" w:sz="8" w:space="0" w:color="auto"/>
              <w:left w:val="nil"/>
              <w:bottom w:val="single" w:sz="8" w:space="0" w:color="auto"/>
              <w:right w:val="nil"/>
            </w:tcBorders>
            <w:shd w:val="clear" w:color="auto" w:fill="auto"/>
            <w:vAlign w:val="center"/>
          </w:tcPr>
          <w:p w:rsidR="009C3050" w:rsidRPr="00293551" w:rsidRDefault="009C3050" w:rsidP="000E2714">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2013</w:t>
            </w:r>
          </w:p>
        </w:tc>
      </w:tr>
      <w:tr w:rsidR="009C3050" w:rsidRPr="00293551" w:rsidTr="000E2714">
        <w:trPr>
          <w:trHeight w:val="270"/>
        </w:trPr>
        <w:tc>
          <w:tcPr>
            <w:tcW w:w="4268" w:type="dxa"/>
            <w:tcBorders>
              <w:top w:val="single" w:sz="8" w:space="0" w:color="auto"/>
              <w:left w:val="nil"/>
              <w:bottom w:val="single" w:sz="8" w:space="0" w:color="auto"/>
              <w:right w:val="nil"/>
            </w:tcBorders>
            <w:shd w:val="clear" w:color="auto" w:fill="auto"/>
            <w:vAlign w:val="bottom"/>
          </w:tcPr>
          <w:p w:rsidR="009C3050" w:rsidRPr="00293551" w:rsidRDefault="009C3050" w:rsidP="003D6C43">
            <w:pPr>
              <w:jc w:val="both"/>
              <w:rPr>
                <w:rFonts w:ascii="Verdana" w:hAnsi="Verdana" w:cs="Arial"/>
                <w:sz w:val="20"/>
                <w:szCs w:val="20"/>
              </w:rPr>
            </w:pPr>
            <w:r w:rsidRPr="00293551">
              <w:rPr>
                <w:rFonts w:ascii="Verdana" w:hAnsi="Verdana" w:cs="Arial"/>
                <w:sz w:val="20"/>
                <w:szCs w:val="20"/>
              </w:rPr>
              <w:t>Jdos de lo Contencioso-administrativo</w:t>
            </w:r>
          </w:p>
        </w:tc>
        <w:tc>
          <w:tcPr>
            <w:tcW w:w="992" w:type="dxa"/>
            <w:tcBorders>
              <w:top w:val="nil"/>
              <w:left w:val="nil"/>
              <w:bottom w:val="single" w:sz="8" w:space="0" w:color="auto"/>
              <w:right w:val="nil"/>
            </w:tcBorders>
            <w:shd w:val="clear" w:color="auto" w:fill="auto"/>
            <w:noWrap/>
            <w:vAlign w:val="center"/>
          </w:tcPr>
          <w:p w:rsidR="009C3050" w:rsidRPr="00293551" w:rsidRDefault="009C3050" w:rsidP="009C3050">
            <w:pPr>
              <w:jc w:val="center"/>
              <w:rPr>
                <w:rFonts w:ascii="Verdana" w:hAnsi="Verdana" w:cs="Calibri"/>
                <w:color w:val="000000"/>
                <w:sz w:val="20"/>
                <w:szCs w:val="20"/>
              </w:rPr>
            </w:pPr>
            <w:r w:rsidRPr="00293551">
              <w:rPr>
                <w:rFonts w:ascii="Verdana" w:hAnsi="Verdana" w:cs="Calibri"/>
                <w:color w:val="000000"/>
                <w:sz w:val="20"/>
                <w:szCs w:val="20"/>
              </w:rPr>
              <w:t>9,4</w:t>
            </w:r>
          </w:p>
        </w:tc>
        <w:tc>
          <w:tcPr>
            <w:tcW w:w="992" w:type="dxa"/>
            <w:tcBorders>
              <w:top w:val="nil"/>
              <w:left w:val="nil"/>
              <w:bottom w:val="single" w:sz="8" w:space="0" w:color="auto"/>
              <w:right w:val="nil"/>
            </w:tcBorders>
            <w:shd w:val="clear" w:color="auto" w:fill="auto"/>
            <w:noWrap/>
            <w:vAlign w:val="center"/>
          </w:tcPr>
          <w:p w:rsidR="009C3050" w:rsidRPr="00293551" w:rsidRDefault="009C3050" w:rsidP="009C3050">
            <w:pPr>
              <w:jc w:val="center"/>
              <w:rPr>
                <w:rFonts w:ascii="Verdana" w:hAnsi="Verdana" w:cs="Calibri"/>
                <w:color w:val="000000"/>
                <w:sz w:val="20"/>
                <w:szCs w:val="20"/>
              </w:rPr>
            </w:pPr>
            <w:r w:rsidRPr="00293551">
              <w:rPr>
                <w:rFonts w:ascii="Verdana" w:hAnsi="Verdana" w:cs="Calibri"/>
                <w:color w:val="000000"/>
                <w:sz w:val="20"/>
                <w:szCs w:val="20"/>
              </w:rPr>
              <w:t>10,2</w:t>
            </w:r>
          </w:p>
        </w:tc>
        <w:tc>
          <w:tcPr>
            <w:tcW w:w="993" w:type="dxa"/>
            <w:tcBorders>
              <w:top w:val="nil"/>
              <w:left w:val="nil"/>
              <w:bottom w:val="single" w:sz="8" w:space="0" w:color="auto"/>
              <w:right w:val="nil"/>
            </w:tcBorders>
            <w:shd w:val="clear" w:color="auto" w:fill="auto"/>
            <w:noWrap/>
            <w:vAlign w:val="center"/>
          </w:tcPr>
          <w:p w:rsidR="009C3050" w:rsidRPr="00293551" w:rsidRDefault="009C3050" w:rsidP="009C3050">
            <w:pPr>
              <w:jc w:val="center"/>
              <w:rPr>
                <w:rFonts w:ascii="Verdana" w:hAnsi="Verdana" w:cs="Calibri"/>
                <w:color w:val="000000"/>
                <w:sz w:val="20"/>
                <w:szCs w:val="20"/>
              </w:rPr>
            </w:pPr>
            <w:r w:rsidRPr="00293551">
              <w:rPr>
                <w:rFonts w:ascii="Verdana" w:hAnsi="Verdana" w:cs="Calibri"/>
                <w:color w:val="000000"/>
                <w:sz w:val="20"/>
                <w:szCs w:val="20"/>
              </w:rPr>
              <w:t>11,0</w:t>
            </w:r>
          </w:p>
        </w:tc>
        <w:tc>
          <w:tcPr>
            <w:tcW w:w="1134" w:type="dxa"/>
            <w:tcBorders>
              <w:top w:val="nil"/>
              <w:left w:val="nil"/>
              <w:bottom w:val="single" w:sz="8" w:space="0" w:color="auto"/>
              <w:right w:val="nil"/>
            </w:tcBorders>
            <w:shd w:val="clear" w:color="auto" w:fill="auto"/>
            <w:noWrap/>
            <w:vAlign w:val="center"/>
          </w:tcPr>
          <w:p w:rsidR="009C3050" w:rsidRPr="00293551" w:rsidRDefault="009C3050" w:rsidP="009C3050">
            <w:pPr>
              <w:jc w:val="center"/>
              <w:rPr>
                <w:rFonts w:ascii="Verdana" w:hAnsi="Verdana" w:cs="Calibri"/>
                <w:color w:val="000000"/>
                <w:sz w:val="20"/>
                <w:szCs w:val="20"/>
              </w:rPr>
            </w:pPr>
            <w:r w:rsidRPr="00293551">
              <w:rPr>
                <w:rFonts w:ascii="Verdana" w:hAnsi="Verdana" w:cs="Calibri"/>
                <w:color w:val="000000"/>
                <w:sz w:val="20"/>
                <w:szCs w:val="20"/>
              </w:rPr>
              <w:t>12,6</w:t>
            </w:r>
          </w:p>
        </w:tc>
        <w:tc>
          <w:tcPr>
            <w:tcW w:w="841" w:type="dxa"/>
            <w:tcBorders>
              <w:top w:val="nil"/>
              <w:left w:val="nil"/>
              <w:bottom w:val="single" w:sz="8" w:space="0" w:color="auto"/>
              <w:right w:val="nil"/>
            </w:tcBorders>
            <w:shd w:val="clear" w:color="auto" w:fill="auto"/>
            <w:noWrap/>
            <w:vAlign w:val="center"/>
          </w:tcPr>
          <w:p w:rsidR="009C3050" w:rsidRPr="00293551" w:rsidRDefault="009C3050" w:rsidP="009C3050">
            <w:pPr>
              <w:jc w:val="center"/>
              <w:rPr>
                <w:rFonts w:ascii="Verdana" w:hAnsi="Verdana" w:cs="Calibri"/>
                <w:color w:val="000000"/>
                <w:sz w:val="20"/>
                <w:szCs w:val="20"/>
              </w:rPr>
            </w:pPr>
            <w:r w:rsidRPr="00293551">
              <w:rPr>
                <w:rFonts w:ascii="Verdana" w:hAnsi="Verdana" w:cs="Calibri"/>
                <w:color w:val="000000"/>
                <w:sz w:val="20"/>
                <w:szCs w:val="20"/>
              </w:rPr>
              <w:t>14,2</w:t>
            </w:r>
          </w:p>
        </w:tc>
      </w:tr>
    </w:tbl>
    <w:p w:rsidR="00B72644" w:rsidRPr="00293551" w:rsidRDefault="004212F9">
      <w:pPr>
        <w:pStyle w:val="Textoindependiente"/>
        <w:spacing w:before="120" w:after="120"/>
        <w:ind w:firstLine="357"/>
        <w:rPr>
          <w:rFonts w:ascii="Verdana" w:hAnsi="Verdana"/>
          <w:sz w:val="20"/>
        </w:rPr>
      </w:pPr>
      <w:r w:rsidRPr="00293551">
        <w:rPr>
          <w:rFonts w:ascii="Verdana" w:hAnsi="Verdana"/>
          <w:sz w:val="20"/>
        </w:rPr>
        <w:t xml:space="preserve">La mayor duración media se ha dado en </w:t>
      </w:r>
      <w:r w:rsidR="00B72644" w:rsidRPr="00293551">
        <w:rPr>
          <w:rFonts w:ascii="Verdana" w:hAnsi="Verdana"/>
          <w:sz w:val="20"/>
        </w:rPr>
        <w:t>Illes Balears, 1</w:t>
      </w:r>
      <w:r w:rsidR="00AF7F88" w:rsidRPr="00293551">
        <w:rPr>
          <w:rFonts w:ascii="Verdana" w:hAnsi="Verdana"/>
          <w:sz w:val="20"/>
        </w:rPr>
        <w:t>4</w:t>
      </w:r>
      <w:r w:rsidR="00B72644" w:rsidRPr="00293551">
        <w:rPr>
          <w:rFonts w:ascii="Verdana" w:hAnsi="Verdana"/>
          <w:sz w:val="20"/>
        </w:rPr>
        <w:t>,</w:t>
      </w:r>
      <w:r w:rsidR="009C3050" w:rsidRPr="00293551">
        <w:rPr>
          <w:rFonts w:ascii="Verdana" w:hAnsi="Verdana"/>
          <w:sz w:val="20"/>
        </w:rPr>
        <w:t>3</w:t>
      </w:r>
      <w:r w:rsidR="00B72644" w:rsidRPr="00293551">
        <w:rPr>
          <w:rFonts w:ascii="Verdana" w:hAnsi="Verdana"/>
          <w:sz w:val="20"/>
        </w:rPr>
        <w:t xml:space="preserve"> meses; </w:t>
      </w:r>
      <w:r w:rsidR="00AF7F88" w:rsidRPr="00293551">
        <w:rPr>
          <w:rFonts w:ascii="Verdana" w:hAnsi="Verdana"/>
          <w:sz w:val="20"/>
        </w:rPr>
        <w:t>La Rioja, 1</w:t>
      </w:r>
      <w:r w:rsidR="009C3050" w:rsidRPr="00293551">
        <w:rPr>
          <w:rFonts w:ascii="Verdana" w:hAnsi="Verdana"/>
          <w:sz w:val="20"/>
        </w:rPr>
        <w:t>1</w:t>
      </w:r>
      <w:r w:rsidR="00AF7F88" w:rsidRPr="00293551">
        <w:rPr>
          <w:rFonts w:ascii="Verdana" w:hAnsi="Verdana"/>
          <w:sz w:val="20"/>
        </w:rPr>
        <w:t>,</w:t>
      </w:r>
      <w:r w:rsidR="009C3050" w:rsidRPr="00293551">
        <w:rPr>
          <w:rFonts w:ascii="Verdana" w:hAnsi="Verdana"/>
          <w:sz w:val="20"/>
        </w:rPr>
        <w:t>1</w:t>
      </w:r>
      <w:r w:rsidR="00AF7F88" w:rsidRPr="00293551">
        <w:rPr>
          <w:rFonts w:ascii="Verdana" w:hAnsi="Verdana"/>
          <w:sz w:val="20"/>
        </w:rPr>
        <w:t xml:space="preserve">; </w:t>
      </w:r>
      <w:r w:rsidR="009C3050" w:rsidRPr="00293551">
        <w:rPr>
          <w:rFonts w:ascii="Verdana" w:hAnsi="Verdana"/>
          <w:sz w:val="20"/>
        </w:rPr>
        <w:t xml:space="preserve">Cataluña, 10,4; Andalucía, 10,2; Murcia, 10; </w:t>
      </w:r>
      <w:r w:rsidR="002F644C" w:rsidRPr="00293551">
        <w:rPr>
          <w:rFonts w:ascii="Verdana" w:hAnsi="Verdana"/>
          <w:sz w:val="20"/>
        </w:rPr>
        <w:t>Navarra</w:t>
      </w:r>
      <w:r w:rsidR="009C3050" w:rsidRPr="00293551">
        <w:rPr>
          <w:rFonts w:ascii="Verdana" w:hAnsi="Verdana"/>
          <w:sz w:val="20"/>
        </w:rPr>
        <w:t xml:space="preserve">, 9,9; y </w:t>
      </w:r>
      <w:r w:rsidR="00B72644" w:rsidRPr="00293551">
        <w:rPr>
          <w:rFonts w:ascii="Verdana" w:hAnsi="Verdana"/>
          <w:sz w:val="20"/>
        </w:rPr>
        <w:t xml:space="preserve">Madrid, </w:t>
      </w:r>
      <w:r w:rsidR="009C3050" w:rsidRPr="00293551">
        <w:rPr>
          <w:rFonts w:ascii="Verdana" w:hAnsi="Verdana"/>
          <w:sz w:val="20"/>
        </w:rPr>
        <w:t>9</w:t>
      </w:r>
      <w:r w:rsidR="00B72644" w:rsidRPr="00293551">
        <w:rPr>
          <w:rFonts w:ascii="Verdana" w:hAnsi="Verdana"/>
          <w:sz w:val="20"/>
        </w:rPr>
        <w:t>,</w:t>
      </w:r>
      <w:r w:rsidR="009C3050" w:rsidRPr="00293551">
        <w:rPr>
          <w:rFonts w:ascii="Verdana" w:hAnsi="Verdana"/>
          <w:sz w:val="20"/>
        </w:rPr>
        <w:t>5</w:t>
      </w:r>
      <w:r w:rsidR="00AF7F88" w:rsidRPr="00293551">
        <w:rPr>
          <w:rFonts w:ascii="Verdana" w:hAnsi="Verdana"/>
          <w:sz w:val="20"/>
        </w:rPr>
        <w:t xml:space="preserve">. </w:t>
      </w:r>
    </w:p>
    <w:p w:rsidR="005B7D40" w:rsidRPr="00293551" w:rsidRDefault="00D70745" w:rsidP="00D70745">
      <w:pPr>
        <w:pStyle w:val="Textoindependiente"/>
        <w:spacing w:before="120" w:after="120"/>
        <w:ind w:firstLine="357"/>
        <w:rPr>
          <w:rFonts w:ascii="Verdana" w:hAnsi="Verdana"/>
          <w:sz w:val="20"/>
        </w:rPr>
      </w:pPr>
      <w:r w:rsidRPr="00293551">
        <w:rPr>
          <w:rFonts w:ascii="Verdana" w:hAnsi="Verdana"/>
          <w:sz w:val="20"/>
        </w:rPr>
        <w:t xml:space="preserve">Analizando por  </w:t>
      </w:r>
      <w:r w:rsidR="00953497" w:rsidRPr="00293551">
        <w:rPr>
          <w:rFonts w:ascii="Verdana" w:hAnsi="Verdana"/>
          <w:sz w:val="20"/>
        </w:rPr>
        <w:t>materias</w:t>
      </w:r>
      <w:r w:rsidRPr="00293551">
        <w:rPr>
          <w:rFonts w:ascii="Verdana" w:hAnsi="Verdana"/>
          <w:sz w:val="20"/>
        </w:rPr>
        <w:t>, la</w:t>
      </w:r>
      <w:r w:rsidR="005B7D40" w:rsidRPr="00293551">
        <w:rPr>
          <w:rFonts w:ascii="Verdana" w:hAnsi="Verdana"/>
          <w:sz w:val="20"/>
        </w:rPr>
        <w:t>s</w:t>
      </w:r>
      <w:r w:rsidRPr="00293551">
        <w:rPr>
          <w:rFonts w:ascii="Verdana" w:hAnsi="Verdana"/>
          <w:sz w:val="20"/>
        </w:rPr>
        <w:t xml:space="preserve"> duraci</w:t>
      </w:r>
      <w:r w:rsidR="005B7D40" w:rsidRPr="00293551">
        <w:rPr>
          <w:rFonts w:ascii="Verdana" w:hAnsi="Verdana"/>
          <w:sz w:val="20"/>
        </w:rPr>
        <w:t>ones medias han sido:</w:t>
      </w:r>
    </w:p>
    <w:tbl>
      <w:tblPr>
        <w:tblW w:w="5940" w:type="dxa"/>
        <w:jc w:val="center"/>
        <w:tblInd w:w="55" w:type="dxa"/>
        <w:tblCellMar>
          <w:left w:w="70" w:type="dxa"/>
          <w:right w:w="70" w:type="dxa"/>
        </w:tblCellMar>
        <w:tblLook w:val="04A0" w:firstRow="1" w:lastRow="0" w:firstColumn="1" w:lastColumn="0" w:noHBand="0" w:noVBand="1"/>
      </w:tblPr>
      <w:tblGrid>
        <w:gridCol w:w="4562"/>
        <w:gridCol w:w="1378"/>
      </w:tblGrid>
      <w:tr w:rsidR="00E126FE" w:rsidRPr="00293551" w:rsidTr="00FB0811">
        <w:trPr>
          <w:trHeight w:val="292"/>
          <w:jc w:val="center"/>
        </w:trPr>
        <w:tc>
          <w:tcPr>
            <w:tcW w:w="4562" w:type="dxa"/>
            <w:tcBorders>
              <w:top w:val="single" w:sz="8" w:space="0" w:color="244062"/>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Urbanismo y ordenación territorio</w:t>
            </w:r>
          </w:p>
        </w:tc>
        <w:tc>
          <w:tcPr>
            <w:tcW w:w="1378" w:type="dxa"/>
            <w:tcBorders>
              <w:top w:val="single" w:sz="8" w:space="0" w:color="244062"/>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w:t>
            </w:r>
            <w:r w:rsidR="009C3050" w:rsidRPr="00293551">
              <w:rPr>
                <w:rFonts w:ascii="Calibri" w:hAnsi="Calibri" w:cs="Calibri"/>
              </w:rPr>
              <w:t>2</w:t>
            </w:r>
            <w:r w:rsidRPr="00293551">
              <w:rPr>
                <w:rFonts w:ascii="Calibri" w:hAnsi="Calibri" w:cs="Calibri"/>
              </w:rPr>
              <w:t>,</w:t>
            </w:r>
            <w:r w:rsidR="009C3050" w:rsidRPr="00293551">
              <w:rPr>
                <w:rFonts w:ascii="Calibri" w:hAnsi="Calibri" w:cs="Calibri"/>
              </w:rPr>
              <w:t>8</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Expropiación forzosa</w:t>
            </w:r>
          </w:p>
        </w:tc>
        <w:tc>
          <w:tcPr>
            <w:tcW w:w="1378" w:type="dxa"/>
            <w:tcBorders>
              <w:top w:val="nil"/>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w:t>
            </w:r>
            <w:r w:rsidR="009C3050" w:rsidRPr="00293551">
              <w:rPr>
                <w:rFonts w:ascii="Calibri" w:hAnsi="Calibri" w:cs="Calibri"/>
              </w:rPr>
              <w:t>5</w:t>
            </w:r>
            <w:r w:rsidRPr="00293551">
              <w:rPr>
                <w:rFonts w:ascii="Calibri" w:hAnsi="Calibri" w:cs="Calibri"/>
              </w:rPr>
              <w:t>,5</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Contratos administrativos</w:t>
            </w:r>
          </w:p>
        </w:tc>
        <w:tc>
          <w:tcPr>
            <w:tcW w:w="1378" w:type="dxa"/>
            <w:tcBorders>
              <w:top w:val="nil"/>
              <w:left w:val="nil"/>
              <w:bottom w:val="nil"/>
              <w:right w:val="nil"/>
            </w:tcBorders>
            <w:shd w:val="clear" w:color="auto" w:fill="auto"/>
            <w:noWrap/>
            <w:vAlign w:val="bottom"/>
            <w:hideMark/>
          </w:tcPr>
          <w:p w:rsidR="00E126FE" w:rsidRPr="00293551" w:rsidRDefault="009C3050" w:rsidP="009C3050">
            <w:pPr>
              <w:jc w:val="right"/>
              <w:rPr>
                <w:rFonts w:ascii="Calibri" w:hAnsi="Calibri" w:cs="Calibri"/>
              </w:rPr>
            </w:pPr>
            <w:r w:rsidRPr="00293551">
              <w:rPr>
                <w:rFonts w:ascii="Calibri" w:hAnsi="Calibri" w:cs="Calibri"/>
              </w:rPr>
              <w:t>12</w:t>
            </w:r>
            <w:r w:rsidR="00E126FE" w:rsidRPr="00293551">
              <w:rPr>
                <w:rFonts w:ascii="Calibri" w:hAnsi="Calibri" w:cs="Calibri"/>
              </w:rPr>
              <w:t>,</w:t>
            </w:r>
            <w:r w:rsidRPr="00293551">
              <w:rPr>
                <w:rFonts w:ascii="Calibri" w:hAnsi="Calibri" w:cs="Calibri"/>
              </w:rPr>
              <w:t>5</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Dominio público y prop. especiales</w:t>
            </w:r>
          </w:p>
        </w:tc>
        <w:tc>
          <w:tcPr>
            <w:tcW w:w="1378" w:type="dxa"/>
            <w:tcBorders>
              <w:top w:val="nil"/>
              <w:left w:val="nil"/>
              <w:bottom w:val="nil"/>
              <w:right w:val="nil"/>
            </w:tcBorders>
            <w:shd w:val="clear" w:color="auto" w:fill="auto"/>
            <w:noWrap/>
            <w:vAlign w:val="bottom"/>
            <w:hideMark/>
          </w:tcPr>
          <w:p w:rsidR="00E126FE" w:rsidRPr="00293551" w:rsidRDefault="009C3050" w:rsidP="00D3182A">
            <w:pPr>
              <w:jc w:val="right"/>
              <w:rPr>
                <w:rFonts w:ascii="Calibri" w:hAnsi="Calibri" w:cs="Calibri"/>
              </w:rPr>
            </w:pPr>
            <w:r w:rsidRPr="00293551">
              <w:rPr>
                <w:rFonts w:ascii="Calibri" w:hAnsi="Calibri" w:cs="Calibri"/>
              </w:rPr>
              <w:t>11,8</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Administración Tributaria</w:t>
            </w:r>
          </w:p>
        </w:tc>
        <w:tc>
          <w:tcPr>
            <w:tcW w:w="1378" w:type="dxa"/>
            <w:tcBorders>
              <w:top w:val="nil"/>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11,</w:t>
            </w:r>
            <w:r w:rsidR="009C3050" w:rsidRPr="00293551">
              <w:rPr>
                <w:rFonts w:ascii="Calibri" w:hAnsi="Calibri" w:cs="Calibri"/>
              </w:rPr>
              <w:t>1</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Medio Ambiente</w:t>
            </w:r>
          </w:p>
        </w:tc>
        <w:tc>
          <w:tcPr>
            <w:tcW w:w="1378" w:type="dxa"/>
            <w:tcBorders>
              <w:top w:val="nil"/>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w:t>
            </w:r>
            <w:r w:rsidR="009C3050" w:rsidRPr="00293551">
              <w:rPr>
                <w:rFonts w:ascii="Calibri" w:hAnsi="Calibri" w:cs="Calibri"/>
              </w:rPr>
              <w:t>4</w:t>
            </w:r>
            <w:r w:rsidRPr="00293551">
              <w:rPr>
                <w:rFonts w:ascii="Calibri" w:hAnsi="Calibri" w:cs="Calibri"/>
              </w:rPr>
              <w:t>,</w:t>
            </w:r>
            <w:r w:rsidR="009C3050" w:rsidRPr="00293551">
              <w:rPr>
                <w:rFonts w:ascii="Calibri" w:hAnsi="Calibri" w:cs="Calibri"/>
              </w:rPr>
              <w:t>6</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Función Publica</w:t>
            </w:r>
          </w:p>
        </w:tc>
        <w:tc>
          <w:tcPr>
            <w:tcW w:w="1378" w:type="dxa"/>
            <w:tcBorders>
              <w:top w:val="nil"/>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w:t>
            </w:r>
            <w:r w:rsidR="009C3050" w:rsidRPr="00293551">
              <w:rPr>
                <w:rFonts w:ascii="Calibri" w:hAnsi="Calibri" w:cs="Calibri"/>
              </w:rPr>
              <w:t>0</w:t>
            </w:r>
            <w:r w:rsidRPr="00293551">
              <w:rPr>
                <w:rFonts w:ascii="Calibri" w:hAnsi="Calibri" w:cs="Calibri"/>
              </w:rPr>
              <w:t>,3</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Administración Laboral</w:t>
            </w:r>
            <w:r w:rsidR="009C3050" w:rsidRPr="00293551">
              <w:rPr>
                <w:rFonts w:ascii="Verdana" w:hAnsi="Verdana" w:cs="Arial"/>
                <w:color w:val="000000"/>
                <w:sz w:val="20"/>
                <w:szCs w:val="20"/>
              </w:rPr>
              <w:t xml:space="preserve"> y S.S.</w:t>
            </w:r>
          </w:p>
        </w:tc>
        <w:tc>
          <w:tcPr>
            <w:tcW w:w="1378" w:type="dxa"/>
            <w:tcBorders>
              <w:top w:val="nil"/>
              <w:left w:val="nil"/>
              <w:bottom w:val="nil"/>
              <w:right w:val="nil"/>
            </w:tcBorders>
            <w:shd w:val="clear" w:color="auto" w:fill="auto"/>
            <w:noWrap/>
            <w:vAlign w:val="bottom"/>
            <w:hideMark/>
          </w:tcPr>
          <w:p w:rsidR="00E126FE" w:rsidRPr="00293551" w:rsidRDefault="009C3050" w:rsidP="009C3050">
            <w:pPr>
              <w:jc w:val="right"/>
              <w:rPr>
                <w:rFonts w:ascii="Calibri" w:hAnsi="Calibri" w:cs="Calibri"/>
              </w:rPr>
            </w:pPr>
            <w:r w:rsidRPr="00293551">
              <w:rPr>
                <w:rFonts w:ascii="Calibri" w:hAnsi="Calibri" w:cs="Calibri"/>
              </w:rPr>
              <w:t>10</w:t>
            </w:r>
            <w:r w:rsidR="00E126FE" w:rsidRPr="00293551">
              <w:rPr>
                <w:rFonts w:ascii="Calibri" w:hAnsi="Calibri" w:cs="Calibri"/>
              </w:rPr>
              <w:t>,</w:t>
            </w:r>
            <w:r w:rsidRPr="00293551">
              <w:rPr>
                <w:rFonts w:ascii="Calibri" w:hAnsi="Calibri" w:cs="Calibri"/>
              </w:rPr>
              <w:t>0</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Extranjería</w:t>
            </w:r>
          </w:p>
        </w:tc>
        <w:tc>
          <w:tcPr>
            <w:tcW w:w="1378" w:type="dxa"/>
            <w:tcBorders>
              <w:top w:val="nil"/>
              <w:left w:val="nil"/>
              <w:bottom w:val="nil"/>
              <w:right w:val="nil"/>
            </w:tcBorders>
            <w:shd w:val="clear" w:color="auto" w:fill="auto"/>
            <w:noWrap/>
            <w:vAlign w:val="bottom"/>
            <w:hideMark/>
          </w:tcPr>
          <w:p w:rsidR="00E126FE" w:rsidRPr="00293551" w:rsidRDefault="009C3050" w:rsidP="009C3050">
            <w:pPr>
              <w:jc w:val="right"/>
              <w:rPr>
                <w:rFonts w:ascii="Calibri" w:hAnsi="Calibri" w:cs="Calibri"/>
              </w:rPr>
            </w:pPr>
            <w:r w:rsidRPr="00293551">
              <w:rPr>
                <w:rFonts w:ascii="Calibri" w:hAnsi="Calibri" w:cs="Calibri"/>
              </w:rPr>
              <w:t>6</w:t>
            </w:r>
            <w:r w:rsidR="00E126FE" w:rsidRPr="00293551">
              <w:rPr>
                <w:rFonts w:ascii="Calibri" w:hAnsi="Calibri" w:cs="Calibri"/>
              </w:rPr>
              <w:t>,</w:t>
            </w:r>
            <w:r w:rsidRPr="00293551">
              <w:rPr>
                <w:rFonts w:ascii="Calibri" w:hAnsi="Calibri" w:cs="Calibri"/>
              </w:rPr>
              <w:t>4</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Actividad  Administrativa Sancionadora</w:t>
            </w:r>
          </w:p>
        </w:tc>
        <w:tc>
          <w:tcPr>
            <w:tcW w:w="1378" w:type="dxa"/>
            <w:tcBorders>
              <w:top w:val="nil"/>
              <w:left w:val="nil"/>
              <w:bottom w:val="nil"/>
              <w:right w:val="nil"/>
            </w:tcBorders>
            <w:shd w:val="clear" w:color="auto" w:fill="auto"/>
            <w:noWrap/>
            <w:vAlign w:val="bottom"/>
            <w:hideMark/>
          </w:tcPr>
          <w:p w:rsidR="00E126FE" w:rsidRPr="00293551" w:rsidRDefault="009C3050" w:rsidP="009C3050">
            <w:pPr>
              <w:jc w:val="right"/>
              <w:rPr>
                <w:rFonts w:ascii="Calibri" w:hAnsi="Calibri" w:cs="Calibri"/>
              </w:rPr>
            </w:pPr>
            <w:r w:rsidRPr="00293551">
              <w:rPr>
                <w:rFonts w:ascii="Calibri" w:hAnsi="Calibri" w:cs="Calibri"/>
              </w:rPr>
              <w:t>8</w:t>
            </w:r>
            <w:r w:rsidR="00E126FE" w:rsidRPr="00293551">
              <w:rPr>
                <w:rFonts w:ascii="Calibri" w:hAnsi="Calibri" w:cs="Calibri"/>
              </w:rPr>
              <w:t>,</w:t>
            </w:r>
            <w:r w:rsidRPr="00293551">
              <w:rPr>
                <w:rFonts w:ascii="Calibri" w:hAnsi="Calibri" w:cs="Calibri"/>
              </w:rPr>
              <w:t>6</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Electoral</w:t>
            </w:r>
          </w:p>
        </w:tc>
        <w:tc>
          <w:tcPr>
            <w:tcW w:w="1378" w:type="dxa"/>
            <w:tcBorders>
              <w:top w:val="nil"/>
              <w:left w:val="nil"/>
              <w:bottom w:val="nil"/>
              <w:right w:val="nil"/>
            </w:tcBorders>
            <w:shd w:val="clear" w:color="auto" w:fill="auto"/>
            <w:noWrap/>
            <w:vAlign w:val="bottom"/>
            <w:hideMark/>
          </w:tcPr>
          <w:p w:rsidR="00E126FE" w:rsidRPr="00293551" w:rsidRDefault="009C3050" w:rsidP="009C3050">
            <w:pPr>
              <w:jc w:val="right"/>
              <w:rPr>
                <w:rFonts w:ascii="Calibri" w:hAnsi="Calibri" w:cs="Calibri"/>
              </w:rPr>
            </w:pPr>
            <w:r w:rsidRPr="00293551">
              <w:rPr>
                <w:rFonts w:ascii="Calibri" w:hAnsi="Calibri" w:cs="Calibri"/>
              </w:rPr>
              <w:t>8</w:t>
            </w:r>
            <w:r w:rsidR="00E126FE" w:rsidRPr="00293551">
              <w:rPr>
                <w:rFonts w:ascii="Calibri" w:hAnsi="Calibri" w:cs="Calibri"/>
              </w:rPr>
              <w:t>,</w:t>
            </w:r>
            <w:r w:rsidRPr="00293551">
              <w:rPr>
                <w:rFonts w:ascii="Calibri" w:hAnsi="Calibri" w:cs="Calibri"/>
              </w:rPr>
              <w:t>2</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Autorizac. entradas en domicilio</w:t>
            </w:r>
          </w:p>
        </w:tc>
        <w:tc>
          <w:tcPr>
            <w:tcW w:w="1378" w:type="dxa"/>
            <w:tcBorders>
              <w:top w:val="nil"/>
              <w:left w:val="nil"/>
              <w:bottom w:val="nil"/>
              <w:right w:val="nil"/>
            </w:tcBorders>
            <w:shd w:val="clear" w:color="auto" w:fill="auto"/>
            <w:noWrap/>
            <w:vAlign w:val="bottom"/>
            <w:hideMark/>
          </w:tcPr>
          <w:p w:rsidR="00E126FE" w:rsidRPr="00293551" w:rsidRDefault="009C3050" w:rsidP="00D3182A">
            <w:pPr>
              <w:jc w:val="right"/>
              <w:rPr>
                <w:rFonts w:ascii="Calibri" w:hAnsi="Calibri" w:cs="Calibri"/>
              </w:rPr>
            </w:pPr>
            <w:r w:rsidRPr="00293551">
              <w:rPr>
                <w:rFonts w:ascii="Calibri" w:hAnsi="Calibri" w:cs="Calibri"/>
              </w:rPr>
              <w:t>2,2</w:t>
            </w:r>
          </w:p>
        </w:tc>
      </w:tr>
      <w:tr w:rsidR="00E126FE" w:rsidRPr="00293551" w:rsidTr="00FB0811">
        <w:trPr>
          <w:trHeight w:val="292"/>
          <w:jc w:val="center"/>
        </w:trPr>
        <w:tc>
          <w:tcPr>
            <w:tcW w:w="4562" w:type="dxa"/>
            <w:tcBorders>
              <w:top w:val="nil"/>
              <w:left w:val="nil"/>
              <w:bottom w:val="nil"/>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Responsabilidad patrimonial</w:t>
            </w:r>
          </w:p>
        </w:tc>
        <w:tc>
          <w:tcPr>
            <w:tcW w:w="1378" w:type="dxa"/>
            <w:tcBorders>
              <w:top w:val="nil"/>
              <w:left w:val="nil"/>
              <w:bottom w:val="nil"/>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1</w:t>
            </w:r>
            <w:r w:rsidR="009C3050" w:rsidRPr="00293551">
              <w:rPr>
                <w:rFonts w:ascii="Calibri" w:hAnsi="Calibri" w:cs="Calibri"/>
              </w:rPr>
              <w:t>0</w:t>
            </w:r>
            <w:r w:rsidRPr="00293551">
              <w:rPr>
                <w:rFonts w:ascii="Calibri" w:hAnsi="Calibri" w:cs="Calibri"/>
              </w:rPr>
              <w:t>,</w:t>
            </w:r>
            <w:r w:rsidR="009C3050" w:rsidRPr="00293551">
              <w:rPr>
                <w:rFonts w:ascii="Calibri" w:hAnsi="Calibri" w:cs="Calibri"/>
              </w:rPr>
              <w:t>6</w:t>
            </w:r>
          </w:p>
        </w:tc>
      </w:tr>
      <w:tr w:rsidR="00E126FE" w:rsidRPr="00293551" w:rsidTr="00FB0811">
        <w:trPr>
          <w:trHeight w:val="307"/>
          <w:jc w:val="center"/>
        </w:trPr>
        <w:tc>
          <w:tcPr>
            <w:tcW w:w="4562" w:type="dxa"/>
            <w:tcBorders>
              <w:top w:val="nil"/>
              <w:left w:val="nil"/>
              <w:bottom w:val="single" w:sz="8" w:space="0" w:color="244062"/>
              <w:right w:val="nil"/>
            </w:tcBorders>
            <w:shd w:val="clear" w:color="auto" w:fill="auto"/>
            <w:noWrap/>
            <w:vAlign w:val="center"/>
            <w:hideMark/>
          </w:tcPr>
          <w:p w:rsidR="00E126FE" w:rsidRPr="00293551" w:rsidRDefault="00E126FE">
            <w:pPr>
              <w:rPr>
                <w:rFonts w:ascii="Verdana" w:hAnsi="Verdana" w:cs="Calibri"/>
                <w:color w:val="000000"/>
                <w:sz w:val="20"/>
                <w:szCs w:val="20"/>
              </w:rPr>
            </w:pPr>
            <w:r w:rsidRPr="00293551">
              <w:rPr>
                <w:rFonts w:ascii="Verdana" w:hAnsi="Verdana" w:cs="Arial"/>
                <w:color w:val="000000"/>
                <w:sz w:val="20"/>
                <w:szCs w:val="20"/>
              </w:rPr>
              <w:t>Otras</w:t>
            </w:r>
          </w:p>
        </w:tc>
        <w:tc>
          <w:tcPr>
            <w:tcW w:w="1378" w:type="dxa"/>
            <w:tcBorders>
              <w:top w:val="nil"/>
              <w:left w:val="nil"/>
              <w:bottom w:val="single" w:sz="8" w:space="0" w:color="244062"/>
              <w:right w:val="nil"/>
            </w:tcBorders>
            <w:shd w:val="clear" w:color="auto" w:fill="auto"/>
            <w:noWrap/>
            <w:vAlign w:val="bottom"/>
            <w:hideMark/>
          </w:tcPr>
          <w:p w:rsidR="00E126FE" w:rsidRPr="00293551" w:rsidRDefault="00E126FE" w:rsidP="009C3050">
            <w:pPr>
              <w:jc w:val="right"/>
              <w:rPr>
                <w:rFonts w:ascii="Calibri" w:hAnsi="Calibri" w:cs="Calibri"/>
              </w:rPr>
            </w:pPr>
            <w:r w:rsidRPr="00293551">
              <w:rPr>
                <w:rFonts w:ascii="Calibri" w:hAnsi="Calibri" w:cs="Calibri"/>
              </w:rPr>
              <w:t>9,</w:t>
            </w:r>
            <w:r w:rsidR="009C3050" w:rsidRPr="00293551">
              <w:rPr>
                <w:rFonts w:ascii="Calibri" w:hAnsi="Calibri" w:cs="Calibri"/>
              </w:rPr>
              <w:t>4</w:t>
            </w:r>
          </w:p>
        </w:tc>
      </w:tr>
    </w:tbl>
    <w:p w:rsidR="004212F9" w:rsidRPr="00293551" w:rsidRDefault="004212F9" w:rsidP="00D70745">
      <w:pPr>
        <w:pStyle w:val="Textoindependiente"/>
        <w:spacing w:before="120" w:after="120"/>
        <w:ind w:firstLine="357"/>
        <w:rPr>
          <w:rFonts w:ascii="Verdana" w:hAnsi="Verdana"/>
          <w:sz w:val="20"/>
        </w:rPr>
      </w:pPr>
    </w:p>
    <w:p w:rsidR="003F7780" w:rsidRPr="00293551" w:rsidRDefault="00953497" w:rsidP="00D70745">
      <w:pPr>
        <w:pStyle w:val="Textoindependiente"/>
        <w:spacing w:before="120" w:after="120"/>
        <w:ind w:firstLine="357"/>
        <w:rPr>
          <w:rFonts w:ascii="Verdana" w:hAnsi="Verdana"/>
          <w:sz w:val="20"/>
        </w:rPr>
      </w:pPr>
      <w:r w:rsidRPr="00293551">
        <w:rPr>
          <w:rFonts w:ascii="Verdana" w:hAnsi="Verdana"/>
          <w:sz w:val="20"/>
        </w:rPr>
        <w:t>Por tipos de</w:t>
      </w:r>
      <w:r w:rsidR="00B67D16" w:rsidRPr="00293551">
        <w:rPr>
          <w:rFonts w:ascii="Verdana" w:hAnsi="Verdana"/>
          <w:sz w:val="20"/>
        </w:rPr>
        <w:t xml:space="preserve"> procedimiento, los procedimientos o</w:t>
      </w:r>
      <w:r w:rsidRPr="00293551">
        <w:rPr>
          <w:rFonts w:ascii="Verdana" w:hAnsi="Verdana"/>
          <w:sz w:val="20"/>
        </w:rPr>
        <w:t>rdinarios han tenido una duración media de 1</w:t>
      </w:r>
      <w:r w:rsidR="009C0E48" w:rsidRPr="00293551">
        <w:rPr>
          <w:rFonts w:ascii="Verdana" w:hAnsi="Verdana"/>
          <w:sz w:val="20"/>
        </w:rPr>
        <w:t>3</w:t>
      </w:r>
      <w:r w:rsidR="001F7C36" w:rsidRPr="00293551">
        <w:rPr>
          <w:rFonts w:ascii="Verdana" w:hAnsi="Verdana"/>
          <w:sz w:val="20"/>
        </w:rPr>
        <w:t>,</w:t>
      </w:r>
      <w:r w:rsidR="009C0E48" w:rsidRPr="00293551">
        <w:rPr>
          <w:rFonts w:ascii="Verdana" w:hAnsi="Verdana"/>
          <w:sz w:val="20"/>
        </w:rPr>
        <w:t>5</w:t>
      </w:r>
      <w:r w:rsidRPr="00293551">
        <w:rPr>
          <w:rFonts w:ascii="Verdana" w:hAnsi="Verdana"/>
          <w:sz w:val="20"/>
        </w:rPr>
        <w:t xml:space="preserve"> meses, </w:t>
      </w:r>
      <w:r w:rsidR="009C0E48" w:rsidRPr="00293551">
        <w:rPr>
          <w:rFonts w:ascii="Verdana" w:hAnsi="Verdana"/>
          <w:sz w:val="20"/>
        </w:rPr>
        <w:t>un</w:t>
      </w:r>
      <w:r w:rsidRPr="00293551">
        <w:rPr>
          <w:rFonts w:ascii="Verdana" w:hAnsi="Verdana"/>
          <w:sz w:val="20"/>
        </w:rPr>
        <w:t xml:space="preserve"> </w:t>
      </w:r>
      <w:r w:rsidR="009C0E48" w:rsidRPr="00293551">
        <w:rPr>
          <w:rFonts w:ascii="Verdana" w:hAnsi="Verdana"/>
          <w:sz w:val="20"/>
        </w:rPr>
        <w:t>4</w:t>
      </w:r>
      <w:r w:rsidR="005B7D40" w:rsidRPr="00293551">
        <w:rPr>
          <w:rFonts w:ascii="Verdana" w:hAnsi="Verdana"/>
          <w:sz w:val="20"/>
        </w:rPr>
        <w:t>,</w:t>
      </w:r>
      <w:r w:rsidR="009C0E48" w:rsidRPr="00293551">
        <w:rPr>
          <w:rFonts w:ascii="Verdana" w:hAnsi="Verdana"/>
          <w:sz w:val="20"/>
        </w:rPr>
        <w:t>7</w:t>
      </w:r>
      <w:r w:rsidRPr="00293551">
        <w:rPr>
          <w:rFonts w:ascii="Verdana" w:hAnsi="Verdana"/>
          <w:sz w:val="20"/>
        </w:rPr>
        <w:t xml:space="preserve">% </w:t>
      </w:r>
      <w:r w:rsidR="009C0E48" w:rsidRPr="00293551">
        <w:rPr>
          <w:rFonts w:ascii="Verdana" w:hAnsi="Verdana"/>
          <w:sz w:val="20"/>
        </w:rPr>
        <w:t>menos que en 2016</w:t>
      </w:r>
      <w:r w:rsidR="00B67D16" w:rsidRPr="00293551">
        <w:rPr>
          <w:rFonts w:ascii="Verdana" w:hAnsi="Verdana"/>
          <w:sz w:val="20"/>
        </w:rPr>
        <w:t>, y la duración media de los procedimientos a</w:t>
      </w:r>
      <w:r w:rsidRPr="00293551">
        <w:rPr>
          <w:rFonts w:ascii="Verdana" w:hAnsi="Verdana"/>
          <w:sz w:val="20"/>
        </w:rPr>
        <w:t xml:space="preserve">breviados ha sido de </w:t>
      </w:r>
      <w:r w:rsidR="009C0E48" w:rsidRPr="00293551">
        <w:rPr>
          <w:rFonts w:ascii="Verdana" w:hAnsi="Verdana"/>
          <w:sz w:val="20"/>
        </w:rPr>
        <w:t>8</w:t>
      </w:r>
      <w:r w:rsidR="001F7C36" w:rsidRPr="00293551">
        <w:rPr>
          <w:rFonts w:ascii="Verdana" w:hAnsi="Verdana"/>
          <w:sz w:val="20"/>
        </w:rPr>
        <w:t>,</w:t>
      </w:r>
      <w:r w:rsidR="009C0E48" w:rsidRPr="00293551">
        <w:rPr>
          <w:rFonts w:ascii="Verdana" w:hAnsi="Verdana"/>
          <w:sz w:val="20"/>
        </w:rPr>
        <w:t>8</w:t>
      </w:r>
      <w:r w:rsidR="00B33A1D" w:rsidRPr="00293551">
        <w:rPr>
          <w:rFonts w:ascii="Verdana" w:hAnsi="Verdana"/>
          <w:sz w:val="20"/>
        </w:rPr>
        <w:t xml:space="preserve"> meses, </w:t>
      </w:r>
      <w:r w:rsidR="0052676B" w:rsidRPr="00293551">
        <w:rPr>
          <w:rFonts w:ascii="Verdana" w:hAnsi="Verdana"/>
          <w:sz w:val="20"/>
        </w:rPr>
        <w:t>con una disminución del</w:t>
      </w:r>
      <w:r w:rsidRPr="00293551">
        <w:rPr>
          <w:rFonts w:ascii="Verdana" w:hAnsi="Verdana"/>
          <w:sz w:val="20"/>
        </w:rPr>
        <w:t xml:space="preserve"> </w:t>
      </w:r>
      <w:r w:rsidR="009C0E48" w:rsidRPr="00293551">
        <w:rPr>
          <w:rFonts w:ascii="Verdana" w:hAnsi="Verdana"/>
          <w:sz w:val="20"/>
        </w:rPr>
        <w:t>10</w:t>
      </w:r>
      <w:r w:rsidR="00B00DA2" w:rsidRPr="00293551">
        <w:rPr>
          <w:rFonts w:ascii="Verdana" w:hAnsi="Verdana"/>
          <w:sz w:val="20"/>
        </w:rPr>
        <w:t>,</w:t>
      </w:r>
      <w:r w:rsidR="009C0E48" w:rsidRPr="00293551">
        <w:rPr>
          <w:rFonts w:ascii="Verdana" w:hAnsi="Verdana"/>
          <w:sz w:val="20"/>
        </w:rPr>
        <w:t>9</w:t>
      </w:r>
      <w:r w:rsidRPr="00293551">
        <w:rPr>
          <w:rFonts w:ascii="Verdana" w:hAnsi="Verdana"/>
          <w:sz w:val="20"/>
        </w:rPr>
        <w:t>%.</w:t>
      </w:r>
      <w:r w:rsidR="0099265E" w:rsidRPr="00293551">
        <w:rPr>
          <w:rFonts w:ascii="Verdana" w:hAnsi="Verdana"/>
          <w:sz w:val="20"/>
        </w:rPr>
        <w:t xml:space="preserve">  </w:t>
      </w:r>
      <w:r w:rsidR="00B67D16" w:rsidRPr="00293551">
        <w:rPr>
          <w:rFonts w:ascii="Verdana" w:hAnsi="Verdana"/>
          <w:sz w:val="20"/>
        </w:rPr>
        <w:t>En las salas de lo c</w:t>
      </w:r>
      <w:r w:rsidR="00D70745" w:rsidRPr="00293551">
        <w:rPr>
          <w:rFonts w:ascii="Verdana" w:hAnsi="Verdana"/>
          <w:sz w:val="20"/>
        </w:rPr>
        <w:t>onten</w:t>
      </w:r>
      <w:r w:rsidR="00B67D16" w:rsidRPr="00293551">
        <w:rPr>
          <w:rFonts w:ascii="Verdana" w:hAnsi="Verdana"/>
          <w:sz w:val="20"/>
        </w:rPr>
        <w:t>cioso administrativo de los tribunales superiores de j</w:t>
      </w:r>
      <w:r w:rsidR="00D70745" w:rsidRPr="00293551">
        <w:rPr>
          <w:rFonts w:ascii="Verdana" w:hAnsi="Verdana"/>
          <w:sz w:val="20"/>
        </w:rPr>
        <w:t>usticia, la duración media de los asuntos</w:t>
      </w:r>
      <w:r w:rsidR="00F375FD" w:rsidRPr="00293551">
        <w:rPr>
          <w:rFonts w:ascii="Verdana" w:hAnsi="Verdana"/>
          <w:sz w:val="20"/>
        </w:rPr>
        <w:t xml:space="preserve"> en única instancia </w:t>
      </w:r>
      <w:r w:rsidR="00D70745" w:rsidRPr="00293551">
        <w:rPr>
          <w:rFonts w:ascii="Verdana" w:hAnsi="Verdana"/>
          <w:sz w:val="20"/>
        </w:rPr>
        <w:t xml:space="preserve"> terminados en </w:t>
      </w:r>
      <w:r w:rsidR="00E12AC8" w:rsidRPr="00293551">
        <w:rPr>
          <w:rFonts w:ascii="Verdana" w:hAnsi="Verdana"/>
          <w:sz w:val="20"/>
        </w:rPr>
        <w:t>20</w:t>
      </w:r>
      <w:r w:rsidR="000A4673" w:rsidRPr="00293551">
        <w:rPr>
          <w:rFonts w:ascii="Verdana" w:hAnsi="Verdana"/>
          <w:sz w:val="20"/>
        </w:rPr>
        <w:t>1</w:t>
      </w:r>
      <w:r w:rsidR="00F42AC3" w:rsidRPr="00293551">
        <w:rPr>
          <w:rFonts w:ascii="Verdana" w:hAnsi="Verdana"/>
          <w:sz w:val="20"/>
        </w:rPr>
        <w:t>7</w:t>
      </w:r>
      <w:r w:rsidR="00D70745" w:rsidRPr="00293551">
        <w:rPr>
          <w:rFonts w:ascii="Verdana" w:hAnsi="Verdana"/>
          <w:sz w:val="20"/>
        </w:rPr>
        <w:t xml:space="preserve"> ha sido de </w:t>
      </w:r>
      <w:r w:rsidR="00B00DA2" w:rsidRPr="00293551">
        <w:rPr>
          <w:rFonts w:ascii="Verdana" w:hAnsi="Verdana"/>
          <w:sz w:val="20"/>
        </w:rPr>
        <w:t>1</w:t>
      </w:r>
      <w:r w:rsidR="00F42AC3" w:rsidRPr="00293551">
        <w:rPr>
          <w:rFonts w:ascii="Verdana" w:hAnsi="Verdana"/>
          <w:sz w:val="20"/>
        </w:rPr>
        <w:t>7</w:t>
      </w:r>
      <w:r w:rsidR="000A4673" w:rsidRPr="00293551">
        <w:rPr>
          <w:rFonts w:ascii="Verdana" w:hAnsi="Verdana"/>
          <w:sz w:val="20"/>
        </w:rPr>
        <w:t>,</w:t>
      </w:r>
      <w:r w:rsidR="00F42AC3" w:rsidRPr="00293551">
        <w:rPr>
          <w:rFonts w:ascii="Verdana" w:hAnsi="Verdana"/>
          <w:sz w:val="20"/>
        </w:rPr>
        <w:t>1</w:t>
      </w:r>
      <w:r w:rsidR="00D70745" w:rsidRPr="00293551">
        <w:rPr>
          <w:rFonts w:ascii="Verdana" w:hAnsi="Verdana"/>
          <w:sz w:val="20"/>
        </w:rPr>
        <w:t xml:space="preserve"> meses, siendo la</w:t>
      </w:r>
      <w:r w:rsidR="0057161F" w:rsidRPr="00293551">
        <w:rPr>
          <w:rFonts w:ascii="Verdana" w:hAnsi="Verdana"/>
          <w:sz w:val="20"/>
        </w:rPr>
        <w:t>s</w:t>
      </w:r>
      <w:r w:rsidR="00D70745" w:rsidRPr="00293551">
        <w:rPr>
          <w:rFonts w:ascii="Verdana" w:hAnsi="Verdana"/>
          <w:sz w:val="20"/>
        </w:rPr>
        <w:t xml:space="preserve"> mayor</w:t>
      </w:r>
      <w:r w:rsidR="0057161F" w:rsidRPr="00293551">
        <w:rPr>
          <w:rFonts w:ascii="Verdana" w:hAnsi="Verdana"/>
          <w:sz w:val="20"/>
        </w:rPr>
        <w:t>es</w:t>
      </w:r>
      <w:r w:rsidR="00D70745" w:rsidRPr="00293551">
        <w:rPr>
          <w:rFonts w:ascii="Verdana" w:hAnsi="Verdana"/>
          <w:sz w:val="20"/>
        </w:rPr>
        <w:t xml:space="preserve"> en </w:t>
      </w:r>
      <w:r w:rsidR="00B00DA2" w:rsidRPr="00293551">
        <w:rPr>
          <w:rFonts w:ascii="Verdana" w:hAnsi="Verdana"/>
          <w:sz w:val="20"/>
        </w:rPr>
        <w:t>Cataluña</w:t>
      </w:r>
      <w:r w:rsidR="00B33A1D" w:rsidRPr="00293551">
        <w:rPr>
          <w:rFonts w:ascii="Verdana" w:hAnsi="Verdana"/>
          <w:sz w:val="20"/>
        </w:rPr>
        <w:t xml:space="preserve">, </w:t>
      </w:r>
      <w:r w:rsidR="00B00DA2" w:rsidRPr="00293551">
        <w:rPr>
          <w:rFonts w:ascii="Verdana" w:hAnsi="Verdana"/>
          <w:sz w:val="20"/>
        </w:rPr>
        <w:t>2</w:t>
      </w:r>
      <w:r w:rsidR="00F42AC3" w:rsidRPr="00293551">
        <w:rPr>
          <w:rFonts w:ascii="Verdana" w:hAnsi="Verdana"/>
          <w:sz w:val="20"/>
        </w:rPr>
        <w:t>7</w:t>
      </w:r>
      <w:r w:rsidR="00BA22C0" w:rsidRPr="00293551">
        <w:rPr>
          <w:rFonts w:ascii="Verdana" w:hAnsi="Verdana"/>
          <w:sz w:val="20"/>
        </w:rPr>
        <w:t>,</w:t>
      </w:r>
      <w:r w:rsidR="00F42AC3" w:rsidRPr="00293551">
        <w:rPr>
          <w:rFonts w:ascii="Verdana" w:hAnsi="Verdana"/>
          <w:sz w:val="20"/>
        </w:rPr>
        <w:t>8</w:t>
      </w:r>
      <w:r w:rsidR="000A4673" w:rsidRPr="00293551">
        <w:rPr>
          <w:rFonts w:ascii="Verdana" w:hAnsi="Verdana"/>
          <w:sz w:val="20"/>
        </w:rPr>
        <w:t xml:space="preserve"> meses</w:t>
      </w:r>
      <w:r w:rsidR="0089603E" w:rsidRPr="00293551">
        <w:rPr>
          <w:rFonts w:ascii="Verdana" w:hAnsi="Verdana"/>
          <w:sz w:val="20"/>
        </w:rPr>
        <w:t>;</w:t>
      </w:r>
      <w:r w:rsidR="00F42AC3" w:rsidRPr="00293551">
        <w:rPr>
          <w:rFonts w:ascii="Verdana" w:hAnsi="Verdana"/>
          <w:sz w:val="20"/>
        </w:rPr>
        <w:t xml:space="preserve"> </w:t>
      </w:r>
      <w:r w:rsidR="00B00DA2" w:rsidRPr="00293551">
        <w:rPr>
          <w:rFonts w:ascii="Verdana" w:hAnsi="Verdana"/>
          <w:sz w:val="20"/>
        </w:rPr>
        <w:t>C. Valenciana, 2</w:t>
      </w:r>
      <w:r w:rsidR="00F42AC3" w:rsidRPr="00293551">
        <w:rPr>
          <w:rFonts w:ascii="Verdana" w:hAnsi="Verdana"/>
          <w:sz w:val="20"/>
        </w:rPr>
        <w:t>2</w:t>
      </w:r>
      <w:r w:rsidR="00B00DA2" w:rsidRPr="00293551">
        <w:rPr>
          <w:rFonts w:ascii="Verdana" w:hAnsi="Verdana"/>
          <w:sz w:val="20"/>
        </w:rPr>
        <w:t xml:space="preserve">,7; </w:t>
      </w:r>
      <w:r w:rsidR="0052676B" w:rsidRPr="00293551">
        <w:rPr>
          <w:rFonts w:ascii="Verdana" w:hAnsi="Verdana"/>
          <w:sz w:val="20"/>
        </w:rPr>
        <w:t xml:space="preserve"> </w:t>
      </w:r>
      <w:r w:rsidR="00F42AC3" w:rsidRPr="00293551">
        <w:rPr>
          <w:rFonts w:ascii="Verdana" w:hAnsi="Verdana"/>
          <w:sz w:val="20"/>
        </w:rPr>
        <w:t xml:space="preserve">Aragón, 20,6; </w:t>
      </w:r>
      <w:r w:rsidR="00047A46" w:rsidRPr="00293551">
        <w:rPr>
          <w:rFonts w:ascii="Verdana" w:hAnsi="Verdana"/>
          <w:sz w:val="20"/>
        </w:rPr>
        <w:t>Andalucía</w:t>
      </w:r>
      <w:r w:rsidR="0052676B" w:rsidRPr="00293551">
        <w:rPr>
          <w:rFonts w:ascii="Verdana" w:hAnsi="Verdana"/>
          <w:sz w:val="20"/>
        </w:rPr>
        <w:t>, 2</w:t>
      </w:r>
      <w:r w:rsidR="00F42AC3" w:rsidRPr="00293551">
        <w:rPr>
          <w:rFonts w:ascii="Verdana" w:hAnsi="Verdana"/>
          <w:sz w:val="20"/>
        </w:rPr>
        <w:t>0,4</w:t>
      </w:r>
      <w:r w:rsidR="00B00DA2" w:rsidRPr="00293551">
        <w:rPr>
          <w:rFonts w:ascii="Verdana" w:hAnsi="Verdana"/>
          <w:sz w:val="20"/>
        </w:rPr>
        <w:t xml:space="preserve"> meses</w:t>
      </w:r>
      <w:r w:rsidR="00DC2418" w:rsidRPr="00293551">
        <w:rPr>
          <w:rFonts w:ascii="Verdana" w:hAnsi="Verdana"/>
          <w:sz w:val="20"/>
        </w:rPr>
        <w:t xml:space="preserve">. </w:t>
      </w:r>
      <w:r w:rsidR="00C10F1D" w:rsidRPr="00293551">
        <w:rPr>
          <w:rFonts w:ascii="Verdana" w:hAnsi="Verdana"/>
          <w:sz w:val="20"/>
        </w:rPr>
        <w:t xml:space="preserve"> </w:t>
      </w:r>
      <w:r w:rsidR="00BA22C0" w:rsidRPr="00293551">
        <w:rPr>
          <w:rFonts w:ascii="Verdana" w:hAnsi="Verdana"/>
          <w:sz w:val="20"/>
        </w:rPr>
        <w:t xml:space="preserve"> </w:t>
      </w:r>
      <w:r w:rsidR="00F375FD" w:rsidRPr="00293551">
        <w:rPr>
          <w:rFonts w:ascii="Verdana" w:hAnsi="Verdana"/>
          <w:sz w:val="20"/>
        </w:rPr>
        <w:t xml:space="preserve">  </w:t>
      </w:r>
    </w:p>
    <w:p w:rsidR="007D4A6F" w:rsidRPr="00293551" w:rsidRDefault="007D4A6F" w:rsidP="00D70745">
      <w:pPr>
        <w:pStyle w:val="Textoindependiente"/>
        <w:spacing w:before="120" w:after="120"/>
        <w:ind w:firstLine="357"/>
        <w:rPr>
          <w:rFonts w:ascii="Verdana" w:hAnsi="Verdana"/>
          <w:sz w:val="20"/>
        </w:rPr>
      </w:pPr>
    </w:p>
    <w:p w:rsidR="00B67D16" w:rsidRPr="00293551" w:rsidRDefault="00B67D16" w:rsidP="00D70745">
      <w:pPr>
        <w:pStyle w:val="Textoindependiente"/>
        <w:spacing w:before="120" w:after="120"/>
        <w:ind w:firstLine="357"/>
        <w:rPr>
          <w:rFonts w:ascii="Verdana" w:hAnsi="Verdana"/>
          <w:sz w:val="20"/>
        </w:rPr>
      </w:pPr>
    </w:p>
    <w:tbl>
      <w:tblPr>
        <w:tblW w:w="9566" w:type="dxa"/>
        <w:tblInd w:w="55" w:type="dxa"/>
        <w:tblCellMar>
          <w:left w:w="70" w:type="dxa"/>
          <w:right w:w="70" w:type="dxa"/>
        </w:tblCellMar>
        <w:tblLook w:val="0000" w:firstRow="0" w:lastRow="0" w:firstColumn="0" w:lastColumn="0" w:noHBand="0" w:noVBand="0"/>
      </w:tblPr>
      <w:tblGrid>
        <w:gridCol w:w="3341"/>
        <w:gridCol w:w="1245"/>
        <w:gridCol w:w="1245"/>
        <w:gridCol w:w="1245"/>
        <w:gridCol w:w="1245"/>
        <w:gridCol w:w="1245"/>
      </w:tblGrid>
      <w:tr w:rsidR="00F42AC3" w:rsidRPr="00293551" w:rsidTr="00DC2418">
        <w:trPr>
          <w:trHeight w:val="255"/>
        </w:trPr>
        <w:tc>
          <w:tcPr>
            <w:tcW w:w="3341" w:type="dxa"/>
            <w:tcBorders>
              <w:top w:val="nil"/>
              <w:left w:val="nil"/>
              <w:bottom w:val="nil"/>
              <w:right w:val="nil"/>
            </w:tcBorders>
            <w:shd w:val="clear" w:color="auto" w:fill="FFFFFF"/>
            <w:noWrap/>
            <w:vAlign w:val="bottom"/>
          </w:tcPr>
          <w:p w:rsidR="00F42AC3" w:rsidRPr="00293551" w:rsidRDefault="00F42AC3" w:rsidP="00F17F8A">
            <w:pPr>
              <w:rPr>
                <w:rFonts w:ascii="Verdana" w:hAnsi="Verdana" w:cs="Arial"/>
                <w:color w:val="000080"/>
                <w:sz w:val="20"/>
                <w:szCs w:val="20"/>
              </w:rPr>
            </w:pPr>
            <w:r w:rsidRPr="00293551">
              <w:rPr>
                <w:rFonts w:ascii="Verdana" w:hAnsi="Verdana" w:cs="Arial"/>
                <w:color w:val="000080"/>
                <w:sz w:val="20"/>
                <w:szCs w:val="20"/>
              </w:rPr>
              <w:t> </w:t>
            </w:r>
          </w:p>
        </w:tc>
        <w:tc>
          <w:tcPr>
            <w:tcW w:w="1245" w:type="dxa"/>
            <w:tcBorders>
              <w:top w:val="single" w:sz="8" w:space="0" w:color="auto"/>
              <w:left w:val="nil"/>
              <w:bottom w:val="single" w:sz="8" w:space="0" w:color="auto"/>
              <w:right w:val="nil"/>
            </w:tcBorders>
            <w:shd w:val="clear" w:color="auto" w:fill="auto"/>
            <w:vAlign w:val="center"/>
          </w:tcPr>
          <w:p w:rsidR="00F42AC3" w:rsidRPr="00293551" w:rsidRDefault="00F42AC3"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2017</w:t>
            </w:r>
          </w:p>
        </w:tc>
        <w:tc>
          <w:tcPr>
            <w:tcW w:w="1245" w:type="dxa"/>
            <w:tcBorders>
              <w:top w:val="single" w:sz="8" w:space="0" w:color="auto"/>
              <w:left w:val="nil"/>
              <w:bottom w:val="single" w:sz="8" w:space="0" w:color="auto"/>
              <w:right w:val="nil"/>
            </w:tcBorders>
            <w:shd w:val="clear" w:color="auto" w:fill="auto"/>
            <w:vAlign w:val="center"/>
          </w:tcPr>
          <w:p w:rsidR="00F42AC3" w:rsidRPr="00293551" w:rsidRDefault="00F42AC3"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2016</w:t>
            </w:r>
          </w:p>
        </w:tc>
        <w:tc>
          <w:tcPr>
            <w:tcW w:w="1245" w:type="dxa"/>
            <w:tcBorders>
              <w:top w:val="single" w:sz="8" w:space="0" w:color="auto"/>
              <w:left w:val="nil"/>
              <w:bottom w:val="single" w:sz="8" w:space="0" w:color="auto"/>
              <w:right w:val="nil"/>
            </w:tcBorders>
            <w:shd w:val="clear" w:color="auto" w:fill="auto"/>
            <w:vAlign w:val="center"/>
          </w:tcPr>
          <w:p w:rsidR="00F42AC3" w:rsidRPr="00293551" w:rsidRDefault="00F42AC3"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2015</w:t>
            </w:r>
          </w:p>
        </w:tc>
        <w:tc>
          <w:tcPr>
            <w:tcW w:w="1245" w:type="dxa"/>
            <w:tcBorders>
              <w:top w:val="single" w:sz="8" w:space="0" w:color="auto"/>
              <w:left w:val="nil"/>
              <w:bottom w:val="single" w:sz="8" w:space="0" w:color="auto"/>
              <w:right w:val="nil"/>
            </w:tcBorders>
            <w:shd w:val="clear" w:color="auto" w:fill="auto"/>
            <w:vAlign w:val="center"/>
          </w:tcPr>
          <w:p w:rsidR="00F42AC3" w:rsidRPr="00293551" w:rsidRDefault="00F42AC3"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2014</w:t>
            </w:r>
          </w:p>
        </w:tc>
        <w:tc>
          <w:tcPr>
            <w:tcW w:w="1245" w:type="dxa"/>
            <w:tcBorders>
              <w:top w:val="single" w:sz="8" w:space="0" w:color="auto"/>
              <w:left w:val="nil"/>
              <w:bottom w:val="single" w:sz="8" w:space="0" w:color="auto"/>
              <w:right w:val="nil"/>
            </w:tcBorders>
            <w:shd w:val="clear" w:color="auto" w:fill="auto"/>
            <w:vAlign w:val="center"/>
          </w:tcPr>
          <w:p w:rsidR="00F42AC3" w:rsidRPr="00293551" w:rsidRDefault="00F42AC3"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2013</w:t>
            </w:r>
          </w:p>
        </w:tc>
      </w:tr>
      <w:tr w:rsidR="00F42AC3" w:rsidRPr="00293551" w:rsidTr="00F42AC3">
        <w:trPr>
          <w:trHeight w:val="255"/>
        </w:trPr>
        <w:tc>
          <w:tcPr>
            <w:tcW w:w="3341" w:type="dxa"/>
            <w:tcBorders>
              <w:top w:val="single" w:sz="8" w:space="0" w:color="auto"/>
              <w:left w:val="nil"/>
              <w:bottom w:val="single" w:sz="8" w:space="0" w:color="auto"/>
              <w:right w:val="nil"/>
            </w:tcBorders>
            <w:shd w:val="clear" w:color="auto" w:fill="auto"/>
            <w:vAlign w:val="bottom"/>
          </w:tcPr>
          <w:p w:rsidR="00F42AC3" w:rsidRPr="00293551" w:rsidRDefault="00F42AC3" w:rsidP="00F17F8A">
            <w:pPr>
              <w:jc w:val="both"/>
              <w:rPr>
                <w:rFonts w:ascii="Verdana" w:hAnsi="Verdana" w:cs="Arial"/>
                <w:sz w:val="20"/>
                <w:szCs w:val="20"/>
              </w:rPr>
            </w:pPr>
            <w:r w:rsidRPr="00293551">
              <w:rPr>
                <w:rFonts w:ascii="Verdana" w:hAnsi="Verdana" w:cs="Arial"/>
                <w:sz w:val="20"/>
                <w:szCs w:val="20"/>
              </w:rPr>
              <w:t>Salas de lo Contencioso de los TSJ</w:t>
            </w:r>
          </w:p>
        </w:tc>
        <w:tc>
          <w:tcPr>
            <w:tcW w:w="1245" w:type="dxa"/>
            <w:tcBorders>
              <w:top w:val="nil"/>
              <w:left w:val="nil"/>
              <w:bottom w:val="single" w:sz="8" w:space="0" w:color="auto"/>
              <w:right w:val="nil"/>
            </w:tcBorders>
            <w:shd w:val="clear" w:color="auto" w:fill="auto"/>
            <w:noWrap/>
            <w:vAlign w:val="center"/>
          </w:tcPr>
          <w:p w:rsidR="00F42AC3" w:rsidRPr="00293551" w:rsidRDefault="00F42AC3" w:rsidP="00F42AC3">
            <w:pPr>
              <w:jc w:val="center"/>
              <w:rPr>
                <w:rFonts w:ascii="Verdana" w:hAnsi="Verdana" w:cs="Calibri"/>
                <w:sz w:val="20"/>
                <w:szCs w:val="20"/>
              </w:rPr>
            </w:pPr>
            <w:r w:rsidRPr="00293551">
              <w:rPr>
                <w:rFonts w:ascii="Verdana" w:hAnsi="Verdana" w:cs="Calibri"/>
                <w:sz w:val="20"/>
                <w:szCs w:val="20"/>
              </w:rPr>
              <w:t>17,1</w:t>
            </w:r>
          </w:p>
        </w:tc>
        <w:tc>
          <w:tcPr>
            <w:tcW w:w="1245" w:type="dxa"/>
            <w:tcBorders>
              <w:top w:val="nil"/>
              <w:left w:val="nil"/>
              <w:bottom w:val="single" w:sz="8" w:space="0" w:color="auto"/>
              <w:right w:val="nil"/>
            </w:tcBorders>
            <w:shd w:val="clear" w:color="auto" w:fill="auto"/>
            <w:noWrap/>
            <w:vAlign w:val="center"/>
          </w:tcPr>
          <w:p w:rsidR="00F42AC3" w:rsidRPr="00293551" w:rsidRDefault="00F42AC3" w:rsidP="00F42AC3">
            <w:pPr>
              <w:jc w:val="center"/>
              <w:rPr>
                <w:rFonts w:ascii="Verdana" w:hAnsi="Verdana" w:cs="Calibri"/>
                <w:sz w:val="20"/>
                <w:szCs w:val="20"/>
              </w:rPr>
            </w:pPr>
            <w:r w:rsidRPr="00293551">
              <w:rPr>
                <w:rFonts w:ascii="Verdana" w:hAnsi="Verdana" w:cs="Calibri"/>
                <w:sz w:val="20"/>
                <w:szCs w:val="20"/>
              </w:rPr>
              <w:t>18,3</w:t>
            </w:r>
          </w:p>
        </w:tc>
        <w:tc>
          <w:tcPr>
            <w:tcW w:w="1245" w:type="dxa"/>
            <w:tcBorders>
              <w:top w:val="nil"/>
              <w:left w:val="nil"/>
              <w:bottom w:val="single" w:sz="8" w:space="0" w:color="auto"/>
              <w:right w:val="nil"/>
            </w:tcBorders>
            <w:shd w:val="clear" w:color="auto" w:fill="auto"/>
            <w:noWrap/>
            <w:vAlign w:val="center"/>
          </w:tcPr>
          <w:p w:rsidR="00F42AC3" w:rsidRPr="00293551" w:rsidRDefault="00F42AC3" w:rsidP="00F42AC3">
            <w:pPr>
              <w:jc w:val="center"/>
              <w:rPr>
                <w:rFonts w:ascii="Verdana" w:hAnsi="Verdana" w:cs="Calibri"/>
                <w:sz w:val="20"/>
                <w:szCs w:val="20"/>
              </w:rPr>
            </w:pPr>
            <w:r w:rsidRPr="00293551">
              <w:rPr>
                <w:rFonts w:ascii="Verdana" w:hAnsi="Verdana" w:cs="Calibri"/>
                <w:sz w:val="20"/>
                <w:szCs w:val="20"/>
              </w:rPr>
              <w:t>20,6</w:t>
            </w:r>
          </w:p>
        </w:tc>
        <w:tc>
          <w:tcPr>
            <w:tcW w:w="1245" w:type="dxa"/>
            <w:tcBorders>
              <w:top w:val="nil"/>
              <w:left w:val="nil"/>
              <w:bottom w:val="single" w:sz="8" w:space="0" w:color="auto"/>
              <w:right w:val="nil"/>
            </w:tcBorders>
            <w:shd w:val="clear" w:color="auto" w:fill="auto"/>
            <w:noWrap/>
            <w:vAlign w:val="center"/>
          </w:tcPr>
          <w:p w:rsidR="00F42AC3" w:rsidRPr="00293551" w:rsidRDefault="00F42AC3" w:rsidP="00F42AC3">
            <w:pPr>
              <w:jc w:val="center"/>
              <w:rPr>
                <w:rFonts w:ascii="Verdana" w:hAnsi="Verdana" w:cs="Calibri"/>
                <w:sz w:val="20"/>
                <w:szCs w:val="20"/>
              </w:rPr>
            </w:pPr>
            <w:r w:rsidRPr="00293551">
              <w:rPr>
                <w:rFonts w:ascii="Verdana" w:hAnsi="Verdana" w:cs="Calibri"/>
                <w:sz w:val="20"/>
                <w:szCs w:val="20"/>
              </w:rPr>
              <w:t>23,7</w:t>
            </w:r>
          </w:p>
        </w:tc>
        <w:tc>
          <w:tcPr>
            <w:tcW w:w="1245" w:type="dxa"/>
            <w:tcBorders>
              <w:top w:val="nil"/>
              <w:left w:val="nil"/>
              <w:bottom w:val="single" w:sz="8" w:space="0" w:color="auto"/>
              <w:right w:val="nil"/>
            </w:tcBorders>
            <w:shd w:val="clear" w:color="auto" w:fill="auto"/>
            <w:noWrap/>
            <w:vAlign w:val="center"/>
          </w:tcPr>
          <w:p w:rsidR="00F42AC3" w:rsidRPr="00293551" w:rsidRDefault="00F42AC3" w:rsidP="00F42AC3">
            <w:pPr>
              <w:jc w:val="center"/>
              <w:rPr>
                <w:rFonts w:ascii="Verdana" w:hAnsi="Verdana" w:cs="Calibri"/>
                <w:sz w:val="20"/>
                <w:szCs w:val="20"/>
              </w:rPr>
            </w:pPr>
            <w:r w:rsidRPr="00293551">
              <w:rPr>
                <w:rFonts w:ascii="Verdana" w:hAnsi="Verdana" w:cs="Calibri"/>
                <w:sz w:val="20"/>
                <w:szCs w:val="20"/>
              </w:rPr>
              <w:t>24,3</w:t>
            </w:r>
          </w:p>
        </w:tc>
      </w:tr>
    </w:tbl>
    <w:p w:rsidR="00D70745" w:rsidRPr="00293551" w:rsidRDefault="00D70745" w:rsidP="00D70745">
      <w:pPr>
        <w:pStyle w:val="Textoindependiente"/>
        <w:spacing w:before="120" w:after="120"/>
        <w:ind w:firstLine="357"/>
        <w:rPr>
          <w:rFonts w:ascii="Verdana" w:hAnsi="Verdana"/>
          <w:sz w:val="20"/>
        </w:rPr>
      </w:pPr>
      <w:r w:rsidRPr="00293551">
        <w:rPr>
          <w:rFonts w:ascii="Verdana" w:hAnsi="Verdana"/>
          <w:sz w:val="20"/>
        </w:rPr>
        <w:lastRenderedPageBreak/>
        <w:t xml:space="preserve">Por </w:t>
      </w:r>
      <w:r w:rsidR="00E97AC6" w:rsidRPr="00293551">
        <w:rPr>
          <w:rFonts w:ascii="Verdana" w:hAnsi="Verdana"/>
          <w:sz w:val="20"/>
        </w:rPr>
        <w:t>materias</w:t>
      </w:r>
      <w:r w:rsidRPr="00293551">
        <w:rPr>
          <w:rFonts w:ascii="Verdana" w:hAnsi="Verdana"/>
          <w:sz w:val="20"/>
        </w:rPr>
        <w:t xml:space="preserve">, los </w:t>
      </w:r>
      <w:r w:rsidR="00B67D16" w:rsidRPr="00293551">
        <w:rPr>
          <w:rFonts w:ascii="Verdana" w:hAnsi="Verdana"/>
          <w:sz w:val="20"/>
        </w:rPr>
        <w:t xml:space="preserve">procedimientos </w:t>
      </w:r>
      <w:r w:rsidR="00F26A01" w:rsidRPr="00293551">
        <w:rPr>
          <w:rFonts w:ascii="Verdana" w:hAnsi="Verdana"/>
          <w:sz w:val="20"/>
        </w:rPr>
        <w:t xml:space="preserve">de </w:t>
      </w:r>
      <w:r w:rsidR="00F42AC3" w:rsidRPr="00293551">
        <w:rPr>
          <w:rFonts w:ascii="Verdana" w:hAnsi="Verdana"/>
          <w:sz w:val="20"/>
        </w:rPr>
        <w:t xml:space="preserve">mayor duración media han sido los de Medio ambiente, 59,3 meses; seguidos de </w:t>
      </w:r>
      <w:r w:rsidR="00293551">
        <w:rPr>
          <w:rFonts w:ascii="Verdana" w:hAnsi="Verdana"/>
          <w:sz w:val="20"/>
        </w:rPr>
        <w:t>E</w:t>
      </w:r>
      <w:r w:rsidR="00F26A01" w:rsidRPr="00293551">
        <w:rPr>
          <w:rFonts w:ascii="Verdana" w:hAnsi="Verdana"/>
          <w:sz w:val="20"/>
        </w:rPr>
        <w:t xml:space="preserve">xpropiación forzosa, </w:t>
      </w:r>
      <w:r w:rsidR="00670F41" w:rsidRPr="00293551">
        <w:rPr>
          <w:rFonts w:ascii="Verdana" w:hAnsi="Verdana"/>
          <w:sz w:val="20"/>
        </w:rPr>
        <w:t>2</w:t>
      </w:r>
      <w:r w:rsidR="00F42AC3" w:rsidRPr="00293551">
        <w:rPr>
          <w:rFonts w:ascii="Verdana" w:hAnsi="Verdana"/>
          <w:sz w:val="20"/>
        </w:rPr>
        <w:t>2</w:t>
      </w:r>
      <w:r w:rsidR="00F26A01" w:rsidRPr="00293551">
        <w:rPr>
          <w:rFonts w:ascii="Verdana" w:hAnsi="Verdana"/>
          <w:sz w:val="20"/>
        </w:rPr>
        <w:t>,</w:t>
      </w:r>
      <w:r w:rsidR="00F42AC3" w:rsidRPr="00293551">
        <w:rPr>
          <w:rFonts w:ascii="Verdana" w:hAnsi="Verdana"/>
          <w:sz w:val="20"/>
        </w:rPr>
        <w:t xml:space="preserve">1; </w:t>
      </w:r>
      <w:r w:rsidR="00293551">
        <w:rPr>
          <w:rFonts w:ascii="Verdana" w:hAnsi="Verdana"/>
          <w:sz w:val="20"/>
        </w:rPr>
        <w:t>A</w:t>
      </w:r>
      <w:r w:rsidR="00F42AC3" w:rsidRPr="00293551">
        <w:rPr>
          <w:rFonts w:ascii="Verdana" w:hAnsi="Verdana"/>
          <w:sz w:val="20"/>
        </w:rPr>
        <w:t xml:space="preserve">ctividad administrativa y sancionadora, 21,2; </w:t>
      </w:r>
      <w:r w:rsidR="00293551">
        <w:rPr>
          <w:rFonts w:ascii="Verdana" w:hAnsi="Verdana"/>
          <w:sz w:val="20"/>
        </w:rPr>
        <w:t>U</w:t>
      </w:r>
      <w:r w:rsidR="00F26A01" w:rsidRPr="00293551">
        <w:rPr>
          <w:rFonts w:ascii="Verdana" w:hAnsi="Verdana"/>
          <w:sz w:val="20"/>
        </w:rPr>
        <w:t>rbanismo, 2</w:t>
      </w:r>
      <w:r w:rsidR="00150CA6" w:rsidRPr="00293551">
        <w:rPr>
          <w:rFonts w:ascii="Verdana" w:hAnsi="Verdana"/>
          <w:sz w:val="20"/>
        </w:rPr>
        <w:t>1</w:t>
      </w:r>
      <w:r w:rsidR="00F26A01" w:rsidRPr="00293551">
        <w:rPr>
          <w:rFonts w:ascii="Verdana" w:hAnsi="Verdana"/>
          <w:sz w:val="20"/>
        </w:rPr>
        <w:t>,</w:t>
      </w:r>
      <w:r w:rsidR="00150CA6" w:rsidRPr="00293551">
        <w:rPr>
          <w:rFonts w:ascii="Verdana" w:hAnsi="Verdana"/>
          <w:sz w:val="20"/>
        </w:rPr>
        <w:t>1</w:t>
      </w:r>
      <w:r w:rsidR="00F26A01" w:rsidRPr="00293551">
        <w:rPr>
          <w:rFonts w:ascii="Verdana" w:hAnsi="Verdana"/>
          <w:sz w:val="20"/>
        </w:rPr>
        <w:t xml:space="preserve">; </w:t>
      </w:r>
      <w:r w:rsidR="00293551">
        <w:rPr>
          <w:rFonts w:ascii="Verdana" w:hAnsi="Verdana"/>
          <w:sz w:val="20"/>
        </w:rPr>
        <w:t>C</w:t>
      </w:r>
      <w:r w:rsidR="00F42AC3" w:rsidRPr="00293551">
        <w:rPr>
          <w:rFonts w:ascii="Verdana" w:hAnsi="Verdana"/>
          <w:sz w:val="20"/>
        </w:rPr>
        <w:t xml:space="preserve">ontratos </w:t>
      </w:r>
      <w:r w:rsidR="002F644C" w:rsidRPr="00293551">
        <w:rPr>
          <w:rFonts w:ascii="Verdana" w:hAnsi="Verdana"/>
          <w:sz w:val="20"/>
        </w:rPr>
        <w:t>administrativos</w:t>
      </w:r>
      <w:r w:rsidR="00293551">
        <w:rPr>
          <w:rFonts w:ascii="Verdana" w:hAnsi="Verdana"/>
          <w:sz w:val="20"/>
        </w:rPr>
        <w:t>, 17,9; A</w:t>
      </w:r>
      <w:r w:rsidR="00F42AC3" w:rsidRPr="00293551">
        <w:rPr>
          <w:rFonts w:ascii="Verdana" w:hAnsi="Verdana"/>
          <w:sz w:val="20"/>
        </w:rPr>
        <w:t xml:space="preserve">dministración local y seguridad social, 17,8; </w:t>
      </w:r>
      <w:r w:rsidR="00293551">
        <w:rPr>
          <w:rFonts w:ascii="Verdana" w:hAnsi="Verdana"/>
          <w:sz w:val="20"/>
        </w:rPr>
        <w:t>A</w:t>
      </w:r>
      <w:r w:rsidR="0089603E" w:rsidRPr="00293551">
        <w:rPr>
          <w:rFonts w:ascii="Verdana" w:hAnsi="Verdana"/>
          <w:sz w:val="20"/>
        </w:rPr>
        <w:t>dministración tributaria</w:t>
      </w:r>
      <w:r w:rsidR="00F26A01" w:rsidRPr="00293551">
        <w:rPr>
          <w:rFonts w:ascii="Verdana" w:hAnsi="Verdana"/>
          <w:sz w:val="20"/>
        </w:rPr>
        <w:t xml:space="preserve">, </w:t>
      </w:r>
      <w:r w:rsidR="00670F41" w:rsidRPr="00293551">
        <w:rPr>
          <w:rFonts w:ascii="Verdana" w:hAnsi="Verdana"/>
          <w:sz w:val="20"/>
        </w:rPr>
        <w:t>1</w:t>
      </w:r>
      <w:r w:rsidR="00F42AC3" w:rsidRPr="00293551">
        <w:rPr>
          <w:rFonts w:ascii="Verdana" w:hAnsi="Verdana"/>
          <w:sz w:val="20"/>
        </w:rPr>
        <w:t>7</w:t>
      </w:r>
      <w:r w:rsidR="00F26A01" w:rsidRPr="00293551">
        <w:rPr>
          <w:rFonts w:ascii="Verdana" w:hAnsi="Verdana"/>
          <w:sz w:val="20"/>
        </w:rPr>
        <w:t>,</w:t>
      </w:r>
      <w:r w:rsidR="00F42AC3" w:rsidRPr="00293551">
        <w:rPr>
          <w:rFonts w:ascii="Verdana" w:hAnsi="Verdana"/>
          <w:sz w:val="20"/>
        </w:rPr>
        <w:t>6</w:t>
      </w:r>
      <w:r w:rsidR="00670F41" w:rsidRPr="00293551">
        <w:rPr>
          <w:rFonts w:ascii="Verdana" w:hAnsi="Verdana"/>
          <w:sz w:val="20"/>
        </w:rPr>
        <w:t xml:space="preserve">8; </w:t>
      </w:r>
      <w:r w:rsidR="00F42AC3" w:rsidRPr="00293551">
        <w:rPr>
          <w:rFonts w:ascii="Verdana" w:hAnsi="Verdana"/>
          <w:sz w:val="20"/>
        </w:rPr>
        <w:t xml:space="preserve">dominio público y propiedades especiales, 17,4; </w:t>
      </w:r>
      <w:r w:rsidR="00293551">
        <w:rPr>
          <w:rFonts w:ascii="Verdana" w:hAnsi="Verdana"/>
          <w:sz w:val="20"/>
        </w:rPr>
        <w:t>R</w:t>
      </w:r>
      <w:r w:rsidR="00670F41" w:rsidRPr="00293551">
        <w:rPr>
          <w:rFonts w:ascii="Verdana" w:hAnsi="Verdana"/>
          <w:sz w:val="20"/>
        </w:rPr>
        <w:t>esponsabilidad patrimonial, 1</w:t>
      </w:r>
      <w:r w:rsidR="00F42AC3" w:rsidRPr="00293551">
        <w:rPr>
          <w:rFonts w:ascii="Verdana" w:hAnsi="Verdana"/>
          <w:sz w:val="20"/>
        </w:rPr>
        <w:t>6</w:t>
      </w:r>
      <w:r w:rsidR="00670F41" w:rsidRPr="00293551">
        <w:rPr>
          <w:rFonts w:ascii="Verdana" w:hAnsi="Verdana"/>
          <w:sz w:val="20"/>
        </w:rPr>
        <w:t>,8 meses.</w:t>
      </w:r>
      <w:r w:rsidR="00395E49" w:rsidRPr="00293551">
        <w:rPr>
          <w:rFonts w:ascii="Verdana" w:hAnsi="Verdana"/>
          <w:sz w:val="20"/>
        </w:rPr>
        <w:t xml:space="preserve"> </w:t>
      </w:r>
      <w:r w:rsidR="00130B46" w:rsidRPr="00293551">
        <w:rPr>
          <w:rFonts w:ascii="Verdana" w:hAnsi="Verdana"/>
          <w:sz w:val="20"/>
        </w:rPr>
        <w:t xml:space="preserve"> </w:t>
      </w:r>
      <w:r w:rsidR="00395E49" w:rsidRPr="00293551">
        <w:rPr>
          <w:rFonts w:ascii="Verdana" w:hAnsi="Verdana"/>
          <w:sz w:val="20"/>
        </w:rPr>
        <w:t>L</w:t>
      </w:r>
      <w:r w:rsidR="00EC22FF" w:rsidRPr="00293551">
        <w:rPr>
          <w:rFonts w:ascii="Verdana" w:hAnsi="Verdana"/>
          <w:sz w:val="20"/>
        </w:rPr>
        <w:t>os r</w:t>
      </w:r>
      <w:r w:rsidRPr="00293551">
        <w:rPr>
          <w:rFonts w:ascii="Verdana" w:hAnsi="Verdana"/>
          <w:sz w:val="20"/>
        </w:rPr>
        <w:t xml:space="preserve">ecursos de apelación tardaron en </w:t>
      </w:r>
      <w:r w:rsidR="00F62231" w:rsidRPr="00293551">
        <w:rPr>
          <w:rFonts w:ascii="Verdana" w:hAnsi="Verdana"/>
          <w:sz w:val="20"/>
        </w:rPr>
        <w:t>m</w:t>
      </w:r>
      <w:r w:rsidRPr="00293551">
        <w:rPr>
          <w:rFonts w:ascii="Verdana" w:hAnsi="Verdana"/>
          <w:sz w:val="20"/>
        </w:rPr>
        <w:t xml:space="preserve">edia </w:t>
      </w:r>
      <w:r w:rsidR="007D4A6F" w:rsidRPr="00293551">
        <w:rPr>
          <w:rFonts w:ascii="Verdana" w:hAnsi="Verdana"/>
          <w:sz w:val="20"/>
        </w:rPr>
        <w:t>1</w:t>
      </w:r>
      <w:r w:rsidR="00F42AC3" w:rsidRPr="00293551">
        <w:rPr>
          <w:rFonts w:ascii="Verdana" w:hAnsi="Verdana"/>
          <w:sz w:val="20"/>
        </w:rPr>
        <w:t>1</w:t>
      </w:r>
      <w:r w:rsidR="00B67D16" w:rsidRPr="00293551">
        <w:rPr>
          <w:rFonts w:ascii="Verdana" w:hAnsi="Verdana"/>
          <w:sz w:val="20"/>
        </w:rPr>
        <w:t xml:space="preserve"> meses y los de q</w:t>
      </w:r>
      <w:r w:rsidR="00F62231" w:rsidRPr="00293551">
        <w:rPr>
          <w:rFonts w:ascii="Verdana" w:hAnsi="Verdana"/>
          <w:sz w:val="20"/>
        </w:rPr>
        <w:t xml:space="preserve">ueja </w:t>
      </w:r>
      <w:r w:rsidR="00E36CE2" w:rsidRPr="00293551">
        <w:rPr>
          <w:rFonts w:ascii="Verdana" w:hAnsi="Verdana"/>
          <w:sz w:val="20"/>
        </w:rPr>
        <w:t>2</w:t>
      </w:r>
      <w:r w:rsidR="00395E49" w:rsidRPr="00293551">
        <w:rPr>
          <w:rFonts w:ascii="Verdana" w:hAnsi="Verdana"/>
          <w:sz w:val="20"/>
        </w:rPr>
        <w:t>,</w:t>
      </w:r>
      <w:r w:rsidR="00F42AC3" w:rsidRPr="00293551">
        <w:rPr>
          <w:rFonts w:ascii="Verdana" w:hAnsi="Verdana"/>
          <w:sz w:val="20"/>
        </w:rPr>
        <w:t>4</w:t>
      </w:r>
      <w:r w:rsidRPr="00293551">
        <w:rPr>
          <w:rFonts w:ascii="Verdana" w:hAnsi="Verdana"/>
          <w:sz w:val="20"/>
        </w:rPr>
        <w:t xml:space="preserve">. </w:t>
      </w:r>
    </w:p>
    <w:p w:rsidR="008D2105" w:rsidRPr="00293551" w:rsidRDefault="00B67D16" w:rsidP="00D70745">
      <w:pPr>
        <w:pStyle w:val="Textoindependiente"/>
        <w:spacing w:before="120" w:after="120"/>
        <w:ind w:firstLine="357"/>
        <w:rPr>
          <w:rFonts w:ascii="Verdana" w:hAnsi="Verdana"/>
          <w:sz w:val="20"/>
        </w:rPr>
      </w:pPr>
      <w:r w:rsidRPr="00293551">
        <w:rPr>
          <w:rFonts w:ascii="Verdana" w:hAnsi="Verdana"/>
          <w:sz w:val="20"/>
        </w:rPr>
        <w:t>En los juzgados centrales de lo c</w:t>
      </w:r>
      <w:r w:rsidR="008D2105" w:rsidRPr="00293551">
        <w:rPr>
          <w:rFonts w:ascii="Verdana" w:hAnsi="Verdana"/>
          <w:sz w:val="20"/>
        </w:rPr>
        <w:t>ontencioso</w:t>
      </w:r>
      <w:r w:rsidR="003D6C43" w:rsidRPr="00293551">
        <w:rPr>
          <w:rFonts w:ascii="Verdana" w:hAnsi="Verdana"/>
          <w:sz w:val="20"/>
        </w:rPr>
        <w:t>-</w:t>
      </w:r>
      <w:r w:rsidRPr="00293551">
        <w:rPr>
          <w:rFonts w:ascii="Verdana" w:hAnsi="Verdana"/>
          <w:sz w:val="20"/>
        </w:rPr>
        <w:t>administrativo</w:t>
      </w:r>
      <w:r w:rsidR="008D2105" w:rsidRPr="00293551">
        <w:rPr>
          <w:rFonts w:ascii="Verdana" w:hAnsi="Verdana"/>
          <w:sz w:val="20"/>
        </w:rPr>
        <w:t xml:space="preserve"> se </w:t>
      </w:r>
      <w:r w:rsidR="00005514" w:rsidRPr="00293551">
        <w:rPr>
          <w:rFonts w:ascii="Verdana" w:hAnsi="Verdana"/>
          <w:sz w:val="20"/>
        </w:rPr>
        <w:t>sigue apreciando</w:t>
      </w:r>
      <w:r w:rsidR="008D2105" w:rsidRPr="00293551">
        <w:rPr>
          <w:rFonts w:ascii="Verdana" w:hAnsi="Verdana"/>
          <w:sz w:val="20"/>
        </w:rPr>
        <w:t xml:space="preserve"> una reducción de los tiempos medios de </w:t>
      </w:r>
      <w:r w:rsidR="00AC15C5" w:rsidRPr="00293551">
        <w:rPr>
          <w:rFonts w:ascii="Verdana" w:hAnsi="Verdana"/>
          <w:sz w:val="20"/>
        </w:rPr>
        <w:t>terminación</w:t>
      </w:r>
      <w:r w:rsidR="008D2105" w:rsidRPr="00293551">
        <w:rPr>
          <w:rFonts w:ascii="Verdana" w:hAnsi="Verdana"/>
          <w:sz w:val="20"/>
        </w:rPr>
        <w:t>:</w:t>
      </w:r>
    </w:p>
    <w:tbl>
      <w:tblPr>
        <w:tblW w:w="9220" w:type="dxa"/>
        <w:tblInd w:w="55" w:type="dxa"/>
        <w:tblCellMar>
          <w:left w:w="70" w:type="dxa"/>
          <w:right w:w="70" w:type="dxa"/>
        </w:tblCellMar>
        <w:tblLook w:val="0000" w:firstRow="0" w:lastRow="0" w:firstColumn="0" w:lastColumn="0" w:noHBand="0" w:noVBand="0"/>
      </w:tblPr>
      <w:tblGrid>
        <w:gridCol w:w="3220"/>
        <w:gridCol w:w="1200"/>
        <w:gridCol w:w="1200"/>
        <w:gridCol w:w="1200"/>
        <w:gridCol w:w="1200"/>
        <w:gridCol w:w="1200"/>
      </w:tblGrid>
      <w:tr w:rsidR="0097580D" w:rsidRPr="00293551" w:rsidTr="00AC5AEE">
        <w:trPr>
          <w:trHeight w:val="270"/>
        </w:trPr>
        <w:tc>
          <w:tcPr>
            <w:tcW w:w="3220" w:type="dxa"/>
            <w:tcBorders>
              <w:top w:val="nil"/>
              <w:left w:val="nil"/>
              <w:bottom w:val="nil"/>
              <w:right w:val="nil"/>
            </w:tcBorders>
            <w:shd w:val="clear" w:color="auto" w:fill="FFFFFF"/>
            <w:noWrap/>
            <w:vAlign w:val="bottom"/>
          </w:tcPr>
          <w:p w:rsidR="0097580D" w:rsidRPr="00293551" w:rsidRDefault="0097580D" w:rsidP="00AC5AEE">
            <w:pPr>
              <w:rPr>
                <w:rFonts w:ascii="Verdana" w:hAnsi="Verdana" w:cs="Arial"/>
                <w:color w:val="000080"/>
                <w:sz w:val="20"/>
                <w:szCs w:val="20"/>
              </w:rPr>
            </w:pPr>
            <w:r w:rsidRPr="00293551">
              <w:rPr>
                <w:rFonts w:ascii="Verdana" w:hAnsi="Verdana" w:cs="Arial"/>
                <w:color w:val="000080"/>
                <w:sz w:val="20"/>
                <w:szCs w:val="20"/>
              </w:rPr>
              <w:t> </w:t>
            </w:r>
          </w:p>
        </w:tc>
        <w:tc>
          <w:tcPr>
            <w:tcW w:w="1200" w:type="dxa"/>
            <w:tcBorders>
              <w:top w:val="single" w:sz="8" w:space="0" w:color="auto"/>
              <w:left w:val="nil"/>
              <w:bottom w:val="single" w:sz="8" w:space="0" w:color="auto"/>
              <w:right w:val="nil"/>
            </w:tcBorders>
            <w:shd w:val="clear" w:color="auto" w:fill="auto"/>
            <w:vAlign w:val="center"/>
          </w:tcPr>
          <w:p w:rsidR="0097580D" w:rsidRPr="00293551" w:rsidRDefault="0097580D" w:rsidP="0097580D">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2017</w:t>
            </w:r>
          </w:p>
        </w:tc>
        <w:tc>
          <w:tcPr>
            <w:tcW w:w="1200" w:type="dxa"/>
            <w:tcBorders>
              <w:top w:val="single" w:sz="8" w:space="0" w:color="auto"/>
              <w:left w:val="nil"/>
              <w:bottom w:val="single" w:sz="8" w:space="0" w:color="auto"/>
              <w:right w:val="nil"/>
            </w:tcBorders>
            <w:shd w:val="clear" w:color="auto" w:fill="auto"/>
            <w:vAlign w:val="center"/>
          </w:tcPr>
          <w:p w:rsidR="0097580D" w:rsidRPr="00293551" w:rsidRDefault="0097580D"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2016</w:t>
            </w:r>
          </w:p>
        </w:tc>
        <w:tc>
          <w:tcPr>
            <w:tcW w:w="1200" w:type="dxa"/>
            <w:tcBorders>
              <w:top w:val="single" w:sz="8" w:space="0" w:color="auto"/>
              <w:left w:val="nil"/>
              <w:bottom w:val="single" w:sz="8" w:space="0" w:color="auto"/>
              <w:right w:val="nil"/>
            </w:tcBorders>
            <w:shd w:val="clear" w:color="auto" w:fill="auto"/>
            <w:vAlign w:val="center"/>
          </w:tcPr>
          <w:p w:rsidR="0097580D" w:rsidRPr="00293551" w:rsidRDefault="0097580D"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2015</w:t>
            </w:r>
          </w:p>
        </w:tc>
        <w:tc>
          <w:tcPr>
            <w:tcW w:w="1200" w:type="dxa"/>
            <w:tcBorders>
              <w:top w:val="single" w:sz="8" w:space="0" w:color="auto"/>
              <w:left w:val="nil"/>
              <w:bottom w:val="single" w:sz="8" w:space="0" w:color="auto"/>
              <w:right w:val="nil"/>
            </w:tcBorders>
            <w:shd w:val="clear" w:color="auto" w:fill="auto"/>
            <w:vAlign w:val="center"/>
          </w:tcPr>
          <w:p w:rsidR="0097580D" w:rsidRPr="00293551" w:rsidRDefault="0097580D"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2014</w:t>
            </w:r>
          </w:p>
        </w:tc>
        <w:tc>
          <w:tcPr>
            <w:tcW w:w="1200" w:type="dxa"/>
            <w:tcBorders>
              <w:top w:val="single" w:sz="8" w:space="0" w:color="auto"/>
              <w:left w:val="nil"/>
              <w:bottom w:val="single" w:sz="8" w:space="0" w:color="auto"/>
              <w:right w:val="nil"/>
            </w:tcBorders>
            <w:shd w:val="clear" w:color="auto" w:fill="auto"/>
            <w:vAlign w:val="center"/>
          </w:tcPr>
          <w:p w:rsidR="0097580D" w:rsidRPr="00293551" w:rsidRDefault="0097580D"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2013</w:t>
            </w:r>
          </w:p>
        </w:tc>
      </w:tr>
      <w:tr w:rsidR="0097580D" w:rsidRPr="00293551" w:rsidTr="00B00DA2">
        <w:trPr>
          <w:trHeight w:val="270"/>
        </w:trPr>
        <w:tc>
          <w:tcPr>
            <w:tcW w:w="3220" w:type="dxa"/>
            <w:tcBorders>
              <w:top w:val="single" w:sz="8" w:space="0" w:color="auto"/>
              <w:left w:val="nil"/>
              <w:bottom w:val="single" w:sz="8" w:space="0" w:color="auto"/>
              <w:right w:val="nil"/>
            </w:tcBorders>
            <w:shd w:val="clear" w:color="auto" w:fill="auto"/>
            <w:vAlign w:val="bottom"/>
          </w:tcPr>
          <w:p w:rsidR="0097580D" w:rsidRPr="00293551" w:rsidRDefault="0097580D" w:rsidP="008D2105">
            <w:pPr>
              <w:jc w:val="both"/>
              <w:rPr>
                <w:rFonts w:ascii="Verdana" w:hAnsi="Verdana" w:cs="Arial"/>
                <w:sz w:val="20"/>
                <w:szCs w:val="20"/>
              </w:rPr>
            </w:pPr>
            <w:r w:rsidRPr="00293551">
              <w:rPr>
                <w:rFonts w:ascii="Verdana" w:hAnsi="Verdana" w:cs="Arial"/>
                <w:sz w:val="20"/>
                <w:szCs w:val="20"/>
              </w:rPr>
              <w:t xml:space="preserve">Jdos. Centrales de lo Contencioso </w:t>
            </w:r>
          </w:p>
        </w:tc>
        <w:tc>
          <w:tcPr>
            <w:tcW w:w="1200" w:type="dxa"/>
            <w:tcBorders>
              <w:top w:val="nil"/>
              <w:left w:val="nil"/>
              <w:bottom w:val="single" w:sz="8" w:space="0" w:color="auto"/>
              <w:right w:val="nil"/>
            </w:tcBorders>
            <w:shd w:val="clear" w:color="auto" w:fill="auto"/>
            <w:noWrap/>
            <w:vAlign w:val="center"/>
          </w:tcPr>
          <w:p w:rsidR="0097580D" w:rsidRPr="00293551" w:rsidRDefault="0097580D" w:rsidP="0097580D">
            <w:pPr>
              <w:jc w:val="center"/>
              <w:rPr>
                <w:rFonts w:ascii="Verdana" w:hAnsi="Verdana" w:cs="Calibri"/>
                <w:sz w:val="20"/>
                <w:szCs w:val="20"/>
              </w:rPr>
            </w:pPr>
            <w:r w:rsidRPr="00293551">
              <w:rPr>
                <w:rFonts w:ascii="Verdana" w:hAnsi="Verdana" w:cs="Calibri"/>
                <w:sz w:val="20"/>
                <w:szCs w:val="20"/>
              </w:rPr>
              <w:t>7,0</w:t>
            </w:r>
          </w:p>
        </w:tc>
        <w:tc>
          <w:tcPr>
            <w:tcW w:w="1200" w:type="dxa"/>
            <w:tcBorders>
              <w:top w:val="nil"/>
              <w:left w:val="nil"/>
              <w:bottom w:val="single" w:sz="8" w:space="0" w:color="auto"/>
              <w:right w:val="nil"/>
            </w:tcBorders>
            <w:shd w:val="clear" w:color="auto" w:fill="auto"/>
            <w:noWrap/>
            <w:vAlign w:val="center"/>
          </w:tcPr>
          <w:p w:rsidR="0097580D" w:rsidRPr="00293551" w:rsidRDefault="0097580D" w:rsidP="00B00DA2">
            <w:pPr>
              <w:jc w:val="center"/>
              <w:rPr>
                <w:rFonts w:ascii="Verdana" w:hAnsi="Verdana" w:cs="Calibri"/>
                <w:sz w:val="20"/>
                <w:szCs w:val="20"/>
              </w:rPr>
            </w:pPr>
            <w:r w:rsidRPr="00293551">
              <w:rPr>
                <w:rFonts w:ascii="Verdana" w:hAnsi="Verdana" w:cs="Calibri"/>
                <w:sz w:val="20"/>
                <w:szCs w:val="20"/>
              </w:rPr>
              <w:t>7,4</w:t>
            </w:r>
          </w:p>
        </w:tc>
        <w:tc>
          <w:tcPr>
            <w:tcW w:w="1200" w:type="dxa"/>
            <w:tcBorders>
              <w:top w:val="nil"/>
              <w:left w:val="nil"/>
              <w:bottom w:val="single" w:sz="8" w:space="0" w:color="auto"/>
              <w:right w:val="nil"/>
            </w:tcBorders>
            <w:shd w:val="clear" w:color="auto" w:fill="auto"/>
            <w:noWrap/>
            <w:vAlign w:val="center"/>
          </w:tcPr>
          <w:p w:rsidR="0097580D" w:rsidRPr="00293551" w:rsidRDefault="0097580D" w:rsidP="00B00DA2">
            <w:pPr>
              <w:jc w:val="center"/>
              <w:rPr>
                <w:rFonts w:ascii="Verdana" w:hAnsi="Verdana" w:cs="Calibri"/>
                <w:sz w:val="20"/>
                <w:szCs w:val="20"/>
              </w:rPr>
            </w:pPr>
            <w:r w:rsidRPr="00293551">
              <w:rPr>
                <w:rFonts w:ascii="Verdana" w:hAnsi="Verdana" w:cs="Calibri"/>
                <w:sz w:val="20"/>
                <w:szCs w:val="20"/>
              </w:rPr>
              <w:t>8,0</w:t>
            </w:r>
          </w:p>
        </w:tc>
        <w:tc>
          <w:tcPr>
            <w:tcW w:w="1200" w:type="dxa"/>
            <w:tcBorders>
              <w:top w:val="nil"/>
              <w:left w:val="nil"/>
              <w:bottom w:val="single" w:sz="8" w:space="0" w:color="auto"/>
              <w:right w:val="nil"/>
            </w:tcBorders>
            <w:shd w:val="clear" w:color="auto" w:fill="auto"/>
            <w:noWrap/>
            <w:vAlign w:val="center"/>
          </w:tcPr>
          <w:p w:rsidR="0097580D" w:rsidRPr="00293551" w:rsidRDefault="0097580D" w:rsidP="00B00DA2">
            <w:pPr>
              <w:jc w:val="center"/>
              <w:rPr>
                <w:rFonts w:ascii="Verdana" w:hAnsi="Verdana" w:cs="Calibri"/>
                <w:sz w:val="20"/>
                <w:szCs w:val="20"/>
              </w:rPr>
            </w:pPr>
            <w:r w:rsidRPr="00293551">
              <w:rPr>
                <w:rFonts w:ascii="Verdana" w:hAnsi="Verdana" w:cs="Calibri"/>
                <w:sz w:val="20"/>
                <w:szCs w:val="20"/>
              </w:rPr>
              <w:t>10,9</w:t>
            </w:r>
          </w:p>
        </w:tc>
        <w:tc>
          <w:tcPr>
            <w:tcW w:w="1200" w:type="dxa"/>
            <w:tcBorders>
              <w:top w:val="nil"/>
              <w:left w:val="nil"/>
              <w:bottom w:val="single" w:sz="8" w:space="0" w:color="auto"/>
              <w:right w:val="nil"/>
            </w:tcBorders>
            <w:shd w:val="clear" w:color="auto" w:fill="auto"/>
            <w:noWrap/>
            <w:vAlign w:val="center"/>
          </w:tcPr>
          <w:p w:rsidR="0097580D" w:rsidRPr="00293551" w:rsidRDefault="0097580D" w:rsidP="00B00DA2">
            <w:pPr>
              <w:jc w:val="center"/>
              <w:rPr>
                <w:rFonts w:ascii="Verdana" w:hAnsi="Verdana" w:cs="Calibri"/>
                <w:sz w:val="20"/>
                <w:szCs w:val="20"/>
              </w:rPr>
            </w:pPr>
            <w:r w:rsidRPr="00293551">
              <w:rPr>
                <w:rFonts w:ascii="Verdana" w:hAnsi="Verdana" w:cs="Calibri"/>
                <w:sz w:val="20"/>
                <w:szCs w:val="20"/>
              </w:rPr>
              <w:t>14,0</w:t>
            </w:r>
          </w:p>
        </w:tc>
      </w:tr>
    </w:tbl>
    <w:p w:rsidR="00E53C79" w:rsidRPr="00293551" w:rsidRDefault="00E53C79" w:rsidP="00D70745">
      <w:pPr>
        <w:pStyle w:val="Textoindependiente"/>
        <w:spacing w:before="120" w:after="120"/>
        <w:ind w:firstLine="357"/>
        <w:rPr>
          <w:rFonts w:ascii="Verdana" w:hAnsi="Verdana"/>
          <w:sz w:val="20"/>
        </w:rPr>
      </w:pPr>
    </w:p>
    <w:p w:rsidR="0023724B" w:rsidRPr="00293551" w:rsidRDefault="008D2105" w:rsidP="00D70745">
      <w:pPr>
        <w:pStyle w:val="Textoindependiente"/>
        <w:spacing w:before="120" w:after="120"/>
        <w:ind w:firstLine="357"/>
        <w:rPr>
          <w:rFonts w:ascii="Verdana" w:hAnsi="Verdana"/>
          <w:sz w:val="20"/>
        </w:rPr>
      </w:pPr>
      <w:r w:rsidRPr="00293551">
        <w:rPr>
          <w:rFonts w:ascii="Verdana" w:hAnsi="Verdana"/>
          <w:sz w:val="20"/>
        </w:rPr>
        <w:t>Los procedimientos ordinarios han</w:t>
      </w:r>
      <w:r w:rsidR="00595CE4" w:rsidRPr="00293551">
        <w:rPr>
          <w:rFonts w:ascii="Verdana" w:hAnsi="Verdana"/>
          <w:sz w:val="20"/>
        </w:rPr>
        <w:t xml:space="preserve"> tenido una duración media de 1</w:t>
      </w:r>
      <w:r w:rsidR="00670F41" w:rsidRPr="00293551">
        <w:rPr>
          <w:rFonts w:ascii="Verdana" w:hAnsi="Verdana"/>
          <w:sz w:val="20"/>
        </w:rPr>
        <w:t>0</w:t>
      </w:r>
      <w:r w:rsidRPr="00293551">
        <w:rPr>
          <w:rFonts w:ascii="Verdana" w:hAnsi="Verdana"/>
          <w:sz w:val="20"/>
        </w:rPr>
        <w:t xml:space="preserve"> meses, y los abreviados de </w:t>
      </w:r>
      <w:r w:rsidR="0023724B" w:rsidRPr="00293551">
        <w:rPr>
          <w:rFonts w:ascii="Verdana" w:hAnsi="Verdana"/>
          <w:sz w:val="20"/>
        </w:rPr>
        <w:t>5</w:t>
      </w:r>
      <w:r w:rsidRPr="00293551">
        <w:rPr>
          <w:rFonts w:ascii="Verdana" w:hAnsi="Verdana"/>
          <w:sz w:val="20"/>
        </w:rPr>
        <w:t>,</w:t>
      </w:r>
      <w:r w:rsidR="0097580D" w:rsidRPr="00293551">
        <w:rPr>
          <w:rFonts w:ascii="Verdana" w:hAnsi="Verdana"/>
          <w:sz w:val="20"/>
        </w:rPr>
        <w:t>9</w:t>
      </w:r>
      <w:r w:rsidRPr="00293551">
        <w:rPr>
          <w:rFonts w:ascii="Verdana" w:hAnsi="Verdana"/>
          <w:sz w:val="20"/>
        </w:rPr>
        <w:t xml:space="preserve">. </w:t>
      </w:r>
      <w:r w:rsidR="0018371C" w:rsidRPr="00293551">
        <w:rPr>
          <w:rFonts w:ascii="Verdana" w:hAnsi="Verdana"/>
          <w:sz w:val="20"/>
        </w:rPr>
        <w:t xml:space="preserve">Por materias los de mayor duración son los de </w:t>
      </w:r>
      <w:r w:rsidR="0023724B" w:rsidRPr="00293551">
        <w:rPr>
          <w:rFonts w:ascii="Verdana" w:hAnsi="Verdana"/>
          <w:sz w:val="20"/>
        </w:rPr>
        <w:t xml:space="preserve">Actos de Organismos (Art. 9 LJCA), </w:t>
      </w:r>
      <w:r w:rsidR="0097580D" w:rsidRPr="00293551">
        <w:rPr>
          <w:rFonts w:ascii="Verdana" w:hAnsi="Verdana"/>
          <w:sz w:val="20"/>
        </w:rPr>
        <w:t>9,5</w:t>
      </w:r>
      <w:r w:rsidR="0023724B" w:rsidRPr="00293551">
        <w:rPr>
          <w:rFonts w:ascii="Verdana" w:hAnsi="Verdana"/>
          <w:sz w:val="20"/>
        </w:rPr>
        <w:t xml:space="preserve"> meses; </w:t>
      </w:r>
      <w:r w:rsidR="00293551">
        <w:rPr>
          <w:rFonts w:ascii="Verdana" w:hAnsi="Verdana"/>
          <w:sz w:val="20"/>
        </w:rPr>
        <w:t>D</w:t>
      </w:r>
      <w:r w:rsidR="0097580D" w:rsidRPr="00293551">
        <w:rPr>
          <w:rFonts w:ascii="Verdana" w:hAnsi="Verdana"/>
          <w:sz w:val="20"/>
        </w:rPr>
        <w:t xml:space="preserve">isciplina deportiva en materia de dopaje, 9; </w:t>
      </w:r>
      <w:r w:rsidR="00670F41" w:rsidRPr="00293551">
        <w:rPr>
          <w:rFonts w:ascii="Verdana" w:hAnsi="Verdana"/>
          <w:sz w:val="20"/>
        </w:rPr>
        <w:t xml:space="preserve">Sanciones (Art. 9a LJCA), </w:t>
      </w:r>
      <w:r w:rsidR="0097580D" w:rsidRPr="00293551">
        <w:rPr>
          <w:rFonts w:ascii="Verdana" w:hAnsi="Verdana"/>
          <w:sz w:val="20"/>
        </w:rPr>
        <w:t>7</w:t>
      </w:r>
      <w:r w:rsidR="00670F41" w:rsidRPr="00293551">
        <w:rPr>
          <w:rFonts w:ascii="Verdana" w:hAnsi="Verdana"/>
          <w:sz w:val="20"/>
        </w:rPr>
        <w:t>;</w:t>
      </w:r>
      <w:r w:rsidR="0097580D" w:rsidRPr="00293551">
        <w:rPr>
          <w:rFonts w:ascii="Verdana" w:hAnsi="Verdana"/>
          <w:sz w:val="20"/>
        </w:rPr>
        <w:t xml:space="preserve"> </w:t>
      </w:r>
      <w:r w:rsidR="00670F41" w:rsidRPr="00293551">
        <w:rPr>
          <w:rFonts w:ascii="Verdana" w:hAnsi="Verdana"/>
          <w:sz w:val="20"/>
        </w:rPr>
        <w:t>Personal (Art. 9a LJCA)</w:t>
      </w:r>
      <w:r w:rsidR="00734C3A" w:rsidRPr="00293551">
        <w:rPr>
          <w:rFonts w:ascii="Verdana" w:hAnsi="Verdana"/>
          <w:sz w:val="20"/>
        </w:rPr>
        <w:t>, 5,</w:t>
      </w:r>
      <w:r w:rsidR="0097580D" w:rsidRPr="00293551">
        <w:rPr>
          <w:rFonts w:ascii="Verdana" w:hAnsi="Verdana"/>
          <w:sz w:val="20"/>
        </w:rPr>
        <w:t>8; y Responsabilidad patrimonial, 5,7 meses.</w:t>
      </w:r>
      <w:r w:rsidR="00734C3A" w:rsidRPr="00293551">
        <w:rPr>
          <w:rFonts w:ascii="Verdana" w:hAnsi="Verdana"/>
          <w:sz w:val="20"/>
        </w:rPr>
        <w:t xml:space="preserve"> </w:t>
      </w:r>
    </w:p>
    <w:p w:rsidR="006B4EE4" w:rsidRPr="00293551" w:rsidRDefault="008D2105" w:rsidP="009F038E">
      <w:pPr>
        <w:pStyle w:val="Textoindependiente"/>
        <w:spacing w:before="120" w:after="120"/>
        <w:ind w:firstLine="357"/>
        <w:rPr>
          <w:rFonts w:ascii="Verdana" w:hAnsi="Verdana"/>
          <w:sz w:val="20"/>
        </w:rPr>
      </w:pPr>
      <w:r w:rsidRPr="00293551">
        <w:rPr>
          <w:rFonts w:ascii="Verdana" w:hAnsi="Verdana"/>
          <w:sz w:val="20"/>
        </w:rPr>
        <w:t xml:space="preserve"> </w:t>
      </w:r>
      <w:r w:rsidR="009F038E" w:rsidRPr="00293551">
        <w:rPr>
          <w:rFonts w:ascii="Verdana" w:hAnsi="Verdana"/>
          <w:sz w:val="20"/>
        </w:rPr>
        <w:t>En la Sala de lo Contencioso de la Audiencia Nacional</w:t>
      </w:r>
      <w:r w:rsidR="006B4EE4" w:rsidRPr="00293551">
        <w:rPr>
          <w:rFonts w:ascii="Verdana" w:hAnsi="Verdana"/>
          <w:sz w:val="20"/>
        </w:rPr>
        <w:t xml:space="preserve">, la duración estimada de los </w:t>
      </w:r>
      <w:r w:rsidR="002F644C" w:rsidRPr="00293551">
        <w:rPr>
          <w:rFonts w:ascii="Verdana" w:hAnsi="Verdana"/>
          <w:sz w:val="20"/>
        </w:rPr>
        <w:t>procedimientos</w:t>
      </w:r>
      <w:r w:rsidR="006B4EE4" w:rsidRPr="00293551">
        <w:rPr>
          <w:rFonts w:ascii="Verdana" w:hAnsi="Verdana"/>
          <w:sz w:val="20"/>
        </w:rPr>
        <w:t xml:space="preserve"> en única instancia ha tenido la siguiente evolución:</w:t>
      </w:r>
    </w:p>
    <w:p w:rsidR="009F038E" w:rsidRPr="00293551" w:rsidRDefault="009F038E" w:rsidP="009F038E">
      <w:pPr>
        <w:pStyle w:val="Textoindependiente"/>
        <w:spacing w:before="120" w:after="120"/>
        <w:ind w:firstLine="357"/>
        <w:rPr>
          <w:rFonts w:ascii="Verdana" w:hAnsi="Verdana"/>
          <w:sz w:val="20"/>
        </w:rPr>
      </w:pPr>
    </w:p>
    <w:tbl>
      <w:tblPr>
        <w:tblW w:w="9220" w:type="dxa"/>
        <w:tblInd w:w="55" w:type="dxa"/>
        <w:tblCellMar>
          <w:left w:w="70" w:type="dxa"/>
          <w:right w:w="70" w:type="dxa"/>
        </w:tblCellMar>
        <w:tblLook w:val="0000" w:firstRow="0" w:lastRow="0" w:firstColumn="0" w:lastColumn="0" w:noHBand="0" w:noVBand="0"/>
      </w:tblPr>
      <w:tblGrid>
        <w:gridCol w:w="3220"/>
        <w:gridCol w:w="1200"/>
        <w:gridCol w:w="1200"/>
        <w:gridCol w:w="1200"/>
        <w:gridCol w:w="1200"/>
        <w:gridCol w:w="1200"/>
      </w:tblGrid>
      <w:tr w:rsidR="006B4EE4" w:rsidRPr="00293551" w:rsidTr="003B10C0">
        <w:trPr>
          <w:trHeight w:val="270"/>
        </w:trPr>
        <w:tc>
          <w:tcPr>
            <w:tcW w:w="3220" w:type="dxa"/>
            <w:tcBorders>
              <w:top w:val="nil"/>
              <w:left w:val="nil"/>
              <w:bottom w:val="nil"/>
              <w:right w:val="nil"/>
            </w:tcBorders>
            <w:shd w:val="clear" w:color="auto" w:fill="FFFFFF"/>
            <w:noWrap/>
            <w:vAlign w:val="bottom"/>
          </w:tcPr>
          <w:p w:rsidR="006B4EE4" w:rsidRPr="00293551" w:rsidRDefault="006B4EE4" w:rsidP="003B10C0">
            <w:pPr>
              <w:rPr>
                <w:rFonts w:ascii="Verdana" w:hAnsi="Verdana" w:cs="Arial"/>
                <w:color w:val="000080"/>
                <w:sz w:val="20"/>
                <w:szCs w:val="20"/>
              </w:rPr>
            </w:pPr>
            <w:r w:rsidRPr="00293551">
              <w:rPr>
                <w:rFonts w:ascii="Verdana" w:hAnsi="Verdana" w:cs="Arial"/>
                <w:color w:val="000080"/>
                <w:sz w:val="20"/>
                <w:szCs w:val="20"/>
              </w:rPr>
              <w:t> </w:t>
            </w:r>
          </w:p>
        </w:tc>
        <w:tc>
          <w:tcPr>
            <w:tcW w:w="1200" w:type="dxa"/>
            <w:tcBorders>
              <w:top w:val="single" w:sz="8" w:space="0" w:color="auto"/>
              <w:left w:val="nil"/>
              <w:bottom w:val="single" w:sz="8" w:space="0" w:color="auto"/>
              <w:right w:val="nil"/>
            </w:tcBorders>
            <w:shd w:val="clear" w:color="auto" w:fill="auto"/>
            <w:vAlign w:val="center"/>
          </w:tcPr>
          <w:p w:rsidR="006B4EE4" w:rsidRPr="00293551" w:rsidRDefault="006B4EE4"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2017</w:t>
            </w:r>
          </w:p>
        </w:tc>
        <w:tc>
          <w:tcPr>
            <w:tcW w:w="1200" w:type="dxa"/>
            <w:tcBorders>
              <w:top w:val="single" w:sz="8" w:space="0" w:color="auto"/>
              <w:left w:val="nil"/>
              <w:bottom w:val="single" w:sz="8" w:space="0" w:color="auto"/>
              <w:right w:val="nil"/>
            </w:tcBorders>
            <w:shd w:val="clear" w:color="auto" w:fill="auto"/>
            <w:vAlign w:val="center"/>
          </w:tcPr>
          <w:p w:rsidR="006B4EE4" w:rsidRPr="00293551" w:rsidRDefault="006B4EE4"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2016</w:t>
            </w:r>
          </w:p>
        </w:tc>
        <w:tc>
          <w:tcPr>
            <w:tcW w:w="1200" w:type="dxa"/>
            <w:tcBorders>
              <w:top w:val="single" w:sz="8" w:space="0" w:color="auto"/>
              <w:left w:val="nil"/>
              <w:bottom w:val="single" w:sz="8" w:space="0" w:color="auto"/>
              <w:right w:val="nil"/>
            </w:tcBorders>
            <w:shd w:val="clear" w:color="auto" w:fill="auto"/>
            <w:vAlign w:val="center"/>
          </w:tcPr>
          <w:p w:rsidR="006B4EE4" w:rsidRPr="00293551" w:rsidRDefault="006B4EE4"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2015</w:t>
            </w:r>
          </w:p>
        </w:tc>
        <w:tc>
          <w:tcPr>
            <w:tcW w:w="1200" w:type="dxa"/>
            <w:tcBorders>
              <w:top w:val="single" w:sz="8" w:space="0" w:color="auto"/>
              <w:left w:val="nil"/>
              <w:bottom w:val="single" w:sz="8" w:space="0" w:color="auto"/>
              <w:right w:val="nil"/>
            </w:tcBorders>
            <w:shd w:val="clear" w:color="auto" w:fill="auto"/>
            <w:vAlign w:val="center"/>
          </w:tcPr>
          <w:p w:rsidR="006B4EE4" w:rsidRPr="00293551" w:rsidRDefault="006B4EE4"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2014</w:t>
            </w:r>
          </w:p>
        </w:tc>
        <w:tc>
          <w:tcPr>
            <w:tcW w:w="1200" w:type="dxa"/>
            <w:tcBorders>
              <w:top w:val="single" w:sz="8" w:space="0" w:color="auto"/>
              <w:left w:val="nil"/>
              <w:bottom w:val="single" w:sz="8" w:space="0" w:color="auto"/>
              <w:right w:val="nil"/>
            </w:tcBorders>
            <w:shd w:val="clear" w:color="auto" w:fill="auto"/>
            <w:vAlign w:val="center"/>
          </w:tcPr>
          <w:p w:rsidR="006B4EE4" w:rsidRPr="00293551" w:rsidRDefault="006B4EE4" w:rsidP="00A02C39">
            <w:pPr>
              <w:jc w:val="center"/>
              <w:rPr>
                <w:rFonts w:ascii="Verdana" w:hAnsi="Verdana" w:cs="Arial"/>
                <w:b/>
                <w:bCs/>
                <w:color w:val="000080"/>
                <w:sz w:val="20"/>
                <w:szCs w:val="20"/>
                <w:lang w:val="es-ES"/>
              </w:rPr>
            </w:pPr>
            <w:r w:rsidRPr="00293551">
              <w:rPr>
                <w:rFonts w:ascii="Verdana" w:hAnsi="Verdana" w:cs="Arial"/>
                <w:b/>
                <w:bCs/>
                <w:color w:val="000080"/>
                <w:sz w:val="20"/>
                <w:szCs w:val="20"/>
                <w:lang w:val="es-ES"/>
              </w:rPr>
              <w:t>2013</w:t>
            </w:r>
          </w:p>
        </w:tc>
      </w:tr>
      <w:tr w:rsidR="006B4EE4" w:rsidRPr="00293551" w:rsidTr="003B10C0">
        <w:trPr>
          <w:trHeight w:val="270"/>
        </w:trPr>
        <w:tc>
          <w:tcPr>
            <w:tcW w:w="3220" w:type="dxa"/>
            <w:tcBorders>
              <w:top w:val="single" w:sz="8" w:space="0" w:color="auto"/>
              <w:left w:val="nil"/>
              <w:bottom w:val="single" w:sz="8" w:space="0" w:color="auto"/>
              <w:right w:val="nil"/>
            </w:tcBorders>
            <w:shd w:val="clear" w:color="auto" w:fill="auto"/>
            <w:vAlign w:val="bottom"/>
          </w:tcPr>
          <w:p w:rsidR="006B4EE4" w:rsidRPr="00293551" w:rsidRDefault="006B4EE4" w:rsidP="009F038E">
            <w:pPr>
              <w:jc w:val="both"/>
              <w:rPr>
                <w:rFonts w:ascii="Verdana" w:hAnsi="Verdana" w:cs="Arial"/>
                <w:sz w:val="20"/>
                <w:szCs w:val="20"/>
              </w:rPr>
            </w:pPr>
            <w:r w:rsidRPr="00293551">
              <w:rPr>
                <w:rFonts w:ascii="Verdana" w:hAnsi="Verdana" w:cs="Arial"/>
                <w:sz w:val="20"/>
                <w:szCs w:val="20"/>
              </w:rPr>
              <w:t>Sala de lo Contencioso de la Audiencia Nacional</w:t>
            </w:r>
          </w:p>
        </w:tc>
        <w:tc>
          <w:tcPr>
            <w:tcW w:w="1200" w:type="dxa"/>
            <w:tcBorders>
              <w:top w:val="nil"/>
              <w:left w:val="nil"/>
              <w:bottom w:val="single" w:sz="8" w:space="0" w:color="auto"/>
              <w:right w:val="nil"/>
            </w:tcBorders>
            <w:shd w:val="clear" w:color="auto" w:fill="auto"/>
            <w:noWrap/>
            <w:vAlign w:val="center"/>
          </w:tcPr>
          <w:p w:rsidR="006B4EE4" w:rsidRPr="00293551" w:rsidRDefault="006B4EE4" w:rsidP="006B4EE4">
            <w:pPr>
              <w:jc w:val="center"/>
              <w:rPr>
                <w:rFonts w:ascii="Verdana" w:hAnsi="Verdana" w:cs="Calibri"/>
                <w:color w:val="000000"/>
                <w:sz w:val="20"/>
                <w:szCs w:val="20"/>
              </w:rPr>
            </w:pPr>
            <w:r w:rsidRPr="00293551">
              <w:rPr>
                <w:rFonts w:ascii="Verdana" w:hAnsi="Verdana" w:cs="Calibri"/>
                <w:color w:val="000000"/>
                <w:sz w:val="20"/>
                <w:szCs w:val="20"/>
              </w:rPr>
              <w:t>17,8</w:t>
            </w:r>
          </w:p>
        </w:tc>
        <w:tc>
          <w:tcPr>
            <w:tcW w:w="1200" w:type="dxa"/>
            <w:tcBorders>
              <w:top w:val="nil"/>
              <w:left w:val="nil"/>
              <w:bottom w:val="single" w:sz="8" w:space="0" w:color="auto"/>
              <w:right w:val="nil"/>
            </w:tcBorders>
            <w:shd w:val="clear" w:color="auto" w:fill="auto"/>
            <w:noWrap/>
            <w:vAlign w:val="center"/>
          </w:tcPr>
          <w:p w:rsidR="006B4EE4" w:rsidRPr="00293551" w:rsidRDefault="006B4EE4" w:rsidP="006B4EE4">
            <w:pPr>
              <w:jc w:val="center"/>
              <w:rPr>
                <w:rFonts w:ascii="Verdana" w:hAnsi="Verdana" w:cs="Calibri"/>
                <w:color w:val="000000"/>
                <w:sz w:val="20"/>
                <w:szCs w:val="20"/>
              </w:rPr>
            </w:pPr>
            <w:r w:rsidRPr="00293551">
              <w:rPr>
                <w:rFonts w:ascii="Verdana" w:hAnsi="Verdana" w:cs="Calibri"/>
                <w:color w:val="000000"/>
                <w:sz w:val="20"/>
                <w:szCs w:val="20"/>
              </w:rPr>
              <w:t>16,6</w:t>
            </w:r>
          </w:p>
        </w:tc>
        <w:tc>
          <w:tcPr>
            <w:tcW w:w="1200" w:type="dxa"/>
            <w:tcBorders>
              <w:top w:val="nil"/>
              <w:left w:val="nil"/>
              <w:bottom w:val="single" w:sz="8" w:space="0" w:color="auto"/>
              <w:right w:val="nil"/>
            </w:tcBorders>
            <w:shd w:val="clear" w:color="auto" w:fill="auto"/>
            <w:noWrap/>
            <w:vAlign w:val="center"/>
          </w:tcPr>
          <w:p w:rsidR="006B4EE4" w:rsidRPr="00293551" w:rsidRDefault="006B4EE4" w:rsidP="006B4EE4">
            <w:pPr>
              <w:jc w:val="center"/>
              <w:rPr>
                <w:rFonts w:ascii="Verdana" w:hAnsi="Verdana" w:cs="Calibri"/>
                <w:color w:val="000000"/>
                <w:sz w:val="20"/>
                <w:szCs w:val="20"/>
              </w:rPr>
            </w:pPr>
            <w:r w:rsidRPr="00293551">
              <w:rPr>
                <w:rFonts w:ascii="Verdana" w:hAnsi="Verdana" w:cs="Calibri"/>
                <w:color w:val="000000"/>
                <w:sz w:val="20"/>
                <w:szCs w:val="20"/>
              </w:rPr>
              <w:t>15,4</w:t>
            </w:r>
          </w:p>
        </w:tc>
        <w:tc>
          <w:tcPr>
            <w:tcW w:w="1200" w:type="dxa"/>
            <w:tcBorders>
              <w:top w:val="nil"/>
              <w:left w:val="nil"/>
              <w:bottom w:val="single" w:sz="8" w:space="0" w:color="auto"/>
              <w:right w:val="nil"/>
            </w:tcBorders>
            <w:shd w:val="clear" w:color="auto" w:fill="auto"/>
            <w:noWrap/>
            <w:vAlign w:val="center"/>
          </w:tcPr>
          <w:p w:rsidR="006B4EE4" w:rsidRPr="00293551" w:rsidRDefault="006B4EE4" w:rsidP="006B4EE4">
            <w:pPr>
              <w:jc w:val="center"/>
              <w:rPr>
                <w:rFonts w:ascii="Verdana" w:hAnsi="Verdana" w:cs="Calibri"/>
                <w:color w:val="000000"/>
                <w:sz w:val="20"/>
                <w:szCs w:val="20"/>
              </w:rPr>
            </w:pPr>
            <w:r w:rsidRPr="00293551">
              <w:rPr>
                <w:rFonts w:ascii="Verdana" w:hAnsi="Verdana" w:cs="Calibri"/>
                <w:color w:val="000000"/>
                <w:sz w:val="20"/>
                <w:szCs w:val="20"/>
              </w:rPr>
              <w:t>15,7</w:t>
            </w:r>
          </w:p>
        </w:tc>
        <w:tc>
          <w:tcPr>
            <w:tcW w:w="1200" w:type="dxa"/>
            <w:tcBorders>
              <w:top w:val="nil"/>
              <w:left w:val="nil"/>
              <w:bottom w:val="single" w:sz="8" w:space="0" w:color="auto"/>
              <w:right w:val="nil"/>
            </w:tcBorders>
            <w:shd w:val="clear" w:color="auto" w:fill="auto"/>
            <w:noWrap/>
            <w:vAlign w:val="center"/>
          </w:tcPr>
          <w:p w:rsidR="006B4EE4" w:rsidRPr="00293551" w:rsidRDefault="006B4EE4" w:rsidP="006B4EE4">
            <w:pPr>
              <w:jc w:val="center"/>
              <w:rPr>
                <w:rFonts w:ascii="Verdana" w:hAnsi="Verdana" w:cs="Calibri"/>
                <w:color w:val="000000"/>
                <w:sz w:val="20"/>
                <w:szCs w:val="20"/>
              </w:rPr>
            </w:pPr>
            <w:r w:rsidRPr="00293551">
              <w:rPr>
                <w:rFonts w:ascii="Verdana" w:hAnsi="Verdana" w:cs="Calibri"/>
                <w:color w:val="000000"/>
                <w:sz w:val="20"/>
                <w:szCs w:val="20"/>
              </w:rPr>
              <w:t>20,4</w:t>
            </w:r>
          </w:p>
        </w:tc>
      </w:tr>
    </w:tbl>
    <w:p w:rsidR="009F038E" w:rsidRPr="00293551" w:rsidRDefault="009F038E" w:rsidP="009F038E">
      <w:pPr>
        <w:pStyle w:val="Textoindependiente"/>
        <w:spacing w:before="120" w:after="120"/>
        <w:ind w:firstLine="357"/>
        <w:rPr>
          <w:rFonts w:ascii="Verdana" w:hAnsi="Verdana"/>
          <w:sz w:val="20"/>
        </w:rPr>
      </w:pPr>
    </w:p>
    <w:p w:rsidR="009F038E" w:rsidRDefault="009F038E" w:rsidP="009F038E">
      <w:pPr>
        <w:pStyle w:val="Textoindependiente"/>
        <w:spacing w:before="120" w:after="120"/>
        <w:ind w:firstLine="357"/>
        <w:rPr>
          <w:rFonts w:ascii="Verdana" w:hAnsi="Verdana"/>
          <w:sz w:val="20"/>
        </w:rPr>
      </w:pPr>
      <w:r w:rsidRPr="00293551">
        <w:rPr>
          <w:rFonts w:ascii="Verdana" w:hAnsi="Verdana"/>
          <w:sz w:val="20"/>
        </w:rPr>
        <w:t>Los procedimientos ordinarios han tenido una duración media de 1</w:t>
      </w:r>
      <w:r w:rsidR="006B4EE4" w:rsidRPr="00293551">
        <w:rPr>
          <w:rFonts w:ascii="Verdana" w:hAnsi="Verdana"/>
          <w:sz w:val="20"/>
        </w:rPr>
        <w:t>7</w:t>
      </w:r>
      <w:r w:rsidRPr="00293551">
        <w:rPr>
          <w:rFonts w:ascii="Verdana" w:hAnsi="Verdana"/>
          <w:sz w:val="20"/>
        </w:rPr>
        <w:t xml:space="preserve">,8 meses. Por materias los de mayor duración son los de </w:t>
      </w:r>
      <w:r w:rsidR="006B4EE4" w:rsidRPr="00293551">
        <w:rPr>
          <w:rFonts w:ascii="Verdana" w:hAnsi="Verdana"/>
          <w:sz w:val="20"/>
        </w:rPr>
        <w:t xml:space="preserve">la Comisión de los Mercados y la competencia, 29,3 meses, seguidos por los de la Administración tributaria, 24,9; </w:t>
      </w:r>
      <w:r w:rsidRPr="00293551">
        <w:rPr>
          <w:rFonts w:ascii="Verdana" w:hAnsi="Verdana"/>
          <w:sz w:val="20"/>
        </w:rPr>
        <w:t>Actividad Administrativa Sancionadora, 1</w:t>
      </w:r>
      <w:r w:rsidR="006B4EE4" w:rsidRPr="00293551">
        <w:rPr>
          <w:rFonts w:ascii="Verdana" w:hAnsi="Verdana"/>
          <w:sz w:val="20"/>
        </w:rPr>
        <w:t>7,</w:t>
      </w:r>
      <w:r w:rsidRPr="00293551">
        <w:rPr>
          <w:rFonts w:ascii="Verdana" w:hAnsi="Verdana"/>
          <w:sz w:val="20"/>
        </w:rPr>
        <w:t>9;</w:t>
      </w:r>
      <w:r w:rsidR="006B4EE4" w:rsidRPr="00293551">
        <w:rPr>
          <w:rFonts w:ascii="Verdana" w:hAnsi="Verdana"/>
          <w:sz w:val="20"/>
        </w:rPr>
        <w:t xml:space="preserve"> </w:t>
      </w:r>
      <w:r w:rsidR="002F644C" w:rsidRPr="00293551">
        <w:rPr>
          <w:rFonts w:ascii="Verdana" w:hAnsi="Verdana"/>
          <w:sz w:val="20"/>
        </w:rPr>
        <w:t>Expropiación</w:t>
      </w:r>
      <w:r w:rsidR="006B4EE4" w:rsidRPr="00293551">
        <w:rPr>
          <w:rFonts w:ascii="Verdana" w:hAnsi="Verdana"/>
          <w:sz w:val="20"/>
        </w:rPr>
        <w:t xml:space="preserve"> forzosa, 17,3; </w:t>
      </w:r>
      <w:r w:rsidRPr="00293551">
        <w:rPr>
          <w:rFonts w:ascii="Verdana" w:hAnsi="Verdana"/>
          <w:sz w:val="20"/>
        </w:rPr>
        <w:t>y Medio Ambiente, 1</w:t>
      </w:r>
      <w:r w:rsidR="006B4EE4" w:rsidRPr="00293551">
        <w:rPr>
          <w:rFonts w:ascii="Verdana" w:hAnsi="Verdana"/>
          <w:sz w:val="20"/>
        </w:rPr>
        <w:t>4</w:t>
      </w:r>
      <w:r w:rsidRPr="00293551">
        <w:rPr>
          <w:rFonts w:ascii="Verdana" w:hAnsi="Verdana"/>
          <w:sz w:val="20"/>
        </w:rPr>
        <w:t>,</w:t>
      </w:r>
      <w:r w:rsidR="006B4EE4" w:rsidRPr="00293551">
        <w:rPr>
          <w:rFonts w:ascii="Verdana" w:hAnsi="Verdana"/>
          <w:sz w:val="20"/>
        </w:rPr>
        <w:t>7</w:t>
      </w:r>
      <w:r w:rsidRPr="00293551">
        <w:rPr>
          <w:rFonts w:ascii="Verdana" w:hAnsi="Verdana"/>
          <w:sz w:val="20"/>
        </w:rPr>
        <w:t>.  Los recursos de apelación ha</w:t>
      </w:r>
      <w:r w:rsidR="006B4EE4" w:rsidRPr="00293551">
        <w:rPr>
          <w:rFonts w:ascii="Verdana" w:hAnsi="Verdana"/>
          <w:sz w:val="20"/>
        </w:rPr>
        <w:t>n tenido una duración media de 5</w:t>
      </w:r>
      <w:r w:rsidRPr="00293551">
        <w:rPr>
          <w:rFonts w:ascii="Verdana" w:hAnsi="Verdana"/>
          <w:sz w:val="20"/>
        </w:rPr>
        <w:t>,</w:t>
      </w:r>
      <w:r w:rsidR="006B4EE4" w:rsidRPr="00293551">
        <w:rPr>
          <w:rFonts w:ascii="Verdana" w:hAnsi="Verdana"/>
          <w:sz w:val="20"/>
        </w:rPr>
        <w:t xml:space="preserve">4 </w:t>
      </w:r>
      <w:r w:rsidRPr="00293551">
        <w:rPr>
          <w:rFonts w:ascii="Verdana" w:hAnsi="Verdana"/>
          <w:sz w:val="20"/>
        </w:rPr>
        <w:t xml:space="preserve">meses, y los de queja de </w:t>
      </w:r>
      <w:r w:rsidR="006B4EE4" w:rsidRPr="00293551">
        <w:rPr>
          <w:rFonts w:ascii="Verdana" w:hAnsi="Verdana"/>
          <w:sz w:val="20"/>
        </w:rPr>
        <w:t>1</w:t>
      </w:r>
      <w:r w:rsidRPr="00293551">
        <w:rPr>
          <w:rFonts w:ascii="Verdana" w:hAnsi="Verdana"/>
          <w:sz w:val="20"/>
        </w:rPr>
        <w:t>.</w:t>
      </w:r>
    </w:p>
    <w:p w:rsidR="008D2105" w:rsidRPr="00CE214A" w:rsidRDefault="008D2105" w:rsidP="00D70745">
      <w:pPr>
        <w:pStyle w:val="Textoindependiente"/>
        <w:spacing w:before="120" w:after="120"/>
        <w:ind w:firstLine="357"/>
        <w:rPr>
          <w:rFonts w:ascii="Verdana" w:hAnsi="Verdana"/>
          <w:sz w:val="20"/>
        </w:rPr>
      </w:pPr>
    </w:p>
    <w:p w:rsidR="001B4EE3" w:rsidRPr="00BB5656" w:rsidRDefault="001B4EE3">
      <w:pPr>
        <w:pStyle w:val="Ttulo2"/>
        <w:numPr>
          <w:ilvl w:val="1"/>
          <w:numId w:val="10"/>
        </w:numPr>
        <w:rPr>
          <w:rFonts w:ascii="Verdana" w:hAnsi="Verdana"/>
          <w:color w:val="333399"/>
        </w:rPr>
      </w:pPr>
      <w:r w:rsidRPr="00CE214A">
        <w:rPr>
          <w:rFonts w:ascii="Verdana" w:hAnsi="Verdana"/>
          <w:color w:val="333399"/>
        </w:rPr>
        <w:t>Apelaciones y casaciones</w:t>
      </w:r>
    </w:p>
    <w:p w:rsidR="001B4EE3" w:rsidRPr="00293551" w:rsidRDefault="00B67D16">
      <w:pPr>
        <w:pStyle w:val="Textoindependiente"/>
        <w:spacing w:before="120" w:after="120"/>
        <w:ind w:firstLine="357"/>
        <w:rPr>
          <w:rFonts w:ascii="Verdana" w:hAnsi="Verdana"/>
          <w:sz w:val="20"/>
        </w:rPr>
      </w:pPr>
      <w:r w:rsidRPr="008648B9">
        <w:rPr>
          <w:rFonts w:ascii="Verdana" w:hAnsi="Verdana"/>
          <w:sz w:val="20"/>
        </w:rPr>
        <w:t>Los juzgados de lo c</w:t>
      </w:r>
      <w:r w:rsidR="003D335F" w:rsidRPr="008648B9">
        <w:rPr>
          <w:rFonts w:ascii="Verdana" w:hAnsi="Verdana"/>
          <w:sz w:val="20"/>
        </w:rPr>
        <w:t>ontencioso</w:t>
      </w:r>
      <w:r w:rsidR="003D6C43" w:rsidRPr="008648B9">
        <w:rPr>
          <w:rFonts w:ascii="Verdana" w:hAnsi="Verdana"/>
          <w:sz w:val="20"/>
        </w:rPr>
        <w:t>-</w:t>
      </w:r>
      <w:r w:rsidRPr="008648B9">
        <w:rPr>
          <w:rFonts w:ascii="Verdana" w:hAnsi="Verdana"/>
          <w:sz w:val="20"/>
        </w:rPr>
        <w:t>administrativo</w:t>
      </w:r>
      <w:r w:rsidR="003D335F" w:rsidRPr="008648B9">
        <w:rPr>
          <w:rFonts w:ascii="Verdana" w:hAnsi="Verdana"/>
          <w:sz w:val="20"/>
        </w:rPr>
        <w:t xml:space="preserve"> elevaron 1</w:t>
      </w:r>
      <w:r w:rsidR="00CC7579" w:rsidRPr="008648B9">
        <w:rPr>
          <w:rFonts w:ascii="Verdana" w:hAnsi="Verdana"/>
          <w:sz w:val="20"/>
        </w:rPr>
        <w:t>6</w:t>
      </w:r>
      <w:r w:rsidR="003D335F" w:rsidRPr="008648B9">
        <w:rPr>
          <w:rFonts w:ascii="Verdana" w:hAnsi="Verdana"/>
          <w:sz w:val="20"/>
        </w:rPr>
        <w:t>.</w:t>
      </w:r>
      <w:r w:rsidR="00B070A1" w:rsidRPr="008648B9">
        <w:rPr>
          <w:rFonts w:ascii="Verdana" w:hAnsi="Verdana"/>
          <w:sz w:val="20"/>
        </w:rPr>
        <w:t>5</w:t>
      </w:r>
      <w:r w:rsidR="00150CA6" w:rsidRPr="008648B9">
        <w:rPr>
          <w:rFonts w:ascii="Verdana" w:hAnsi="Verdana"/>
          <w:sz w:val="20"/>
        </w:rPr>
        <w:t>2</w:t>
      </w:r>
      <w:r w:rsidR="00B070A1" w:rsidRPr="008648B9">
        <w:rPr>
          <w:rFonts w:ascii="Verdana" w:hAnsi="Verdana"/>
          <w:sz w:val="20"/>
        </w:rPr>
        <w:t>8</w:t>
      </w:r>
      <w:r w:rsidR="003D335F" w:rsidRPr="008648B9">
        <w:rPr>
          <w:rFonts w:ascii="Verdana" w:hAnsi="Verdana"/>
          <w:sz w:val="20"/>
        </w:rPr>
        <w:t xml:space="preserve"> recursos de </w:t>
      </w:r>
      <w:r w:rsidR="001E0824" w:rsidRPr="008648B9">
        <w:rPr>
          <w:rFonts w:ascii="Verdana" w:hAnsi="Verdana"/>
          <w:sz w:val="20"/>
        </w:rPr>
        <w:t>apelación contra sentencias</w:t>
      </w:r>
      <w:r w:rsidR="003D335F" w:rsidRPr="008648B9">
        <w:rPr>
          <w:rFonts w:ascii="Verdana" w:hAnsi="Verdana"/>
          <w:sz w:val="20"/>
        </w:rPr>
        <w:t xml:space="preserve">, un </w:t>
      </w:r>
      <w:r w:rsidR="00150CA6" w:rsidRPr="008648B9">
        <w:rPr>
          <w:rFonts w:ascii="Verdana" w:hAnsi="Verdana"/>
          <w:sz w:val="20"/>
        </w:rPr>
        <w:t>0</w:t>
      </w:r>
      <w:r w:rsidR="00B070A1" w:rsidRPr="008648B9">
        <w:rPr>
          <w:rFonts w:ascii="Verdana" w:hAnsi="Verdana"/>
          <w:sz w:val="20"/>
        </w:rPr>
        <w:t>,</w:t>
      </w:r>
      <w:r w:rsidR="00150CA6" w:rsidRPr="008648B9">
        <w:rPr>
          <w:rFonts w:ascii="Verdana" w:hAnsi="Verdana"/>
          <w:sz w:val="20"/>
        </w:rPr>
        <w:t>3</w:t>
      </w:r>
      <w:r w:rsidR="00B75609" w:rsidRPr="008648B9">
        <w:rPr>
          <w:rFonts w:ascii="Verdana" w:hAnsi="Verdana"/>
          <w:sz w:val="20"/>
        </w:rPr>
        <w:t>% m</w:t>
      </w:r>
      <w:r w:rsidR="00150CA6" w:rsidRPr="008648B9">
        <w:rPr>
          <w:rFonts w:ascii="Verdana" w:hAnsi="Verdana"/>
          <w:sz w:val="20"/>
        </w:rPr>
        <w:t>eno</w:t>
      </w:r>
      <w:r w:rsidR="00B75609" w:rsidRPr="008648B9">
        <w:rPr>
          <w:rFonts w:ascii="Verdana" w:hAnsi="Verdana"/>
          <w:sz w:val="20"/>
        </w:rPr>
        <w:t>s</w:t>
      </w:r>
      <w:r w:rsidR="003D335F" w:rsidRPr="008648B9">
        <w:rPr>
          <w:rFonts w:ascii="Verdana" w:hAnsi="Verdana"/>
          <w:sz w:val="20"/>
        </w:rPr>
        <w:t xml:space="preserve"> que en 201</w:t>
      </w:r>
      <w:r w:rsidR="00150CA6" w:rsidRPr="008648B9">
        <w:rPr>
          <w:rFonts w:ascii="Verdana" w:hAnsi="Verdana"/>
          <w:sz w:val="20"/>
        </w:rPr>
        <w:t>6</w:t>
      </w:r>
      <w:r w:rsidR="003D335F" w:rsidRPr="008648B9">
        <w:rPr>
          <w:rFonts w:ascii="Verdana" w:hAnsi="Verdana"/>
          <w:sz w:val="20"/>
        </w:rPr>
        <w:t xml:space="preserve">.  </w:t>
      </w:r>
      <w:r w:rsidR="00CC7579" w:rsidRPr="008648B9">
        <w:rPr>
          <w:rFonts w:ascii="Verdana" w:hAnsi="Verdana"/>
          <w:sz w:val="20"/>
        </w:rPr>
        <w:t xml:space="preserve">Los juzgados centrales de lo contencioso-administrativo han elevado </w:t>
      </w:r>
      <w:r w:rsidR="007C33AA" w:rsidRPr="008648B9">
        <w:rPr>
          <w:rFonts w:ascii="Verdana" w:hAnsi="Verdana"/>
          <w:sz w:val="20"/>
        </w:rPr>
        <w:t>383</w:t>
      </w:r>
      <w:r w:rsidR="00CC7579" w:rsidRPr="008648B9">
        <w:rPr>
          <w:rFonts w:ascii="Verdana" w:hAnsi="Verdana"/>
          <w:sz w:val="20"/>
        </w:rPr>
        <w:t xml:space="preserve"> recursos de apelación contra sentencias, </w:t>
      </w:r>
      <w:r w:rsidR="007C33AA" w:rsidRPr="008648B9">
        <w:rPr>
          <w:rFonts w:ascii="Verdana" w:hAnsi="Verdana"/>
          <w:sz w:val="20"/>
        </w:rPr>
        <w:t xml:space="preserve">un 8,8% </w:t>
      </w:r>
      <w:r w:rsidR="00CC7579" w:rsidRPr="008648B9">
        <w:rPr>
          <w:rFonts w:ascii="Verdana" w:hAnsi="Verdana"/>
          <w:sz w:val="20"/>
        </w:rPr>
        <w:t>menos que en 201</w:t>
      </w:r>
      <w:r w:rsidR="007C33AA" w:rsidRPr="008648B9">
        <w:rPr>
          <w:rFonts w:ascii="Verdana" w:hAnsi="Verdana"/>
          <w:sz w:val="20"/>
        </w:rPr>
        <w:t>6</w:t>
      </w:r>
      <w:r w:rsidR="00CC7579" w:rsidRPr="008648B9">
        <w:rPr>
          <w:rFonts w:ascii="Verdana" w:hAnsi="Verdana"/>
          <w:sz w:val="20"/>
        </w:rPr>
        <w:t xml:space="preserve">.  </w:t>
      </w:r>
      <w:r w:rsidR="001B4EE3" w:rsidRPr="008648B9">
        <w:rPr>
          <w:rFonts w:ascii="Verdana" w:hAnsi="Verdana"/>
          <w:sz w:val="20"/>
        </w:rPr>
        <w:t>El resultado de  las sentencias de apelación devueltas en esta jurisdicción ha sido:</w:t>
      </w:r>
    </w:p>
    <w:p w:rsidR="009F4FD3" w:rsidRPr="00293551" w:rsidRDefault="009F4FD3">
      <w:pPr>
        <w:pStyle w:val="Textoindependiente"/>
        <w:spacing w:before="120" w:after="120"/>
        <w:ind w:firstLine="357"/>
        <w:rPr>
          <w:rFonts w:ascii="Verdana" w:hAnsi="Verdana"/>
          <w:sz w:val="20"/>
        </w:rPr>
      </w:pPr>
    </w:p>
    <w:tbl>
      <w:tblPr>
        <w:tblW w:w="8249" w:type="dxa"/>
        <w:tblInd w:w="55" w:type="dxa"/>
        <w:tblCellMar>
          <w:left w:w="70" w:type="dxa"/>
          <w:right w:w="70" w:type="dxa"/>
        </w:tblCellMar>
        <w:tblLook w:val="04A0" w:firstRow="1" w:lastRow="0" w:firstColumn="1" w:lastColumn="0" w:noHBand="0" w:noVBand="1"/>
      </w:tblPr>
      <w:tblGrid>
        <w:gridCol w:w="2480"/>
        <w:gridCol w:w="1582"/>
        <w:gridCol w:w="1373"/>
        <w:gridCol w:w="1612"/>
        <w:gridCol w:w="1202"/>
      </w:tblGrid>
      <w:tr w:rsidR="001645F0" w:rsidRPr="00293551" w:rsidTr="00B75609">
        <w:trPr>
          <w:trHeight w:val="780"/>
        </w:trPr>
        <w:tc>
          <w:tcPr>
            <w:tcW w:w="2480" w:type="dxa"/>
            <w:tcBorders>
              <w:top w:val="nil"/>
              <w:left w:val="nil"/>
              <w:bottom w:val="single" w:sz="8" w:space="0" w:color="auto"/>
              <w:right w:val="nil"/>
            </w:tcBorders>
            <w:shd w:val="clear" w:color="auto" w:fill="auto"/>
            <w:noWrap/>
            <w:vAlign w:val="center"/>
            <w:hideMark/>
          </w:tcPr>
          <w:p w:rsidR="001645F0" w:rsidRPr="00293551" w:rsidRDefault="001645F0">
            <w:pPr>
              <w:rPr>
                <w:rFonts w:ascii="Verdana" w:hAnsi="Verdana" w:cs="Arial"/>
                <w:color w:val="000000"/>
                <w:sz w:val="20"/>
                <w:szCs w:val="20"/>
              </w:rPr>
            </w:pPr>
            <w:r w:rsidRPr="00293551">
              <w:rPr>
                <w:rFonts w:ascii="Verdana" w:hAnsi="Verdana" w:cs="Arial"/>
                <w:color w:val="000000"/>
                <w:sz w:val="20"/>
                <w:szCs w:val="20"/>
              </w:rPr>
              <w:t> </w:t>
            </w:r>
          </w:p>
        </w:tc>
        <w:tc>
          <w:tcPr>
            <w:tcW w:w="1582"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20"/>
                <w:szCs w:val="20"/>
              </w:rPr>
            </w:pPr>
            <w:r w:rsidRPr="00293551">
              <w:rPr>
                <w:rFonts w:ascii="Verdana" w:hAnsi="Verdana" w:cs="Arial"/>
                <w:b/>
                <w:bCs/>
                <w:color w:val="000080"/>
                <w:sz w:val="20"/>
                <w:szCs w:val="20"/>
              </w:rPr>
              <w:t xml:space="preserve">Confirmando </w:t>
            </w:r>
          </w:p>
        </w:tc>
        <w:tc>
          <w:tcPr>
            <w:tcW w:w="1373"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20"/>
                <w:szCs w:val="20"/>
              </w:rPr>
            </w:pPr>
            <w:r w:rsidRPr="00293551">
              <w:rPr>
                <w:rFonts w:ascii="Verdana" w:hAnsi="Verdana" w:cs="Arial"/>
                <w:b/>
                <w:bCs/>
                <w:color w:val="000080"/>
                <w:sz w:val="20"/>
                <w:szCs w:val="20"/>
              </w:rPr>
              <w:t>Revocando totalmente</w:t>
            </w:r>
          </w:p>
        </w:tc>
        <w:tc>
          <w:tcPr>
            <w:tcW w:w="1612"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20"/>
                <w:szCs w:val="20"/>
              </w:rPr>
            </w:pPr>
            <w:r w:rsidRPr="00293551">
              <w:rPr>
                <w:rFonts w:ascii="Verdana" w:hAnsi="Verdana" w:cs="Arial"/>
                <w:b/>
                <w:bCs/>
                <w:color w:val="000080"/>
                <w:sz w:val="20"/>
                <w:szCs w:val="20"/>
              </w:rPr>
              <w:t>Revocando parcialmente</w:t>
            </w:r>
          </w:p>
        </w:tc>
        <w:tc>
          <w:tcPr>
            <w:tcW w:w="1202"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20"/>
                <w:szCs w:val="20"/>
              </w:rPr>
            </w:pPr>
            <w:r w:rsidRPr="00293551">
              <w:rPr>
                <w:rFonts w:ascii="Verdana" w:hAnsi="Verdana" w:cs="Arial"/>
                <w:b/>
                <w:bCs/>
                <w:color w:val="000080"/>
                <w:sz w:val="20"/>
                <w:szCs w:val="20"/>
              </w:rPr>
              <w:t>Anulando</w:t>
            </w:r>
          </w:p>
        </w:tc>
      </w:tr>
      <w:tr w:rsidR="00150CA6" w:rsidRPr="00293551" w:rsidTr="00D3182A">
        <w:trPr>
          <w:trHeight w:val="300"/>
        </w:trPr>
        <w:tc>
          <w:tcPr>
            <w:tcW w:w="2480" w:type="dxa"/>
            <w:tcBorders>
              <w:top w:val="nil"/>
              <w:left w:val="nil"/>
              <w:bottom w:val="nil"/>
              <w:right w:val="nil"/>
            </w:tcBorders>
            <w:shd w:val="clear" w:color="auto" w:fill="auto"/>
            <w:vAlign w:val="center"/>
            <w:hideMark/>
          </w:tcPr>
          <w:p w:rsidR="00150CA6" w:rsidRPr="00293551" w:rsidRDefault="00150CA6">
            <w:pPr>
              <w:jc w:val="both"/>
              <w:rPr>
                <w:rFonts w:ascii="Verdana" w:hAnsi="Verdana" w:cs="Arial"/>
                <w:color w:val="000000"/>
                <w:sz w:val="18"/>
                <w:szCs w:val="18"/>
              </w:rPr>
            </w:pPr>
            <w:r w:rsidRPr="00293551">
              <w:rPr>
                <w:rFonts w:ascii="Verdana" w:hAnsi="Verdana" w:cs="Arial"/>
                <w:color w:val="000000"/>
                <w:sz w:val="18"/>
                <w:szCs w:val="18"/>
              </w:rPr>
              <w:t>Jdos.  Contencioso</w:t>
            </w:r>
          </w:p>
        </w:tc>
        <w:tc>
          <w:tcPr>
            <w:tcW w:w="1582" w:type="dxa"/>
            <w:tcBorders>
              <w:top w:val="nil"/>
              <w:left w:val="nil"/>
              <w:bottom w:val="nil"/>
              <w:right w:val="nil"/>
            </w:tcBorders>
            <w:shd w:val="clear" w:color="auto" w:fill="auto"/>
            <w:vAlign w:val="bottom"/>
            <w:hideMark/>
          </w:tcPr>
          <w:p w:rsidR="00150CA6" w:rsidRPr="00293551" w:rsidRDefault="00150CA6" w:rsidP="00150CA6">
            <w:pPr>
              <w:jc w:val="center"/>
              <w:rPr>
                <w:rFonts w:ascii="Verdana" w:hAnsi="Verdana" w:cs="Arial"/>
                <w:sz w:val="20"/>
                <w:szCs w:val="20"/>
              </w:rPr>
            </w:pPr>
            <w:r w:rsidRPr="00293551">
              <w:rPr>
                <w:rFonts w:ascii="Verdana" w:hAnsi="Verdana" w:cs="Arial"/>
                <w:sz w:val="20"/>
                <w:szCs w:val="20"/>
              </w:rPr>
              <w:t>73,9</w:t>
            </w:r>
          </w:p>
        </w:tc>
        <w:tc>
          <w:tcPr>
            <w:tcW w:w="1373" w:type="dxa"/>
            <w:tcBorders>
              <w:top w:val="nil"/>
              <w:left w:val="nil"/>
              <w:bottom w:val="nil"/>
              <w:right w:val="nil"/>
            </w:tcBorders>
            <w:shd w:val="clear" w:color="auto" w:fill="auto"/>
            <w:vAlign w:val="bottom"/>
            <w:hideMark/>
          </w:tcPr>
          <w:p w:rsidR="00150CA6" w:rsidRPr="00293551" w:rsidRDefault="00150CA6" w:rsidP="00150CA6">
            <w:pPr>
              <w:jc w:val="center"/>
              <w:rPr>
                <w:rFonts w:ascii="Verdana" w:hAnsi="Verdana" w:cs="Arial"/>
                <w:sz w:val="20"/>
                <w:szCs w:val="20"/>
              </w:rPr>
            </w:pPr>
            <w:r w:rsidRPr="00293551">
              <w:rPr>
                <w:rFonts w:ascii="Verdana" w:hAnsi="Verdana" w:cs="Arial"/>
                <w:sz w:val="20"/>
                <w:szCs w:val="20"/>
              </w:rPr>
              <w:t>18,83</w:t>
            </w:r>
          </w:p>
        </w:tc>
        <w:tc>
          <w:tcPr>
            <w:tcW w:w="1612" w:type="dxa"/>
            <w:tcBorders>
              <w:top w:val="nil"/>
              <w:left w:val="nil"/>
              <w:bottom w:val="nil"/>
              <w:right w:val="nil"/>
            </w:tcBorders>
            <w:shd w:val="clear" w:color="auto" w:fill="auto"/>
            <w:vAlign w:val="bottom"/>
            <w:hideMark/>
          </w:tcPr>
          <w:p w:rsidR="00150CA6" w:rsidRPr="00293551" w:rsidRDefault="00150CA6" w:rsidP="00150CA6">
            <w:pPr>
              <w:jc w:val="center"/>
              <w:rPr>
                <w:rFonts w:ascii="Verdana" w:hAnsi="Verdana" w:cs="Arial"/>
                <w:sz w:val="20"/>
                <w:szCs w:val="20"/>
              </w:rPr>
            </w:pPr>
            <w:r w:rsidRPr="00293551">
              <w:rPr>
                <w:rFonts w:ascii="Verdana" w:hAnsi="Verdana" w:cs="Arial"/>
                <w:sz w:val="20"/>
                <w:szCs w:val="20"/>
              </w:rPr>
              <w:t>6,46</w:t>
            </w:r>
          </w:p>
        </w:tc>
        <w:tc>
          <w:tcPr>
            <w:tcW w:w="1202" w:type="dxa"/>
            <w:tcBorders>
              <w:top w:val="nil"/>
              <w:left w:val="nil"/>
              <w:bottom w:val="nil"/>
              <w:right w:val="nil"/>
            </w:tcBorders>
            <w:shd w:val="clear" w:color="auto" w:fill="auto"/>
            <w:vAlign w:val="bottom"/>
            <w:hideMark/>
          </w:tcPr>
          <w:p w:rsidR="00150CA6" w:rsidRPr="00293551" w:rsidRDefault="00150CA6" w:rsidP="00150CA6">
            <w:pPr>
              <w:jc w:val="center"/>
              <w:rPr>
                <w:rFonts w:ascii="Verdana" w:hAnsi="Verdana" w:cs="Arial"/>
                <w:sz w:val="20"/>
                <w:szCs w:val="20"/>
              </w:rPr>
            </w:pPr>
            <w:r w:rsidRPr="00293551">
              <w:rPr>
                <w:rFonts w:ascii="Verdana" w:hAnsi="Verdana" w:cs="Arial"/>
                <w:sz w:val="20"/>
                <w:szCs w:val="20"/>
              </w:rPr>
              <w:t>0,81</w:t>
            </w:r>
          </w:p>
        </w:tc>
      </w:tr>
      <w:tr w:rsidR="007C33AA" w:rsidRPr="00293551" w:rsidTr="00A02C39">
        <w:trPr>
          <w:trHeight w:val="315"/>
        </w:trPr>
        <w:tc>
          <w:tcPr>
            <w:tcW w:w="2480" w:type="dxa"/>
            <w:tcBorders>
              <w:top w:val="nil"/>
              <w:left w:val="nil"/>
              <w:bottom w:val="single" w:sz="8" w:space="0" w:color="auto"/>
              <w:right w:val="nil"/>
            </w:tcBorders>
            <w:shd w:val="clear" w:color="auto" w:fill="auto"/>
            <w:vAlign w:val="center"/>
            <w:hideMark/>
          </w:tcPr>
          <w:p w:rsidR="007C33AA" w:rsidRPr="00293551" w:rsidRDefault="007C33AA">
            <w:pPr>
              <w:rPr>
                <w:rFonts w:ascii="Verdana" w:hAnsi="Verdana" w:cs="Arial"/>
                <w:color w:val="000000"/>
                <w:sz w:val="18"/>
                <w:szCs w:val="18"/>
              </w:rPr>
            </w:pPr>
            <w:r w:rsidRPr="00293551">
              <w:rPr>
                <w:rFonts w:ascii="Verdana" w:hAnsi="Verdana" w:cs="Arial"/>
                <w:color w:val="000000"/>
                <w:sz w:val="18"/>
                <w:szCs w:val="18"/>
              </w:rPr>
              <w:t>Jdo. Central Contencioso</w:t>
            </w:r>
          </w:p>
        </w:tc>
        <w:tc>
          <w:tcPr>
            <w:tcW w:w="1582" w:type="dxa"/>
            <w:tcBorders>
              <w:top w:val="nil"/>
              <w:left w:val="nil"/>
              <w:bottom w:val="single" w:sz="8" w:space="0" w:color="auto"/>
              <w:right w:val="nil"/>
            </w:tcBorders>
            <w:shd w:val="clear" w:color="auto" w:fill="auto"/>
            <w:vAlign w:val="bottom"/>
            <w:hideMark/>
          </w:tcPr>
          <w:p w:rsidR="007C33AA" w:rsidRPr="00293551" w:rsidRDefault="007C33AA" w:rsidP="007C33AA">
            <w:pPr>
              <w:jc w:val="center"/>
              <w:rPr>
                <w:rFonts w:ascii="Verdana" w:hAnsi="Verdana" w:cs="Arial"/>
                <w:sz w:val="20"/>
                <w:szCs w:val="20"/>
              </w:rPr>
            </w:pPr>
            <w:r w:rsidRPr="00293551">
              <w:rPr>
                <w:rFonts w:ascii="Verdana" w:hAnsi="Verdana" w:cs="Arial"/>
                <w:sz w:val="20"/>
                <w:szCs w:val="20"/>
              </w:rPr>
              <w:t>72,7</w:t>
            </w:r>
          </w:p>
        </w:tc>
        <w:tc>
          <w:tcPr>
            <w:tcW w:w="1373" w:type="dxa"/>
            <w:tcBorders>
              <w:top w:val="nil"/>
              <w:left w:val="nil"/>
              <w:bottom w:val="single" w:sz="8" w:space="0" w:color="auto"/>
              <w:right w:val="nil"/>
            </w:tcBorders>
            <w:shd w:val="clear" w:color="auto" w:fill="auto"/>
            <w:vAlign w:val="bottom"/>
            <w:hideMark/>
          </w:tcPr>
          <w:p w:rsidR="007C33AA" w:rsidRPr="00293551" w:rsidRDefault="007C33AA" w:rsidP="007C33AA">
            <w:pPr>
              <w:jc w:val="center"/>
              <w:rPr>
                <w:rFonts w:ascii="Verdana" w:hAnsi="Verdana" w:cs="Arial"/>
                <w:sz w:val="20"/>
                <w:szCs w:val="20"/>
              </w:rPr>
            </w:pPr>
            <w:r w:rsidRPr="00293551">
              <w:rPr>
                <w:rFonts w:ascii="Verdana" w:hAnsi="Verdana" w:cs="Arial"/>
                <w:sz w:val="20"/>
                <w:szCs w:val="20"/>
              </w:rPr>
              <w:t>20,0</w:t>
            </w:r>
          </w:p>
        </w:tc>
        <w:tc>
          <w:tcPr>
            <w:tcW w:w="1612" w:type="dxa"/>
            <w:tcBorders>
              <w:top w:val="nil"/>
              <w:left w:val="nil"/>
              <w:bottom w:val="single" w:sz="8" w:space="0" w:color="auto"/>
              <w:right w:val="nil"/>
            </w:tcBorders>
            <w:shd w:val="clear" w:color="auto" w:fill="auto"/>
            <w:vAlign w:val="bottom"/>
            <w:hideMark/>
          </w:tcPr>
          <w:p w:rsidR="007C33AA" w:rsidRPr="00293551" w:rsidRDefault="007C33AA" w:rsidP="007C33AA">
            <w:pPr>
              <w:jc w:val="center"/>
              <w:rPr>
                <w:rFonts w:ascii="Verdana" w:hAnsi="Verdana" w:cs="Arial"/>
                <w:sz w:val="20"/>
                <w:szCs w:val="20"/>
              </w:rPr>
            </w:pPr>
            <w:r w:rsidRPr="00293551">
              <w:rPr>
                <w:rFonts w:ascii="Verdana" w:hAnsi="Verdana" w:cs="Arial"/>
                <w:sz w:val="20"/>
                <w:szCs w:val="20"/>
              </w:rPr>
              <w:t>7,3</w:t>
            </w:r>
          </w:p>
        </w:tc>
        <w:tc>
          <w:tcPr>
            <w:tcW w:w="1202" w:type="dxa"/>
            <w:tcBorders>
              <w:top w:val="nil"/>
              <w:left w:val="nil"/>
              <w:bottom w:val="single" w:sz="8" w:space="0" w:color="auto"/>
              <w:right w:val="nil"/>
            </w:tcBorders>
            <w:shd w:val="clear" w:color="auto" w:fill="auto"/>
            <w:vAlign w:val="bottom"/>
            <w:hideMark/>
          </w:tcPr>
          <w:p w:rsidR="007C33AA" w:rsidRPr="00293551" w:rsidRDefault="007C33AA" w:rsidP="007C33AA">
            <w:pPr>
              <w:jc w:val="center"/>
              <w:rPr>
                <w:rFonts w:ascii="Verdana" w:hAnsi="Verdana" w:cs="Arial"/>
                <w:sz w:val="20"/>
                <w:szCs w:val="20"/>
              </w:rPr>
            </w:pPr>
            <w:r w:rsidRPr="00293551">
              <w:rPr>
                <w:rFonts w:ascii="Verdana" w:hAnsi="Verdana" w:cs="Arial"/>
                <w:sz w:val="20"/>
                <w:szCs w:val="20"/>
              </w:rPr>
              <w:t>0,0</w:t>
            </w:r>
          </w:p>
        </w:tc>
      </w:tr>
    </w:tbl>
    <w:p w:rsidR="003F7780" w:rsidRPr="00293551" w:rsidRDefault="003F7780">
      <w:pPr>
        <w:pStyle w:val="Textoindependiente"/>
        <w:spacing w:before="120" w:after="120"/>
        <w:ind w:firstLine="357"/>
        <w:rPr>
          <w:rFonts w:ascii="Verdana" w:hAnsi="Verdana"/>
          <w:sz w:val="20"/>
        </w:rPr>
      </w:pPr>
    </w:p>
    <w:p w:rsidR="007B122A" w:rsidRPr="00293551" w:rsidRDefault="003D6C43">
      <w:pPr>
        <w:pStyle w:val="Textoindependiente"/>
        <w:spacing w:before="120" w:after="120"/>
        <w:ind w:firstLine="357"/>
        <w:rPr>
          <w:rFonts w:ascii="Verdana" w:hAnsi="Verdana"/>
          <w:sz w:val="20"/>
        </w:rPr>
      </w:pPr>
      <w:r w:rsidRPr="00293551">
        <w:rPr>
          <w:rFonts w:ascii="Verdana" w:hAnsi="Verdana"/>
          <w:sz w:val="20"/>
        </w:rPr>
        <w:t>La Sala de lo Contencioso-a</w:t>
      </w:r>
      <w:r w:rsidR="007B122A" w:rsidRPr="00293551">
        <w:rPr>
          <w:rFonts w:ascii="Verdana" w:hAnsi="Verdana"/>
          <w:sz w:val="20"/>
        </w:rPr>
        <w:t xml:space="preserve">dministrativo de la </w:t>
      </w:r>
      <w:r w:rsidR="007C17BB" w:rsidRPr="00293551">
        <w:rPr>
          <w:rFonts w:ascii="Verdana" w:hAnsi="Verdana"/>
          <w:sz w:val="20"/>
        </w:rPr>
        <w:t>A</w:t>
      </w:r>
      <w:r w:rsidR="007B122A" w:rsidRPr="00293551">
        <w:rPr>
          <w:rFonts w:ascii="Verdana" w:hAnsi="Verdana"/>
          <w:sz w:val="20"/>
        </w:rPr>
        <w:t xml:space="preserve">udiencia </w:t>
      </w:r>
      <w:r w:rsidR="007C17BB" w:rsidRPr="00293551">
        <w:rPr>
          <w:rFonts w:ascii="Verdana" w:hAnsi="Verdana"/>
          <w:sz w:val="20"/>
        </w:rPr>
        <w:t>N</w:t>
      </w:r>
      <w:r w:rsidR="007B122A" w:rsidRPr="00293551">
        <w:rPr>
          <w:rFonts w:ascii="Verdana" w:hAnsi="Verdana"/>
          <w:sz w:val="20"/>
        </w:rPr>
        <w:t>acional elev</w:t>
      </w:r>
      <w:r w:rsidR="007C17BB" w:rsidRPr="00293551">
        <w:rPr>
          <w:rFonts w:ascii="Verdana" w:hAnsi="Verdana"/>
          <w:sz w:val="20"/>
        </w:rPr>
        <w:t>ó</w:t>
      </w:r>
      <w:r w:rsidR="00443605" w:rsidRPr="00293551">
        <w:rPr>
          <w:rFonts w:ascii="Verdana" w:hAnsi="Verdana"/>
          <w:sz w:val="20"/>
        </w:rPr>
        <w:t xml:space="preserve">  </w:t>
      </w:r>
      <w:r w:rsidR="006B0F53" w:rsidRPr="00293551">
        <w:rPr>
          <w:rFonts w:ascii="Verdana" w:hAnsi="Verdana"/>
          <w:sz w:val="20"/>
        </w:rPr>
        <w:t>1.057</w:t>
      </w:r>
      <w:r w:rsidR="00B75609" w:rsidRPr="00293551">
        <w:rPr>
          <w:rFonts w:ascii="Verdana" w:hAnsi="Verdana"/>
          <w:sz w:val="20"/>
        </w:rPr>
        <w:t xml:space="preserve"> </w:t>
      </w:r>
      <w:r w:rsidR="007B122A" w:rsidRPr="00293551">
        <w:rPr>
          <w:rFonts w:ascii="Verdana" w:hAnsi="Verdana"/>
          <w:sz w:val="20"/>
        </w:rPr>
        <w:t xml:space="preserve">recursos de casación, </w:t>
      </w:r>
      <w:r w:rsidR="006B0F53" w:rsidRPr="00293551">
        <w:rPr>
          <w:rFonts w:ascii="Verdana" w:hAnsi="Verdana"/>
          <w:sz w:val="20"/>
        </w:rPr>
        <w:t>un 12,3% más que en 2016,</w:t>
      </w:r>
      <w:r w:rsidR="007B122A" w:rsidRPr="00293551">
        <w:rPr>
          <w:rFonts w:ascii="Verdana" w:hAnsi="Verdana"/>
          <w:sz w:val="20"/>
        </w:rPr>
        <w:t xml:space="preserve"> y las </w:t>
      </w:r>
      <w:r w:rsidR="00B67D16" w:rsidRPr="00293551">
        <w:rPr>
          <w:rFonts w:ascii="Verdana" w:hAnsi="Verdana"/>
          <w:sz w:val="20"/>
        </w:rPr>
        <w:t>s</w:t>
      </w:r>
      <w:r w:rsidR="007B122A" w:rsidRPr="00293551">
        <w:rPr>
          <w:rFonts w:ascii="Verdana" w:hAnsi="Verdana"/>
          <w:sz w:val="20"/>
        </w:rPr>
        <w:t xml:space="preserve">alas </w:t>
      </w:r>
      <w:r w:rsidR="00B67D16" w:rsidRPr="00293551">
        <w:rPr>
          <w:rFonts w:ascii="Verdana" w:hAnsi="Verdana"/>
          <w:sz w:val="20"/>
        </w:rPr>
        <w:t>de lo contencioso</w:t>
      </w:r>
      <w:r w:rsidRPr="00293551">
        <w:rPr>
          <w:rFonts w:ascii="Verdana" w:hAnsi="Verdana"/>
          <w:sz w:val="20"/>
        </w:rPr>
        <w:t>-</w:t>
      </w:r>
      <w:r w:rsidR="00B67D16" w:rsidRPr="00293551">
        <w:rPr>
          <w:rFonts w:ascii="Verdana" w:hAnsi="Verdana"/>
          <w:sz w:val="20"/>
        </w:rPr>
        <w:t xml:space="preserve"> administrativo de los tribunales superiores de j</w:t>
      </w:r>
      <w:r w:rsidR="007B122A" w:rsidRPr="00293551">
        <w:rPr>
          <w:rFonts w:ascii="Verdana" w:hAnsi="Verdana"/>
          <w:sz w:val="20"/>
        </w:rPr>
        <w:t xml:space="preserve">usticia elevaron </w:t>
      </w:r>
      <w:r w:rsidR="006B4EE4" w:rsidRPr="00293551">
        <w:rPr>
          <w:rFonts w:ascii="Verdana" w:hAnsi="Verdana"/>
          <w:sz w:val="20"/>
        </w:rPr>
        <w:t>6</w:t>
      </w:r>
      <w:r w:rsidR="00D962F0" w:rsidRPr="00293551">
        <w:rPr>
          <w:rFonts w:ascii="Verdana" w:hAnsi="Verdana"/>
          <w:sz w:val="20"/>
        </w:rPr>
        <w:t>.</w:t>
      </w:r>
      <w:r w:rsidR="006B4EE4" w:rsidRPr="00293551">
        <w:rPr>
          <w:rFonts w:ascii="Verdana" w:hAnsi="Verdana"/>
          <w:sz w:val="20"/>
        </w:rPr>
        <w:t>201</w:t>
      </w:r>
      <w:r w:rsidR="007B122A" w:rsidRPr="00293551">
        <w:rPr>
          <w:rFonts w:ascii="Verdana" w:hAnsi="Verdana"/>
          <w:sz w:val="20"/>
        </w:rPr>
        <w:t xml:space="preserve">, </w:t>
      </w:r>
      <w:r w:rsidR="006B0F53" w:rsidRPr="00293551">
        <w:rPr>
          <w:rFonts w:ascii="Verdana" w:hAnsi="Verdana"/>
          <w:sz w:val="20"/>
        </w:rPr>
        <w:t xml:space="preserve">con un </w:t>
      </w:r>
      <w:r w:rsidR="006B0F53" w:rsidRPr="00EA0721">
        <w:rPr>
          <w:rFonts w:ascii="Verdana" w:hAnsi="Verdana"/>
          <w:sz w:val="20"/>
        </w:rPr>
        <w:t xml:space="preserve">incremento del 159,2% respecto </w:t>
      </w:r>
      <w:r w:rsidR="006B0F53" w:rsidRPr="00293551">
        <w:rPr>
          <w:rFonts w:ascii="Verdana" w:hAnsi="Verdana"/>
          <w:sz w:val="20"/>
        </w:rPr>
        <w:t>a los elevados en 2016. El resulta</w:t>
      </w:r>
      <w:r w:rsidR="007B122A" w:rsidRPr="00293551">
        <w:rPr>
          <w:rFonts w:ascii="Verdana" w:hAnsi="Verdana"/>
          <w:sz w:val="20"/>
        </w:rPr>
        <w:t>do de los recursos devueltos en el año ha sido:</w:t>
      </w:r>
    </w:p>
    <w:tbl>
      <w:tblPr>
        <w:tblW w:w="8569" w:type="dxa"/>
        <w:jc w:val="center"/>
        <w:tblInd w:w="55" w:type="dxa"/>
        <w:tblCellMar>
          <w:left w:w="70" w:type="dxa"/>
          <w:right w:w="70" w:type="dxa"/>
        </w:tblCellMar>
        <w:tblLook w:val="04A0" w:firstRow="1" w:lastRow="0" w:firstColumn="1" w:lastColumn="0" w:noHBand="0" w:noVBand="1"/>
      </w:tblPr>
      <w:tblGrid>
        <w:gridCol w:w="3176"/>
        <w:gridCol w:w="1438"/>
        <w:gridCol w:w="1170"/>
        <w:gridCol w:w="224"/>
        <w:gridCol w:w="1465"/>
        <w:gridCol w:w="1096"/>
      </w:tblGrid>
      <w:tr w:rsidR="001645F0" w:rsidRPr="00293551" w:rsidTr="00D83F79">
        <w:trPr>
          <w:trHeight w:val="780"/>
          <w:jc w:val="center"/>
        </w:trPr>
        <w:tc>
          <w:tcPr>
            <w:tcW w:w="3176" w:type="dxa"/>
            <w:tcBorders>
              <w:top w:val="nil"/>
              <w:left w:val="nil"/>
              <w:bottom w:val="single" w:sz="8" w:space="0" w:color="auto"/>
              <w:right w:val="nil"/>
            </w:tcBorders>
            <w:shd w:val="clear" w:color="auto" w:fill="auto"/>
            <w:noWrap/>
            <w:vAlign w:val="center"/>
            <w:hideMark/>
          </w:tcPr>
          <w:p w:rsidR="001645F0" w:rsidRPr="00293551" w:rsidRDefault="001645F0">
            <w:pPr>
              <w:rPr>
                <w:rFonts w:ascii="Verdana" w:hAnsi="Verdana" w:cs="Arial"/>
                <w:color w:val="000000"/>
                <w:sz w:val="20"/>
                <w:szCs w:val="20"/>
              </w:rPr>
            </w:pPr>
            <w:r w:rsidRPr="00293551">
              <w:rPr>
                <w:rFonts w:ascii="Verdana" w:hAnsi="Verdana" w:cs="Arial"/>
                <w:color w:val="000000"/>
                <w:sz w:val="20"/>
                <w:szCs w:val="20"/>
              </w:rPr>
              <w:lastRenderedPageBreak/>
              <w:t> </w:t>
            </w:r>
          </w:p>
        </w:tc>
        <w:tc>
          <w:tcPr>
            <w:tcW w:w="1438"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18"/>
                <w:szCs w:val="18"/>
              </w:rPr>
            </w:pPr>
            <w:r w:rsidRPr="00293551">
              <w:rPr>
                <w:rFonts w:ascii="Verdana" w:hAnsi="Verdana" w:cs="Arial"/>
                <w:b/>
                <w:bCs/>
                <w:color w:val="000080"/>
                <w:sz w:val="18"/>
                <w:szCs w:val="18"/>
              </w:rPr>
              <w:t xml:space="preserve">Confirmando </w:t>
            </w:r>
          </w:p>
        </w:tc>
        <w:tc>
          <w:tcPr>
            <w:tcW w:w="1394" w:type="dxa"/>
            <w:gridSpan w:val="2"/>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18"/>
                <w:szCs w:val="18"/>
              </w:rPr>
            </w:pPr>
            <w:r w:rsidRPr="00293551">
              <w:rPr>
                <w:rFonts w:ascii="Verdana" w:hAnsi="Verdana" w:cs="Arial"/>
                <w:b/>
                <w:bCs/>
                <w:color w:val="000080"/>
                <w:sz w:val="18"/>
                <w:szCs w:val="18"/>
              </w:rPr>
              <w:t>Revocando totalmente</w:t>
            </w:r>
          </w:p>
        </w:tc>
        <w:tc>
          <w:tcPr>
            <w:tcW w:w="1465"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18"/>
                <w:szCs w:val="18"/>
              </w:rPr>
            </w:pPr>
            <w:r w:rsidRPr="00293551">
              <w:rPr>
                <w:rFonts w:ascii="Verdana" w:hAnsi="Verdana" w:cs="Arial"/>
                <w:b/>
                <w:bCs/>
                <w:color w:val="000080"/>
                <w:sz w:val="18"/>
                <w:szCs w:val="18"/>
              </w:rPr>
              <w:t>Revocando parcialmente</w:t>
            </w:r>
          </w:p>
        </w:tc>
        <w:tc>
          <w:tcPr>
            <w:tcW w:w="1096" w:type="dxa"/>
            <w:tcBorders>
              <w:top w:val="single" w:sz="8" w:space="0" w:color="auto"/>
              <w:left w:val="nil"/>
              <w:bottom w:val="single" w:sz="8" w:space="0" w:color="auto"/>
              <w:right w:val="nil"/>
            </w:tcBorders>
            <w:shd w:val="clear" w:color="auto" w:fill="auto"/>
            <w:vAlign w:val="center"/>
            <w:hideMark/>
          </w:tcPr>
          <w:p w:rsidR="001645F0" w:rsidRPr="00293551" w:rsidRDefault="001645F0">
            <w:pPr>
              <w:jc w:val="center"/>
              <w:rPr>
                <w:rFonts w:ascii="Verdana" w:hAnsi="Verdana" w:cs="Arial"/>
                <w:b/>
                <w:bCs/>
                <w:color w:val="000080"/>
                <w:sz w:val="18"/>
                <w:szCs w:val="18"/>
              </w:rPr>
            </w:pPr>
            <w:r w:rsidRPr="00293551">
              <w:rPr>
                <w:rFonts w:ascii="Verdana" w:hAnsi="Verdana" w:cs="Arial"/>
                <w:b/>
                <w:bCs/>
                <w:color w:val="000080"/>
                <w:sz w:val="18"/>
                <w:szCs w:val="18"/>
              </w:rPr>
              <w:t>Anulando</w:t>
            </w:r>
          </w:p>
        </w:tc>
      </w:tr>
      <w:tr w:rsidR="006B0F53" w:rsidRPr="00293551" w:rsidTr="00A02C39">
        <w:trPr>
          <w:trHeight w:val="437"/>
          <w:jc w:val="center"/>
        </w:trPr>
        <w:tc>
          <w:tcPr>
            <w:tcW w:w="3176" w:type="dxa"/>
            <w:tcBorders>
              <w:top w:val="nil"/>
              <w:left w:val="nil"/>
              <w:bottom w:val="nil"/>
              <w:right w:val="nil"/>
            </w:tcBorders>
            <w:shd w:val="clear" w:color="auto" w:fill="auto"/>
            <w:vAlign w:val="center"/>
            <w:hideMark/>
          </w:tcPr>
          <w:p w:rsidR="006B0F53" w:rsidRPr="00293551" w:rsidRDefault="006B0F53" w:rsidP="003D6C43">
            <w:pPr>
              <w:jc w:val="both"/>
              <w:rPr>
                <w:rFonts w:ascii="Verdana" w:hAnsi="Verdana" w:cs="Arial"/>
                <w:color w:val="000000"/>
                <w:sz w:val="18"/>
                <w:szCs w:val="18"/>
                <w:lang w:val="fr-FR"/>
              </w:rPr>
            </w:pPr>
            <w:r w:rsidRPr="00293551">
              <w:rPr>
                <w:rFonts w:ascii="Verdana" w:hAnsi="Verdana" w:cs="Arial"/>
                <w:color w:val="000000"/>
                <w:sz w:val="18"/>
                <w:szCs w:val="18"/>
                <w:lang w:val="fr-FR"/>
              </w:rPr>
              <w:t>T.S.J. Sala Cont.-administraivo</w:t>
            </w:r>
          </w:p>
        </w:tc>
        <w:tc>
          <w:tcPr>
            <w:tcW w:w="1438" w:type="dxa"/>
            <w:tcBorders>
              <w:top w:val="nil"/>
              <w:left w:val="nil"/>
              <w:bottom w:val="nil"/>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89,0</w:t>
            </w:r>
          </w:p>
        </w:tc>
        <w:tc>
          <w:tcPr>
            <w:tcW w:w="1170" w:type="dxa"/>
            <w:tcBorders>
              <w:top w:val="nil"/>
              <w:left w:val="nil"/>
              <w:bottom w:val="nil"/>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8,4</w:t>
            </w:r>
          </w:p>
        </w:tc>
        <w:tc>
          <w:tcPr>
            <w:tcW w:w="1689" w:type="dxa"/>
            <w:gridSpan w:val="2"/>
            <w:tcBorders>
              <w:top w:val="nil"/>
              <w:left w:val="nil"/>
              <w:bottom w:val="nil"/>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2,1</w:t>
            </w:r>
          </w:p>
        </w:tc>
        <w:tc>
          <w:tcPr>
            <w:tcW w:w="1096" w:type="dxa"/>
            <w:tcBorders>
              <w:top w:val="nil"/>
              <w:left w:val="nil"/>
              <w:bottom w:val="nil"/>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0,5</w:t>
            </w:r>
          </w:p>
        </w:tc>
      </w:tr>
      <w:tr w:rsidR="006B0F53" w:rsidRPr="00293551" w:rsidTr="00A02C39">
        <w:trPr>
          <w:trHeight w:val="315"/>
          <w:jc w:val="center"/>
        </w:trPr>
        <w:tc>
          <w:tcPr>
            <w:tcW w:w="3176" w:type="dxa"/>
            <w:tcBorders>
              <w:top w:val="nil"/>
              <w:left w:val="nil"/>
              <w:bottom w:val="single" w:sz="8" w:space="0" w:color="auto"/>
              <w:right w:val="nil"/>
            </w:tcBorders>
            <w:shd w:val="clear" w:color="auto" w:fill="auto"/>
            <w:vAlign w:val="center"/>
            <w:hideMark/>
          </w:tcPr>
          <w:p w:rsidR="006B0F53" w:rsidRPr="00293551" w:rsidRDefault="006B0F53" w:rsidP="009E6C91">
            <w:pPr>
              <w:jc w:val="both"/>
              <w:rPr>
                <w:rFonts w:ascii="Verdana" w:hAnsi="Verdana" w:cs="Arial"/>
                <w:color w:val="000000"/>
                <w:sz w:val="18"/>
                <w:szCs w:val="18"/>
              </w:rPr>
            </w:pPr>
            <w:r w:rsidRPr="00293551">
              <w:rPr>
                <w:rFonts w:ascii="Verdana" w:hAnsi="Verdana" w:cs="Arial"/>
                <w:color w:val="000000"/>
                <w:sz w:val="18"/>
                <w:szCs w:val="18"/>
              </w:rPr>
              <w:t>A. N. Sala Cont.-administrativo</w:t>
            </w:r>
          </w:p>
        </w:tc>
        <w:tc>
          <w:tcPr>
            <w:tcW w:w="1438" w:type="dxa"/>
            <w:tcBorders>
              <w:top w:val="nil"/>
              <w:left w:val="nil"/>
              <w:bottom w:val="single" w:sz="8" w:space="0" w:color="auto"/>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90,4</w:t>
            </w:r>
          </w:p>
        </w:tc>
        <w:tc>
          <w:tcPr>
            <w:tcW w:w="1170" w:type="dxa"/>
            <w:tcBorders>
              <w:top w:val="nil"/>
              <w:left w:val="nil"/>
              <w:bottom w:val="single" w:sz="8" w:space="0" w:color="auto"/>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7,1</w:t>
            </w:r>
          </w:p>
        </w:tc>
        <w:tc>
          <w:tcPr>
            <w:tcW w:w="1689" w:type="dxa"/>
            <w:gridSpan w:val="2"/>
            <w:tcBorders>
              <w:top w:val="nil"/>
              <w:left w:val="nil"/>
              <w:bottom w:val="single" w:sz="8" w:space="0" w:color="auto"/>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2,3</w:t>
            </w:r>
          </w:p>
        </w:tc>
        <w:tc>
          <w:tcPr>
            <w:tcW w:w="1096" w:type="dxa"/>
            <w:tcBorders>
              <w:top w:val="nil"/>
              <w:left w:val="nil"/>
              <w:bottom w:val="single" w:sz="8" w:space="0" w:color="auto"/>
              <w:right w:val="nil"/>
            </w:tcBorders>
            <w:shd w:val="clear" w:color="auto" w:fill="auto"/>
            <w:vAlign w:val="bottom"/>
            <w:hideMark/>
          </w:tcPr>
          <w:p w:rsidR="006B0F53" w:rsidRPr="00293551" w:rsidRDefault="006B0F53" w:rsidP="006B0F53">
            <w:pPr>
              <w:jc w:val="center"/>
              <w:rPr>
                <w:rFonts w:ascii="Verdana" w:hAnsi="Verdana" w:cs="Arial"/>
                <w:sz w:val="20"/>
                <w:szCs w:val="20"/>
              </w:rPr>
            </w:pPr>
            <w:r w:rsidRPr="00293551">
              <w:rPr>
                <w:rFonts w:ascii="Verdana" w:hAnsi="Verdana" w:cs="Arial"/>
                <w:sz w:val="20"/>
                <w:szCs w:val="20"/>
              </w:rPr>
              <w:t>0,1</w:t>
            </w:r>
          </w:p>
        </w:tc>
      </w:tr>
    </w:tbl>
    <w:p w:rsidR="00D51E8D" w:rsidRPr="00293551" w:rsidRDefault="00D51E8D">
      <w:pPr>
        <w:pStyle w:val="Textoindependiente"/>
        <w:spacing w:before="120" w:after="120"/>
        <w:ind w:firstLine="357"/>
        <w:rPr>
          <w:rFonts w:ascii="Verdana" w:hAnsi="Verdana"/>
        </w:rPr>
      </w:pPr>
    </w:p>
    <w:p w:rsidR="00443605" w:rsidRPr="00293551" w:rsidRDefault="00A44001">
      <w:pPr>
        <w:pStyle w:val="Textoindependiente"/>
        <w:spacing w:before="120" w:after="120"/>
        <w:ind w:firstLine="357"/>
        <w:rPr>
          <w:rFonts w:ascii="Verdana" w:hAnsi="Verdana"/>
          <w:sz w:val="20"/>
        </w:rPr>
      </w:pPr>
      <w:r w:rsidRPr="00293551">
        <w:rPr>
          <w:rFonts w:ascii="Verdana" w:hAnsi="Verdana"/>
          <w:sz w:val="20"/>
        </w:rPr>
        <w:t>Como estimación del porcentaje de sentencias recurridas, tenemos:</w:t>
      </w:r>
    </w:p>
    <w:p w:rsidR="00A44001" w:rsidRPr="00293551" w:rsidRDefault="00A44001">
      <w:pPr>
        <w:pStyle w:val="Textoindependiente"/>
        <w:spacing w:before="120" w:after="120"/>
        <w:ind w:firstLine="357"/>
        <w:rPr>
          <w:rFonts w:ascii="Verdana" w:hAnsi="Verdana"/>
          <w:sz w:val="20"/>
        </w:rPr>
      </w:pPr>
      <w:r w:rsidRPr="00293551">
        <w:rPr>
          <w:rFonts w:ascii="Verdana" w:hAnsi="Verdana"/>
          <w:sz w:val="20"/>
        </w:rPr>
        <w:t xml:space="preserve"> </w:t>
      </w:r>
    </w:p>
    <w:tbl>
      <w:tblPr>
        <w:tblW w:w="6372" w:type="dxa"/>
        <w:jc w:val="center"/>
        <w:tblInd w:w="55" w:type="dxa"/>
        <w:tblCellMar>
          <w:left w:w="70" w:type="dxa"/>
          <w:right w:w="70" w:type="dxa"/>
        </w:tblCellMar>
        <w:tblLook w:val="0000" w:firstRow="0" w:lastRow="0" w:firstColumn="0" w:lastColumn="0" w:noHBand="0" w:noVBand="0"/>
      </w:tblPr>
      <w:tblGrid>
        <w:gridCol w:w="4525"/>
        <w:gridCol w:w="246"/>
        <w:gridCol w:w="1601"/>
      </w:tblGrid>
      <w:tr w:rsidR="00A44001" w:rsidRPr="00293551" w:rsidTr="0058456A">
        <w:trPr>
          <w:trHeight w:val="944"/>
          <w:jc w:val="center"/>
        </w:trPr>
        <w:tc>
          <w:tcPr>
            <w:tcW w:w="4525" w:type="dxa"/>
            <w:tcBorders>
              <w:top w:val="nil"/>
              <w:left w:val="nil"/>
              <w:bottom w:val="nil"/>
              <w:right w:val="nil"/>
            </w:tcBorders>
            <w:shd w:val="clear" w:color="auto" w:fill="auto"/>
            <w:noWrap/>
            <w:vAlign w:val="bottom"/>
          </w:tcPr>
          <w:p w:rsidR="00A44001" w:rsidRPr="00293551" w:rsidRDefault="00A44001">
            <w:pPr>
              <w:rPr>
                <w:rFonts w:ascii="Verdana" w:hAnsi="Verdana" w:cs="Arial"/>
                <w:sz w:val="20"/>
                <w:szCs w:val="20"/>
              </w:rPr>
            </w:pPr>
          </w:p>
        </w:tc>
        <w:tc>
          <w:tcPr>
            <w:tcW w:w="1847" w:type="dxa"/>
            <w:gridSpan w:val="2"/>
            <w:tcBorders>
              <w:top w:val="single" w:sz="8" w:space="0" w:color="auto"/>
              <w:left w:val="nil"/>
              <w:bottom w:val="single" w:sz="8" w:space="0" w:color="auto"/>
              <w:right w:val="nil"/>
            </w:tcBorders>
            <w:shd w:val="clear" w:color="auto" w:fill="auto"/>
            <w:vAlign w:val="bottom"/>
          </w:tcPr>
          <w:p w:rsidR="00A44001" w:rsidRPr="00293551" w:rsidRDefault="00A44001">
            <w:pPr>
              <w:jc w:val="center"/>
              <w:rPr>
                <w:rFonts w:ascii="Verdana" w:hAnsi="Verdana" w:cs="Arial"/>
                <w:b/>
                <w:bCs/>
                <w:color w:val="000080"/>
                <w:sz w:val="20"/>
                <w:szCs w:val="20"/>
              </w:rPr>
            </w:pPr>
            <w:r w:rsidRPr="00293551">
              <w:rPr>
                <w:rFonts w:ascii="Verdana" w:hAnsi="Verdana" w:cs="Arial"/>
                <w:b/>
                <w:bCs/>
                <w:color w:val="000080"/>
                <w:sz w:val="20"/>
                <w:szCs w:val="20"/>
              </w:rPr>
              <w:t>Recursos elevados / sentencias dictadas</w:t>
            </w:r>
          </w:p>
        </w:tc>
      </w:tr>
      <w:tr w:rsidR="00270AE5" w:rsidRPr="00293551" w:rsidTr="003D6C43">
        <w:trPr>
          <w:trHeight w:val="232"/>
          <w:jc w:val="center"/>
        </w:trPr>
        <w:tc>
          <w:tcPr>
            <w:tcW w:w="4771" w:type="dxa"/>
            <w:gridSpan w:val="2"/>
            <w:tcBorders>
              <w:top w:val="single" w:sz="8" w:space="0" w:color="auto"/>
              <w:left w:val="nil"/>
              <w:bottom w:val="nil"/>
              <w:right w:val="nil"/>
            </w:tcBorders>
            <w:shd w:val="clear" w:color="auto" w:fill="auto"/>
            <w:noWrap/>
            <w:vAlign w:val="bottom"/>
          </w:tcPr>
          <w:p w:rsidR="00270AE5" w:rsidRPr="00293551" w:rsidRDefault="00270AE5">
            <w:pPr>
              <w:rPr>
                <w:rFonts w:ascii="Verdana" w:hAnsi="Verdana" w:cs="Arial"/>
                <w:sz w:val="20"/>
                <w:szCs w:val="20"/>
              </w:rPr>
            </w:pPr>
            <w:r w:rsidRPr="00293551">
              <w:rPr>
                <w:rFonts w:ascii="Verdana" w:hAnsi="Verdana" w:cs="Arial"/>
                <w:sz w:val="20"/>
                <w:szCs w:val="20"/>
              </w:rPr>
              <w:t>J</w:t>
            </w:r>
            <w:r w:rsidR="003D6C43" w:rsidRPr="00293551">
              <w:rPr>
                <w:rFonts w:ascii="Verdana" w:hAnsi="Verdana" w:cs="Arial"/>
                <w:sz w:val="20"/>
                <w:szCs w:val="20"/>
              </w:rPr>
              <w:t>dos. Contencioso-a</w:t>
            </w:r>
            <w:r w:rsidRPr="00293551">
              <w:rPr>
                <w:rFonts w:ascii="Verdana" w:hAnsi="Verdana" w:cs="Arial"/>
                <w:sz w:val="20"/>
                <w:szCs w:val="20"/>
              </w:rPr>
              <w:t>dministrativo</w:t>
            </w:r>
          </w:p>
        </w:tc>
        <w:tc>
          <w:tcPr>
            <w:tcW w:w="1601" w:type="dxa"/>
            <w:tcBorders>
              <w:top w:val="nil"/>
              <w:left w:val="nil"/>
              <w:bottom w:val="nil"/>
              <w:right w:val="nil"/>
            </w:tcBorders>
            <w:shd w:val="clear" w:color="auto" w:fill="auto"/>
            <w:noWrap/>
            <w:vAlign w:val="bottom"/>
          </w:tcPr>
          <w:p w:rsidR="00270AE5" w:rsidRPr="00293551" w:rsidRDefault="004520F6" w:rsidP="006B0F53">
            <w:pPr>
              <w:ind w:right="255"/>
              <w:jc w:val="center"/>
              <w:rPr>
                <w:rFonts w:ascii="Verdana" w:hAnsi="Verdana" w:cs="Arial"/>
                <w:sz w:val="20"/>
                <w:szCs w:val="20"/>
              </w:rPr>
            </w:pPr>
            <w:r w:rsidRPr="00293551">
              <w:rPr>
                <w:rFonts w:ascii="Verdana" w:hAnsi="Verdana" w:cs="Arial"/>
                <w:sz w:val="20"/>
                <w:szCs w:val="20"/>
              </w:rPr>
              <w:t xml:space="preserve">  </w:t>
            </w:r>
            <w:r w:rsidR="009439D9" w:rsidRPr="00293551">
              <w:rPr>
                <w:rFonts w:ascii="Verdana" w:hAnsi="Verdana" w:cs="Arial"/>
                <w:sz w:val="20"/>
                <w:szCs w:val="20"/>
              </w:rPr>
              <w:t>2</w:t>
            </w:r>
            <w:r w:rsidR="006B4EE4" w:rsidRPr="00293551">
              <w:rPr>
                <w:rFonts w:ascii="Verdana" w:hAnsi="Verdana" w:cs="Arial"/>
                <w:sz w:val="20"/>
                <w:szCs w:val="20"/>
              </w:rPr>
              <w:t>2</w:t>
            </w:r>
            <w:r w:rsidR="00B75609" w:rsidRPr="00293551">
              <w:rPr>
                <w:rFonts w:ascii="Verdana" w:hAnsi="Verdana" w:cs="Arial"/>
                <w:sz w:val="20"/>
                <w:szCs w:val="20"/>
              </w:rPr>
              <w:t>,</w:t>
            </w:r>
            <w:r w:rsidR="006B4EE4" w:rsidRPr="00293551">
              <w:rPr>
                <w:rFonts w:ascii="Verdana" w:hAnsi="Verdana" w:cs="Arial"/>
                <w:sz w:val="20"/>
                <w:szCs w:val="20"/>
              </w:rPr>
              <w:t>0</w:t>
            </w:r>
          </w:p>
        </w:tc>
      </w:tr>
      <w:tr w:rsidR="00270AE5" w:rsidRPr="00293551" w:rsidTr="003D6C43">
        <w:trPr>
          <w:trHeight w:val="232"/>
          <w:jc w:val="center"/>
        </w:trPr>
        <w:tc>
          <w:tcPr>
            <w:tcW w:w="4771" w:type="dxa"/>
            <w:gridSpan w:val="2"/>
            <w:tcBorders>
              <w:top w:val="nil"/>
              <w:left w:val="nil"/>
              <w:bottom w:val="nil"/>
              <w:right w:val="nil"/>
            </w:tcBorders>
            <w:shd w:val="clear" w:color="auto" w:fill="auto"/>
            <w:noWrap/>
            <w:vAlign w:val="bottom"/>
          </w:tcPr>
          <w:p w:rsidR="00270AE5" w:rsidRPr="00293551" w:rsidRDefault="00270AE5">
            <w:pPr>
              <w:rPr>
                <w:rFonts w:ascii="Verdana" w:hAnsi="Verdana" w:cs="Arial"/>
                <w:sz w:val="20"/>
                <w:szCs w:val="20"/>
              </w:rPr>
            </w:pPr>
            <w:r w:rsidRPr="00293551">
              <w:rPr>
                <w:rFonts w:ascii="Verdana" w:hAnsi="Verdana" w:cs="Arial"/>
                <w:sz w:val="20"/>
                <w:szCs w:val="20"/>
              </w:rPr>
              <w:t>Jdo. Central Contencioso</w:t>
            </w:r>
            <w:r w:rsidR="003D6C43" w:rsidRPr="00293551">
              <w:rPr>
                <w:rFonts w:ascii="Verdana" w:hAnsi="Verdana" w:cs="Arial"/>
                <w:sz w:val="20"/>
                <w:szCs w:val="20"/>
              </w:rPr>
              <w:t>-administrativo</w:t>
            </w:r>
          </w:p>
        </w:tc>
        <w:tc>
          <w:tcPr>
            <w:tcW w:w="1601" w:type="dxa"/>
            <w:tcBorders>
              <w:top w:val="nil"/>
              <w:left w:val="nil"/>
              <w:bottom w:val="nil"/>
              <w:right w:val="nil"/>
            </w:tcBorders>
            <w:shd w:val="clear" w:color="auto" w:fill="auto"/>
            <w:noWrap/>
            <w:vAlign w:val="center"/>
          </w:tcPr>
          <w:p w:rsidR="00270AE5" w:rsidRPr="00293551" w:rsidRDefault="004520F6" w:rsidP="006B0F53">
            <w:pPr>
              <w:ind w:right="255"/>
              <w:jc w:val="center"/>
              <w:rPr>
                <w:rFonts w:ascii="Verdana" w:hAnsi="Verdana" w:cs="Arial"/>
                <w:sz w:val="20"/>
                <w:szCs w:val="20"/>
              </w:rPr>
            </w:pPr>
            <w:r w:rsidRPr="00293551">
              <w:rPr>
                <w:rFonts w:ascii="Verdana" w:hAnsi="Verdana" w:cs="Arial"/>
                <w:sz w:val="20"/>
                <w:szCs w:val="20"/>
              </w:rPr>
              <w:t xml:space="preserve">  </w:t>
            </w:r>
            <w:r w:rsidR="00CC7579" w:rsidRPr="00293551">
              <w:rPr>
                <w:rFonts w:ascii="Verdana" w:hAnsi="Verdana" w:cs="Arial"/>
                <w:sz w:val="20"/>
                <w:szCs w:val="20"/>
              </w:rPr>
              <w:t>2</w:t>
            </w:r>
            <w:r w:rsidR="006B0F53" w:rsidRPr="00293551">
              <w:rPr>
                <w:rFonts w:ascii="Verdana" w:hAnsi="Verdana" w:cs="Arial"/>
                <w:sz w:val="20"/>
                <w:szCs w:val="20"/>
              </w:rPr>
              <w:t>0</w:t>
            </w:r>
            <w:r w:rsidR="00270AE5" w:rsidRPr="00293551">
              <w:rPr>
                <w:rFonts w:ascii="Verdana" w:hAnsi="Verdana" w:cs="Arial"/>
                <w:sz w:val="20"/>
                <w:szCs w:val="20"/>
              </w:rPr>
              <w:t>,</w:t>
            </w:r>
            <w:r w:rsidR="006B0F53" w:rsidRPr="00293551">
              <w:rPr>
                <w:rFonts w:ascii="Verdana" w:hAnsi="Verdana" w:cs="Arial"/>
                <w:sz w:val="20"/>
                <w:szCs w:val="20"/>
              </w:rPr>
              <w:t>7</w:t>
            </w:r>
          </w:p>
        </w:tc>
      </w:tr>
      <w:tr w:rsidR="00CC7579" w:rsidRPr="00293551" w:rsidTr="00CC7579">
        <w:trPr>
          <w:trHeight w:val="232"/>
          <w:jc w:val="center"/>
        </w:trPr>
        <w:tc>
          <w:tcPr>
            <w:tcW w:w="4771" w:type="dxa"/>
            <w:gridSpan w:val="2"/>
            <w:tcBorders>
              <w:top w:val="nil"/>
              <w:left w:val="nil"/>
              <w:right w:val="nil"/>
            </w:tcBorders>
            <w:shd w:val="clear" w:color="auto" w:fill="auto"/>
            <w:noWrap/>
            <w:vAlign w:val="bottom"/>
          </w:tcPr>
          <w:p w:rsidR="00CC7579" w:rsidRPr="00293551" w:rsidRDefault="00CC7579" w:rsidP="00FB0811">
            <w:pPr>
              <w:rPr>
                <w:rFonts w:ascii="Verdana" w:hAnsi="Verdana" w:cs="Arial"/>
                <w:sz w:val="20"/>
                <w:szCs w:val="20"/>
              </w:rPr>
            </w:pPr>
            <w:r w:rsidRPr="00293551">
              <w:rPr>
                <w:rFonts w:ascii="Verdana" w:hAnsi="Verdana" w:cs="Arial"/>
                <w:sz w:val="20"/>
                <w:szCs w:val="20"/>
              </w:rPr>
              <w:t>T.S.J. Sala Contencioso-administrativo</w:t>
            </w:r>
          </w:p>
        </w:tc>
        <w:tc>
          <w:tcPr>
            <w:tcW w:w="1601" w:type="dxa"/>
            <w:tcBorders>
              <w:top w:val="nil"/>
              <w:left w:val="nil"/>
              <w:right w:val="nil"/>
            </w:tcBorders>
            <w:shd w:val="clear" w:color="auto" w:fill="auto"/>
            <w:noWrap/>
            <w:vAlign w:val="center"/>
          </w:tcPr>
          <w:p w:rsidR="00CC7579" w:rsidRPr="00293551" w:rsidRDefault="004520F6" w:rsidP="006B4EE4">
            <w:pPr>
              <w:ind w:right="255"/>
              <w:jc w:val="center"/>
              <w:rPr>
                <w:rFonts w:ascii="Verdana" w:hAnsi="Verdana" w:cs="Arial"/>
                <w:sz w:val="20"/>
                <w:szCs w:val="20"/>
              </w:rPr>
            </w:pPr>
            <w:r w:rsidRPr="00293551">
              <w:rPr>
                <w:rFonts w:ascii="Verdana" w:hAnsi="Verdana" w:cs="Arial"/>
                <w:sz w:val="20"/>
                <w:szCs w:val="20"/>
              </w:rPr>
              <w:t xml:space="preserve"> </w:t>
            </w:r>
            <w:r w:rsidR="006B4EE4" w:rsidRPr="00293551">
              <w:rPr>
                <w:rFonts w:ascii="Verdana" w:hAnsi="Verdana" w:cs="Arial"/>
                <w:sz w:val="20"/>
                <w:szCs w:val="20"/>
              </w:rPr>
              <w:t>13</w:t>
            </w:r>
            <w:r w:rsidR="00CC7579" w:rsidRPr="00293551">
              <w:rPr>
                <w:rFonts w:ascii="Verdana" w:hAnsi="Verdana" w:cs="Arial"/>
                <w:sz w:val="20"/>
                <w:szCs w:val="20"/>
              </w:rPr>
              <w:t>,</w:t>
            </w:r>
            <w:r w:rsidR="006B4EE4" w:rsidRPr="00293551">
              <w:rPr>
                <w:rFonts w:ascii="Verdana" w:hAnsi="Verdana" w:cs="Arial"/>
                <w:sz w:val="20"/>
                <w:szCs w:val="20"/>
              </w:rPr>
              <w:t>7</w:t>
            </w:r>
          </w:p>
        </w:tc>
      </w:tr>
      <w:tr w:rsidR="00CC7579" w:rsidRPr="00293551" w:rsidTr="00CC7579">
        <w:trPr>
          <w:trHeight w:val="232"/>
          <w:jc w:val="center"/>
        </w:trPr>
        <w:tc>
          <w:tcPr>
            <w:tcW w:w="4771" w:type="dxa"/>
            <w:gridSpan w:val="2"/>
            <w:tcBorders>
              <w:top w:val="nil"/>
              <w:left w:val="nil"/>
              <w:bottom w:val="single" w:sz="4" w:space="0" w:color="auto"/>
              <w:right w:val="nil"/>
            </w:tcBorders>
            <w:shd w:val="clear" w:color="auto" w:fill="auto"/>
            <w:noWrap/>
            <w:vAlign w:val="bottom"/>
          </w:tcPr>
          <w:p w:rsidR="00CC7579" w:rsidRPr="00293551" w:rsidRDefault="00CC7579">
            <w:pPr>
              <w:rPr>
                <w:rFonts w:ascii="Verdana" w:hAnsi="Verdana" w:cs="Arial"/>
                <w:sz w:val="20"/>
                <w:szCs w:val="20"/>
              </w:rPr>
            </w:pPr>
            <w:r w:rsidRPr="00293551">
              <w:rPr>
                <w:rFonts w:ascii="Verdana" w:hAnsi="Verdana" w:cs="Arial"/>
                <w:sz w:val="20"/>
                <w:szCs w:val="20"/>
              </w:rPr>
              <w:t xml:space="preserve">A. Nacional Sala Contencioso-administrativo </w:t>
            </w:r>
          </w:p>
        </w:tc>
        <w:tc>
          <w:tcPr>
            <w:tcW w:w="1601" w:type="dxa"/>
            <w:tcBorders>
              <w:top w:val="nil"/>
              <w:left w:val="nil"/>
              <w:bottom w:val="single" w:sz="4" w:space="0" w:color="auto"/>
              <w:right w:val="nil"/>
            </w:tcBorders>
            <w:shd w:val="clear" w:color="auto" w:fill="auto"/>
            <w:noWrap/>
            <w:vAlign w:val="center"/>
          </w:tcPr>
          <w:p w:rsidR="00CC7579" w:rsidRPr="00293551" w:rsidRDefault="006B0F53" w:rsidP="006B0F53">
            <w:pPr>
              <w:ind w:right="255"/>
              <w:jc w:val="center"/>
              <w:rPr>
                <w:rFonts w:ascii="Verdana" w:hAnsi="Verdana" w:cs="Arial"/>
                <w:sz w:val="20"/>
                <w:szCs w:val="20"/>
              </w:rPr>
            </w:pPr>
            <w:r w:rsidRPr="00293551">
              <w:rPr>
                <w:rFonts w:ascii="Verdana" w:hAnsi="Verdana" w:cs="Arial"/>
                <w:sz w:val="20"/>
                <w:szCs w:val="20"/>
              </w:rPr>
              <w:t xml:space="preserve"> </w:t>
            </w:r>
            <w:r w:rsidR="00CC7579" w:rsidRPr="00293551">
              <w:rPr>
                <w:rFonts w:ascii="Verdana" w:hAnsi="Verdana" w:cs="Arial"/>
                <w:sz w:val="20"/>
                <w:szCs w:val="20"/>
              </w:rPr>
              <w:t>2</w:t>
            </w:r>
            <w:r w:rsidRPr="00293551">
              <w:rPr>
                <w:rFonts w:ascii="Verdana" w:hAnsi="Verdana" w:cs="Arial"/>
                <w:sz w:val="20"/>
                <w:szCs w:val="20"/>
              </w:rPr>
              <w:t>2</w:t>
            </w:r>
            <w:r w:rsidR="00CC7579" w:rsidRPr="00293551">
              <w:rPr>
                <w:rFonts w:ascii="Verdana" w:hAnsi="Verdana" w:cs="Arial"/>
                <w:sz w:val="20"/>
                <w:szCs w:val="20"/>
              </w:rPr>
              <w:t>,</w:t>
            </w:r>
            <w:r w:rsidRPr="00293551">
              <w:rPr>
                <w:rFonts w:ascii="Verdana" w:hAnsi="Verdana" w:cs="Arial"/>
                <w:sz w:val="20"/>
                <w:szCs w:val="20"/>
              </w:rPr>
              <w:t>9</w:t>
            </w:r>
          </w:p>
        </w:tc>
      </w:tr>
    </w:tbl>
    <w:p w:rsidR="002B21AB" w:rsidRPr="00293551" w:rsidRDefault="002B21AB">
      <w:pPr>
        <w:pStyle w:val="Textoindependiente"/>
        <w:spacing w:before="120" w:after="120"/>
        <w:ind w:firstLine="357"/>
        <w:rPr>
          <w:rFonts w:ascii="Verdana" w:hAnsi="Verdana"/>
          <w:sz w:val="20"/>
          <w:lang w:val="es-ES_tradnl"/>
        </w:rPr>
      </w:pPr>
    </w:p>
    <w:p w:rsidR="00116C8B" w:rsidRPr="00293551" w:rsidRDefault="0026555A" w:rsidP="00116C8B">
      <w:pPr>
        <w:pStyle w:val="Textoindependiente"/>
        <w:spacing w:before="120" w:after="120"/>
        <w:ind w:firstLine="357"/>
        <w:rPr>
          <w:rFonts w:ascii="Verdana" w:hAnsi="Verdana"/>
          <w:sz w:val="20"/>
        </w:rPr>
      </w:pPr>
      <w:r w:rsidRPr="00293551">
        <w:rPr>
          <w:rFonts w:ascii="Verdana" w:hAnsi="Verdana"/>
          <w:sz w:val="20"/>
        </w:rPr>
        <w:t>S</w:t>
      </w:r>
      <w:r w:rsidR="00EB76B9" w:rsidRPr="00293551">
        <w:rPr>
          <w:rFonts w:ascii="Verdana" w:hAnsi="Verdana"/>
          <w:sz w:val="20"/>
        </w:rPr>
        <w:t>e ha observado</w:t>
      </w:r>
      <w:r w:rsidR="00653FC7" w:rsidRPr="00293551">
        <w:rPr>
          <w:rFonts w:ascii="Verdana" w:hAnsi="Verdana"/>
          <w:sz w:val="20"/>
        </w:rPr>
        <w:t xml:space="preserve"> </w:t>
      </w:r>
      <w:r w:rsidR="003D6026" w:rsidRPr="00293551">
        <w:rPr>
          <w:rFonts w:ascii="Verdana" w:hAnsi="Verdana"/>
          <w:sz w:val="20"/>
        </w:rPr>
        <w:t>un importantísimo incremento en los tribunales superiores de justicia, del 169,1</w:t>
      </w:r>
      <w:r w:rsidR="00116C8B" w:rsidRPr="00293551">
        <w:rPr>
          <w:rFonts w:ascii="Verdana" w:hAnsi="Verdana"/>
          <w:sz w:val="20"/>
        </w:rPr>
        <w:t>%</w:t>
      </w:r>
      <w:r w:rsidR="003D6026" w:rsidRPr="00293551">
        <w:rPr>
          <w:rFonts w:ascii="Verdana" w:hAnsi="Verdana"/>
          <w:sz w:val="20"/>
        </w:rPr>
        <w:t xml:space="preserve">, provocado por el </w:t>
      </w:r>
      <w:r w:rsidR="002F644C" w:rsidRPr="00293551">
        <w:rPr>
          <w:rFonts w:ascii="Verdana" w:hAnsi="Verdana"/>
          <w:sz w:val="20"/>
        </w:rPr>
        <w:t>incremento de</w:t>
      </w:r>
      <w:r w:rsidR="00116C8B" w:rsidRPr="00293551">
        <w:rPr>
          <w:rFonts w:ascii="Verdana" w:hAnsi="Verdana"/>
          <w:sz w:val="20"/>
        </w:rPr>
        <w:t xml:space="preserve"> los recursos elevados. </w:t>
      </w:r>
      <w:r w:rsidR="002F644C" w:rsidRPr="00293551">
        <w:rPr>
          <w:rFonts w:ascii="Verdana" w:hAnsi="Verdana"/>
          <w:sz w:val="20"/>
        </w:rPr>
        <w:t xml:space="preserve">También ha aumentado en la Sala de lo contencioso-administrativo de la Audiencia Nacional, el 12,3%; y en los juzgados de lo contencioso administrativo, el 8,8%. </w:t>
      </w:r>
      <w:r w:rsidR="00116C8B" w:rsidRPr="00293551">
        <w:rPr>
          <w:rFonts w:ascii="Verdana" w:hAnsi="Verdana"/>
          <w:sz w:val="20"/>
        </w:rPr>
        <w:t>Por el contrario ha disminuido en los juzgados centrales de lo contencioso, el 2,9%.</w:t>
      </w:r>
    </w:p>
    <w:p w:rsidR="00116C8B" w:rsidRPr="00293551" w:rsidRDefault="00116C8B" w:rsidP="00116C8B">
      <w:pPr>
        <w:pStyle w:val="Textoindependiente"/>
        <w:spacing w:before="120" w:after="120"/>
        <w:rPr>
          <w:rFonts w:ascii="Verdana" w:hAnsi="Verdana"/>
          <w:sz w:val="20"/>
        </w:rPr>
      </w:pPr>
    </w:p>
    <w:p w:rsidR="00127A59" w:rsidRPr="00293551" w:rsidRDefault="00127A59" w:rsidP="00127A59">
      <w:pPr>
        <w:pStyle w:val="Textoindependiente"/>
        <w:spacing w:before="120" w:after="120"/>
        <w:ind w:firstLine="357"/>
        <w:rPr>
          <w:rFonts w:ascii="Verdana" w:hAnsi="Verdana"/>
        </w:rPr>
      </w:pPr>
      <w:r w:rsidRPr="00293551">
        <w:rPr>
          <w:rFonts w:ascii="Verdana" w:hAnsi="Verdana"/>
          <w:sz w:val="20"/>
        </w:rPr>
        <w:t xml:space="preserve">Respecto a los </w:t>
      </w:r>
      <w:r w:rsidRPr="00293551">
        <w:rPr>
          <w:rFonts w:ascii="Verdana" w:hAnsi="Verdana"/>
          <w:b/>
          <w:sz w:val="20"/>
        </w:rPr>
        <w:t>recursos de revisión contra los decretos</w:t>
      </w:r>
      <w:r w:rsidRPr="00293551">
        <w:rPr>
          <w:rFonts w:ascii="Verdana" w:hAnsi="Verdana"/>
          <w:sz w:val="20"/>
        </w:rPr>
        <w:t xml:space="preserve"> de los </w:t>
      </w:r>
      <w:r w:rsidR="00483315" w:rsidRPr="00293551">
        <w:rPr>
          <w:rFonts w:ascii="Verdana" w:hAnsi="Verdana"/>
          <w:sz w:val="20"/>
        </w:rPr>
        <w:t>letrados de la administración de justicia</w:t>
      </w:r>
      <w:r w:rsidRPr="00293551">
        <w:rPr>
          <w:rFonts w:ascii="Verdana" w:hAnsi="Verdana"/>
          <w:sz w:val="20"/>
        </w:rPr>
        <w:t xml:space="preserve"> tenemos los siguientes datos:</w:t>
      </w:r>
    </w:p>
    <w:p w:rsidR="00837D71" w:rsidRPr="00293551" w:rsidRDefault="003C2AEE" w:rsidP="00837D71">
      <w:pPr>
        <w:autoSpaceDE w:val="0"/>
        <w:autoSpaceDN w:val="0"/>
        <w:adjustRightInd w:val="0"/>
        <w:jc w:val="center"/>
        <w:rPr>
          <w:rFonts w:ascii="Verdana" w:hAnsi="Verdana"/>
        </w:rPr>
      </w:pPr>
      <w:r w:rsidRPr="00293551">
        <w:rPr>
          <w:rFonts w:ascii="Verdana" w:hAnsi="Verdana"/>
        </w:rPr>
        <w:t xml:space="preserve">  </w:t>
      </w:r>
    </w:p>
    <w:tbl>
      <w:tblPr>
        <w:tblW w:w="7217" w:type="dxa"/>
        <w:jc w:val="center"/>
        <w:tblInd w:w="55" w:type="dxa"/>
        <w:tblCellMar>
          <w:left w:w="70" w:type="dxa"/>
          <w:right w:w="70" w:type="dxa"/>
        </w:tblCellMar>
        <w:tblLook w:val="0000" w:firstRow="0" w:lastRow="0" w:firstColumn="0" w:lastColumn="0" w:noHBand="0" w:noVBand="0"/>
      </w:tblPr>
      <w:tblGrid>
        <w:gridCol w:w="3812"/>
        <w:gridCol w:w="1809"/>
        <w:gridCol w:w="1596"/>
      </w:tblGrid>
      <w:tr w:rsidR="00696675" w:rsidRPr="00293551" w:rsidTr="0058456A">
        <w:trPr>
          <w:trHeight w:val="1108"/>
          <w:jc w:val="center"/>
        </w:trPr>
        <w:tc>
          <w:tcPr>
            <w:tcW w:w="3812" w:type="dxa"/>
            <w:tcBorders>
              <w:top w:val="nil"/>
              <w:left w:val="nil"/>
              <w:bottom w:val="single" w:sz="8" w:space="0" w:color="auto"/>
              <w:right w:val="nil"/>
            </w:tcBorders>
            <w:shd w:val="clear" w:color="auto" w:fill="auto"/>
            <w:noWrap/>
            <w:vAlign w:val="bottom"/>
          </w:tcPr>
          <w:p w:rsidR="00696675" w:rsidRPr="00293551" w:rsidRDefault="00696675">
            <w:pPr>
              <w:jc w:val="center"/>
              <w:rPr>
                <w:rFonts w:ascii="Verdana" w:hAnsi="Verdana" w:cs="Arial"/>
                <w:b/>
                <w:bCs/>
                <w:color w:val="000080"/>
                <w:sz w:val="20"/>
                <w:szCs w:val="20"/>
              </w:rPr>
            </w:pPr>
            <w:r w:rsidRPr="00293551">
              <w:rPr>
                <w:rFonts w:ascii="Verdana" w:hAnsi="Verdana" w:cs="Arial"/>
                <w:b/>
                <w:bCs/>
                <w:color w:val="000080"/>
                <w:sz w:val="20"/>
                <w:szCs w:val="20"/>
              </w:rPr>
              <w:t> </w:t>
            </w:r>
          </w:p>
        </w:tc>
        <w:tc>
          <w:tcPr>
            <w:tcW w:w="1809" w:type="dxa"/>
            <w:tcBorders>
              <w:top w:val="single" w:sz="8" w:space="0" w:color="auto"/>
              <w:left w:val="nil"/>
              <w:bottom w:val="single" w:sz="8" w:space="0" w:color="auto"/>
              <w:right w:val="nil"/>
            </w:tcBorders>
            <w:shd w:val="clear" w:color="auto" w:fill="auto"/>
            <w:vAlign w:val="center"/>
          </w:tcPr>
          <w:p w:rsidR="00696675" w:rsidRPr="00293551" w:rsidRDefault="00696675">
            <w:pPr>
              <w:jc w:val="center"/>
              <w:rPr>
                <w:rFonts w:ascii="Verdana" w:hAnsi="Verdana" w:cs="Arial"/>
                <w:b/>
                <w:bCs/>
                <w:color w:val="000080"/>
                <w:sz w:val="18"/>
                <w:szCs w:val="18"/>
              </w:rPr>
            </w:pPr>
            <w:r w:rsidRPr="00293551">
              <w:rPr>
                <w:rFonts w:ascii="Verdana" w:hAnsi="Verdana" w:cs="Arial"/>
                <w:b/>
                <w:bCs/>
                <w:color w:val="000080"/>
                <w:sz w:val="18"/>
                <w:szCs w:val="18"/>
              </w:rPr>
              <w:t>Porcentaje de recursos de revisión devueltos confirmando</w:t>
            </w:r>
          </w:p>
        </w:tc>
        <w:tc>
          <w:tcPr>
            <w:tcW w:w="1596" w:type="dxa"/>
            <w:tcBorders>
              <w:top w:val="single" w:sz="8" w:space="0" w:color="auto"/>
              <w:left w:val="nil"/>
              <w:bottom w:val="single" w:sz="8" w:space="0" w:color="auto"/>
              <w:right w:val="nil"/>
            </w:tcBorders>
            <w:shd w:val="clear" w:color="auto" w:fill="auto"/>
            <w:vAlign w:val="center"/>
          </w:tcPr>
          <w:p w:rsidR="00696675" w:rsidRPr="00293551" w:rsidRDefault="00696675" w:rsidP="0051045B">
            <w:pPr>
              <w:jc w:val="center"/>
              <w:rPr>
                <w:rFonts w:ascii="Verdana" w:hAnsi="Verdana" w:cs="Arial"/>
                <w:b/>
                <w:bCs/>
                <w:color w:val="000080"/>
                <w:sz w:val="18"/>
                <w:szCs w:val="18"/>
              </w:rPr>
            </w:pPr>
            <w:r w:rsidRPr="00293551">
              <w:rPr>
                <w:rFonts w:ascii="Verdana" w:hAnsi="Verdana" w:cs="Arial"/>
                <w:b/>
                <w:bCs/>
                <w:color w:val="000080"/>
                <w:sz w:val="18"/>
                <w:szCs w:val="18"/>
              </w:rPr>
              <w:t>Recursos de revisión ingresados / decretos finales</w:t>
            </w:r>
          </w:p>
        </w:tc>
      </w:tr>
      <w:tr w:rsidR="00FB0811" w:rsidRPr="00293551" w:rsidTr="0058456A">
        <w:trPr>
          <w:trHeight w:val="233"/>
          <w:jc w:val="center"/>
        </w:trPr>
        <w:tc>
          <w:tcPr>
            <w:tcW w:w="3812" w:type="dxa"/>
            <w:tcBorders>
              <w:top w:val="nil"/>
              <w:left w:val="nil"/>
              <w:bottom w:val="nil"/>
              <w:right w:val="nil"/>
            </w:tcBorders>
            <w:shd w:val="clear" w:color="auto" w:fill="auto"/>
            <w:vAlign w:val="bottom"/>
          </w:tcPr>
          <w:p w:rsidR="00696675" w:rsidRPr="00293551" w:rsidRDefault="00696675">
            <w:pPr>
              <w:rPr>
                <w:rFonts w:ascii="Verdana" w:hAnsi="Verdana" w:cs="Arial"/>
                <w:sz w:val="20"/>
                <w:szCs w:val="20"/>
              </w:rPr>
            </w:pPr>
            <w:r w:rsidRPr="00293551">
              <w:rPr>
                <w:rFonts w:ascii="Verdana" w:hAnsi="Verdana" w:cs="Arial"/>
                <w:sz w:val="20"/>
                <w:szCs w:val="20"/>
              </w:rPr>
              <w:t>Jdos Cont.-</w:t>
            </w:r>
            <w:r w:rsidR="003D6C43" w:rsidRPr="00293551">
              <w:rPr>
                <w:rFonts w:ascii="Verdana" w:hAnsi="Verdana" w:cs="Arial"/>
                <w:sz w:val="20"/>
                <w:szCs w:val="20"/>
              </w:rPr>
              <w:t>a</w:t>
            </w:r>
            <w:r w:rsidR="00DA006C" w:rsidRPr="00293551">
              <w:rPr>
                <w:rFonts w:ascii="Verdana" w:hAnsi="Verdana" w:cs="Arial"/>
                <w:sz w:val="20"/>
                <w:szCs w:val="20"/>
              </w:rPr>
              <w:t>dministrativo</w:t>
            </w:r>
            <w:r w:rsidRPr="00293551">
              <w:rPr>
                <w:rFonts w:ascii="Verdana" w:hAnsi="Verdana" w:cs="Arial"/>
                <w:sz w:val="20"/>
                <w:szCs w:val="20"/>
              </w:rPr>
              <w:t xml:space="preserve">                               </w:t>
            </w:r>
          </w:p>
        </w:tc>
        <w:tc>
          <w:tcPr>
            <w:tcW w:w="1809" w:type="dxa"/>
            <w:tcBorders>
              <w:top w:val="nil"/>
              <w:left w:val="nil"/>
              <w:bottom w:val="nil"/>
              <w:right w:val="nil"/>
            </w:tcBorders>
            <w:shd w:val="clear" w:color="auto" w:fill="auto"/>
            <w:noWrap/>
            <w:vAlign w:val="bottom"/>
          </w:tcPr>
          <w:p w:rsidR="00696675" w:rsidRPr="00293551" w:rsidRDefault="00CB5D96" w:rsidP="00CB5D96">
            <w:pPr>
              <w:jc w:val="right"/>
              <w:rPr>
                <w:rFonts w:ascii="Verdana" w:hAnsi="Verdana" w:cs="Arial"/>
                <w:sz w:val="20"/>
                <w:szCs w:val="20"/>
              </w:rPr>
            </w:pPr>
            <w:r w:rsidRPr="00293551">
              <w:rPr>
                <w:rFonts w:ascii="Verdana" w:hAnsi="Verdana" w:cs="Arial"/>
                <w:sz w:val="20"/>
                <w:szCs w:val="20"/>
              </w:rPr>
              <w:t>79</w:t>
            </w:r>
            <w:r w:rsidR="00696675" w:rsidRPr="00293551">
              <w:rPr>
                <w:rFonts w:ascii="Verdana" w:hAnsi="Verdana" w:cs="Arial"/>
                <w:sz w:val="20"/>
                <w:szCs w:val="20"/>
              </w:rPr>
              <w:t>,</w:t>
            </w:r>
            <w:r w:rsidRPr="00293551">
              <w:rPr>
                <w:rFonts w:ascii="Verdana" w:hAnsi="Verdana" w:cs="Arial"/>
                <w:sz w:val="20"/>
                <w:szCs w:val="20"/>
              </w:rPr>
              <w:t>1</w:t>
            </w:r>
            <w:r w:rsidR="00696675" w:rsidRPr="00293551">
              <w:rPr>
                <w:rFonts w:ascii="Verdana" w:hAnsi="Verdana" w:cs="Arial"/>
                <w:sz w:val="20"/>
                <w:szCs w:val="20"/>
              </w:rPr>
              <w:t>%</w:t>
            </w:r>
          </w:p>
        </w:tc>
        <w:tc>
          <w:tcPr>
            <w:tcW w:w="1596" w:type="dxa"/>
            <w:tcBorders>
              <w:top w:val="nil"/>
              <w:left w:val="nil"/>
              <w:bottom w:val="nil"/>
              <w:right w:val="nil"/>
            </w:tcBorders>
            <w:shd w:val="clear" w:color="auto" w:fill="auto"/>
            <w:noWrap/>
            <w:vAlign w:val="bottom"/>
          </w:tcPr>
          <w:p w:rsidR="00696675" w:rsidRPr="00293551" w:rsidRDefault="00CB5D96" w:rsidP="00CB5D96">
            <w:pPr>
              <w:jc w:val="right"/>
              <w:rPr>
                <w:rFonts w:ascii="Verdana" w:hAnsi="Verdana" w:cs="Arial"/>
                <w:sz w:val="20"/>
                <w:szCs w:val="20"/>
              </w:rPr>
            </w:pPr>
            <w:r w:rsidRPr="00293551">
              <w:rPr>
                <w:rFonts w:ascii="Verdana" w:hAnsi="Verdana" w:cs="Arial"/>
                <w:sz w:val="20"/>
                <w:szCs w:val="20"/>
              </w:rPr>
              <w:t>3</w:t>
            </w:r>
            <w:r w:rsidR="00696675" w:rsidRPr="00293551">
              <w:rPr>
                <w:rFonts w:ascii="Verdana" w:hAnsi="Verdana" w:cs="Arial"/>
                <w:sz w:val="20"/>
                <w:szCs w:val="20"/>
              </w:rPr>
              <w:t>,</w:t>
            </w:r>
            <w:r w:rsidRPr="00293551">
              <w:rPr>
                <w:rFonts w:ascii="Verdana" w:hAnsi="Verdana" w:cs="Arial"/>
                <w:sz w:val="20"/>
                <w:szCs w:val="20"/>
              </w:rPr>
              <w:t>0</w:t>
            </w:r>
            <w:r w:rsidR="00696675" w:rsidRPr="00293551">
              <w:rPr>
                <w:rFonts w:ascii="Verdana" w:hAnsi="Verdana" w:cs="Arial"/>
                <w:sz w:val="20"/>
                <w:szCs w:val="20"/>
              </w:rPr>
              <w:t>%</w:t>
            </w:r>
          </w:p>
        </w:tc>
      </w:tr>
      <w:tr w:rsidR="00696675" w:rsidRPr="00293551" w:rsidTr="0058456A">
        <w:trPr>
          <w:trHeight w:val="233"/>
          <w:jc w:val="center"/>
        </w:trPr>
        <w:tc>
          <w:tcPr>
            <w:tcW w:w="3812" w:type="dxa"/>
            <w:tcBorders>
              <w:top w:val="nil"/>
              <w:left w:val="nil"/>
              <w:bottom w:val="nil"/>
              <w:right w:val="nil"/>
            </w:tcBorders>
            <w:shd w:val="clear" w:color="auto" w:fill="auto"/>
            <w:vAlign w:val="bottom"/>
          </w:tcPr>
          <w:p w:rsidR="00696675" w:rsidRPr="00293551" w:rsidRDefault="00696675">
            <w:pPr>
              <w:rPr>
                <w:rFonts w:ascii="Verdana" w:hAnsi="Verdana" w:cs="Arial"/>
                <w:sz w:val="20"/>
                <w:szCs w:val="20"/>
              </w:rPr>
            </w:pPr>
            <w:r w:rsidRPr="00293551">
              <w:rPr>
                <w:rFonts w:ascii="Verdana" w:hAnsi="Verdana" w:cs="Arial"/>
                <w:sz w:val="20"/>
                <w:szCs w:val="20"/>
              </w:rPr>
              <w:t>Jdos Central Cont.-</w:t>
            </w:r>
            <w:r w:rsidR="003D6C43" w:rsidRPr="00293551">
              <w:rPr>
                <w:rFonts w:ascii="Verdana" w:hAnsi="Verdana" w:cs="Arial"/>
                <w:sz w:val="20"/>
                <w:szCs w:val="20"/>
              </w:rPr>
              <w:t>a</w:t>
            </w:r>
            <w:r w:rsidR="00DA006C" w:rsidRPr="00293551">
              <w:rPr>
                <w:rFonts w:ascii="Verdana" w:hAnsi="Verdana" w:cs="Arial"/>
                <w:sz w:val="20"/>
                <w:szCs w:val="20"/>
              </w:rPr>
              <w:t>dministrativo</w:t>
            </w:r>
            <w:r w:rsidRPr="00293551">
              <w:rPr>
                <w:rFonts w:ascii="Verdana" w:hAnsi="Verdana" w:cs="Arial"/>
                <w:sz w:val="20"/>
                <w:szCs w:val="20"/>
              </w:rPr>
              <w:t xml:space="preserve">   </w:t>
            </w:r>
          </w:p>
        </w:tc>
        <w:tc>
          <w:tcPr>
            <w:tcW w:w="1809" w:type="dxa"/>
            <w:tcBorders>
              <w:top w:val="nil"/>
              <w:left w:val="nil"/>
              <w:bottom w:val="nil"/>
              <w:right w:val="nil"/>
            </w:tcBorders>
            <w:shd w:val="clear" w:color="auto" w:fill="auto"/>
            <w:noWrap/>
            <w:vAlign w:val="bottom"/>
          </w:tcPr>
          <w:p w:rsidR="00696675" w:rsidRPr="00293551" w:rsidRDefault="00CB5D96" w:rsidP="00CB5D96">
            <w:pPr>
              <w:jc w:val="right"/>
              <w:rPr>
                <w:rFonts w:ascii="Verdana" w:hAnsi="Verdana" w:cs="Arial"/>
                <w:sz w:val="20"/>
                <w:szCs w:val="20"/>
              </w:rPr>
            </w:pPr>
            <w:r w:rsidRPr="00293551">
              <w:rPr>
                <w:rFonts w:ascii="Verdana" w:hAnsi="Verdana" w:cs="Arial"/>
                <w:sz w:val="20"/>
                <w:szCs w:val="20"/>
              </w:rPr>
              <w:t>81</w:t>
            </w:r>
            <w:r w:rsidR="00696675" w:rsidRPr="00293551">
              <w:rPr>
                <w:rFonts w:ascii="Verdana" w:hAnsi="Verdana" w:cs="Arial"/>
                <w:sz w:val="20"/>
                <w:szCs w:val="20"/>
              </w:rPr>
              <w:t>,</w:t>
            </w:r>
            <w:r w:rsidRPr="00293551">
              <w:rPr>
                <w:rFonts w:ascii="Verdana" w:hAnsi="Verdana" w:cs="Arial"/>
                <w:sz w:val="20"/>
                <w:szCs w:val="20"/>
              </w:rPr>
              <w:t>2</w:t>
            </w:r>
            <w:r w:rsidR="00696675" w:rsidRPr="00293551">
              <w:rPr>
                <w:rFonts w:ascii="Verdana" w:hAnsi="Verdana" w:cs="Arial"/>
                <w:sz w:val="20"/>
                <w:szCs w:val="20"/>
              </w:rPr>
              <w:t>%</w:t>
            </w:r>
          </w:p>
        </w:tc>
        <w:tc>
          <w:tcPr>
            <w:tcW w:w="1596" w:type="dxa"/>
            <w:tcBorders>
              <w:top w:val="nil"/>
              <w:left w:val="nil"/>
              <w:bottom w:val="nil"/>
              <w:right w:val="nil"/>
            </w:tcBorders>
            <w:shd w:val="clear" w:color="auto" w:fill="auto"/>
            <w:noWrap/>
            <w:vAlign w:val="bottom"/>
          </w:tcPr>
          <w:p w:rsidR="00696675" w:rsidRPr="00293551" w:rsidRDefault="00CB5D96" w:rsidP="00594E33">
            <w:pPr>
              <w:jc w:val="right"/>
              <w:rPr>
                <w:rFonts w:ascii="Verdana" w:hAnsi="Verdana" w:cs="Arial"/>
                <w:sz w:val="20"/>
                <w:szCs w:val="20"/>
              </w:rPr>
            </w:pPr>
            <w:r w:rsidRPr="00293551">
              <w:rPr>
                <w:rFonts w:ascii="Verdana" w:hAnsi="Verdana" w:cs="Arial"/>
                <w:sz w:val="20"/>
                <w:szCs w:val="20"/>
              </w:rPr>
              <w:t>8</w:t>
            </w:r>
            <w:r w:rsidR="00594E33" w:rsidRPr="00293551">
              <w:rPr>
                <w:rFonts w:ascii="Verdana" w:hAnsi="Verdana" w:cs="Arial"/>
                <w:sz w:val="20"/>
                <w:szCs w:val="20"/>
              </w:rPr>
              <w:t>,9</w:t>
            </w:r>
            <w:r w:rsidR="00696675" w:rsidRPr="00293551">
              <w:rPr>
                <w:rFonts w:ascii="Verdana" w:hAnsi="Verdana" w:cs="Arial"/>
                <w:sz w:val="20"/>
                <w:szCs w:val="20"/>
              </w:rPr>
              <w:t>%</w:t>
            </w:r>
          </w:p>
        </w:tc>
      </w:tr>
      <w:tr w:rsidR="00696675" w:rsidRPr="00293551" w:rsidTr="0058456A">
        <w:trPr>
          <w:trHeight w:val="233"/>
          <w:jc w:val="center"/>
        </w:trPr>
        <w:tc>
          <w:tcPr>
            <w:tcW w:w="3812" w:type="dxa"/>
            <w:tcBorders>
              <w:top w:val="nil"/>
              <w:left w:val="nil"/>
              <w:bottom w:val="nil"/>
              <w:right w:val="nil"/>
            </w:tcBorders>
            <w:shd w:val="clear" w:color="auto" w:fill="auto"/>
            <w:vAlign w:val="bottom"/>
          </w:tcPr>
          <w:p w:rsidR="00696675" w:rsidRPr="00293551" w:rsidRDefault="00696675">
            <w:pPr>
              <w:rPr>
                <w:rFonts w:ascii="Verdana" w:hAnsi="Verdana" w:cs="Arial"/>
                <w:sz w:val="20"/>
                <w:szCs w:val="20"/>
              </w:rPr>
            </w:pPr>
            <w:r w:rsidRPr="00293551">
              <w:rPr>
                <w:rFonts w:ascii="Verdana" w:hAnsi="Verdana" w:cs="Arial"/>
                <w:sz w:val="20"/>
                <w:szCs w:val="20"/>
                <w:lang w:val="fr-FR"/>
              </w:rPr>
              <w:t>T.S.J. Sala Cont.-</w:t>
            </w:r>
            <w:r w:rsidR="003D6C43" w:rsidRPr="00293551">
              <w:rPr>
                <w:rFonts w:ascii="Verdana" w:hAnsi="Verdana" w:cs="Arial"/>
                <w:sz w:val="20"/>
                <w:szCs w:val="20"/>
                <w:lang w:val="fr-FR"/>
              </w:rPr>
              <w:t>a</w:t>
            </w:r>
            <w:r w:rsidR="00DA006C" w:rsidRPr="00293551">
              <w:rPr>
                <w:rFonts w:ascii="Verdana" w:hAnsi="Verdana" w:cs="Arial"/>
                <w:sz w:val="20"/>
                <w:szCs w:val="20"/>
                <w:lang w:val="fr-FR"/>
              </w:rPr>
              <w:t>dministrativo</w:t>
            </w:r>
            <w:r w:rsidRPr="00293551">
              <w:rPr>
                <w:rFonts w:ascii="Verdana" w:hAnsi="Verdana" w:cs="Arial"/>
                <w:sz w:val="20"/>
                <w:szCs w:val="20"/>
                <w:lang w:val="fr-FR"/>
              </w:rPr>
              <w:t xml:space="preserve">  </w:t>
            </w:r>
          </w:p>
        </w:tc>
        <w:tc>
          <w:tcPr>
            <w:tcW w:w="1809" w:type="dxa"/>
            <w:tcBorders>
              <w:top w:val="nil"/>
              <w:left w:val="nil"/>
              <w:bottom w:val="nil"/>
              <w:right w:val="nil"/>
            </w:tcBorders>
            <w:shd w:val="clear" w:color="auto" w:fill="auto"/>
            <w:noWrap/>
            <w:vAlign w:val="bottom"/>
          </w:tcPr>
          <w:p w:rsidR="00696675" w:rsidRPr="00293551" w:rsidRDefault="004B5E1F" w:rsidP="00CB5D96">
            <w:pPr>
              <w:jc w:val="right"/>
              <w:rPr>
                <w:rFonts w:ascii="Verdana" w:hAnsi="Verdana" w:cs="Arial"/>
                <w:sz w:val="20"/>
                <w:szCs w:val="20"/>
              </w:rPr>
            </w:pPr>
            <w:r w:rsidRPr="00293551">
              <w:rPr>
                <w:rFonts w:ascii="Verdana" w:hAnsi="Verdana" w:cs="Arial"/>
                <w:sz w:val="20"/>
                <w:szCs w:val="20"/>
              </w:rPr>
              <w:t>6</w:t>
            </w:r>
            <w:r w:rsidR="00CB5D96" w:rsidRPr="00293551">
              <w:rPr>
                <w:rFonts w:ascii="Verdana" w:hAnsi="Verdana" w:cs="Arial"/>
                <w:sz w:val="20"/>
                <w:szCs w:val="20"/>
              </w:rPr>
              <w:t>0</w:t>
            </w:r>
            <w:r w:rsidR="00696675" w:rsidRPr="00293551">
              <w:rPr>
                <w:rFonts w:ascii="Verdana" w:hAnsi="Verdana" w:cs="Arial"/>
                <w:sz w:val="20"/>
                <w:szCs w:val="20"/>
              </w:rPr>
              <w:t>,</w:t>
            </w:r>
            <w:r w:rsidRPr="00293551">
              <w:rPr>
                <w:rFonts w:ascii="Verdana" w:hAnsi="Verdana" w:cs="Arial"/>
                <w:sz w:val="20"/>
                <w:szCs w:val="20"/>
              </w:rPr>
              <w:t>2</w:t>
            </w:r>
            <w:r w:rsidR="00696675" w:rsidRPr="00293551">
              <w:rPr>
                <w:rFonts w:ascii="Verdana" w:hAnsi="Verdana" w:cs="Arial"/>
                <w:sz w:val="20"/>
                <w:szCs w:val="20"/>
              </w:rPr>
              <w:t>%</w:t>
            </w:r>
          </w:p>
        </w:tc>
        <w:tc>
          <w:tcPr>
            <w:tcW w:w="1596" w:type="dxa"/>
            <w:tcBorders>
              <w:top w:val="nil"/>
              <w:left w:val="nil"/>
              <w:bottom w:val="nil"/>
              <w:right w:val="nil"/>
            </w:tcBorders>
            <w:shd w:val="clear" w:color="auto" w:fill="auto"/>
            <w:noWrap/>
            <w:vAlign w:val="bottom"/>
          </w:tcPr>
          <w:p w:rsidR="00696675" w:rsidRPr="00293551" w:rsidRDefault="004B5E1F" w:rsidP="00CB5D96">
            <w:pPr>
              <w:jc w:val="right"/>
              <w:rPr>
                <w:rFonts w:ascii="Verdana" w:hAnsi="Verdana" w:cs="Arial"/>
                <w:sz w:val="20"/>
                <w:szCs w:val="20"/>
              </w:rPr>
            </w:pPr>
            <w:r w:rsidRPr="00293551">
              <w:rPr>
                <w:rFonts w:ascii="Verdana" w:hAnsi="Verdana" w:cs="Arial"/>
                <w:sz w:val="20"/>
                <w:szCs w:val="20"/>
              </w:rPr>
              <w:t>8</w:t>
            </w:r>
            <w:r w:rsidR="00807067" w:rsidRPr="00293551">
              <w:rPr>
                <w:rFonts w:ascii="Verdana" w:hAnsi="Verdana" w:cs="Arial"/>
                <w:sz w:val="20"/>
                <w:szCs w:val="20"/>
              </w:rPr>
              <w:t>,</w:t>
            </w:r>
            <w:r w:rsidR="00CB5D96" w:rsidRPr="00293551">
              <w:rPr>
                <w:rFonts w:ascii="Verdana" w:hAnsi="Verdana" w:cs="Arial"/>
                <w:sz w:val="20"/>
                <w:szCs w:val="20"/>
              </w:rPr>
              <w:t>1</w:t>
            </w:r>
            <w:r w:rsidR="00696675" w:rsidRPr="00293551">
              <w:rPr>
                <w:rFonts w:ascii="Verdana" w:hAnsi="Verdana" w:cs="Arial"/>
                <w:sz w:val="20"/>
                <w:szCs w:val="20"/>
              </w:rPr>
              <w:t>%</w:t>
            </w:r>
          </w:p>
        </w:tc>
      </w:tr>
      <w:tr w:rsidR="00696675" w:rsidRPr="00293551" w:rsidTr="0058456A">
        <w:trPr>
          <w:trHeight w:val="246"/>
          <w:jc w:val="center"/>
        </w:trPr>
        <w:tc>
          <w:tcPr>
            <w:tcW w:w="3812" w:type="dxa"/>
            <w:tcBorders>
              <w:top w:val="nil"/>
              <w:left w:val="nil"/>
              <w:bottom w:val="single" w:sz="8" w:space="0" w:color="auto"/>
              <w:right w:val="nil"/>
            </w:tcBorders>
            <w:shd w:val="clear" w:color="auto" w:fill="auto"/>
            <w:vAlign w:val="bottom"/>
          </w:tcPr>
          <w:p w:rsidR="00696675" w:rsidRPr="00293551" w:rsidRDefault="00696675">
            <w:pPr>
              <w:rPr>
                <w:rFonts w:ascii="Verdana" w:hAnsi="Verdana" w:cs="Arial"/>
                <w:sz w:val="20"/>
                <w:szCs w:val="20"/>
              </w:rPr>
            </w:pPr>
            <w:r w:rsidRPr="00293551">
              <w:rPr>
                <w:rFonts w:ascii="Verdana" w:hAnsi="Verdana" w:cs="Arial"/>
                <w:sz w:val="20"/>
                <w:szCs w:val="20"/>
                <w:lang w:val="fr-FR"/>
              </w:rPr>
              <w:t>A.N. Sala Cont.-</w:t>
            </w:r>
            <w:r w:rsidR="003D6C43" w:rsidRPr="00293551">
              <w:rPr>
                <w:rFonts w:ascii="Verdana" w:hAnsi="Verdana" w:cs="Arial"/>
                <w:sz w:val="20"/>
                <w:szCs w:val="20"/>
                <w:lang w:val="fr-FR"/>
              </w:rPr>
              <w:t>a</w:t>
            </w:r>
            <w:r w:rsidR="00DA006C" w:rsidRPr="00293551">
              <w:rPr>
                <w:rFonts w:ascii="Verdana" w:hAnsi="Verdana" w:cs="Arial"/>
                <w:sz w:val="20"/>
                <w:szCs w:val="20"/>
                <w:lang w:val="fr-FR"/>
              </w:rPr>
              <w:t>dministrativo</w:t>
            </w:r>
            <w:r w:rsidRPr="00293551">
              <w:rPr>
                <w:rFonts w:ascii="Verdana" w:hAnsi="Verdana" w:cs="Arial"/>
                <w:sz w:val="20"/>
                <w:szCs w:val="20"/>
                <w:lang w:val="fr-FR"/>
              </w:rPr>
              <w:t xml:space="preserve">    </w:t>
            </w:r>
          </w:p>
        </w:tc>
        <w:tc>
          <w:tcPr>
            <w:tcW w:w="1809" w:type="dxa"/>
            <w:tcBorders>
              <w:top w:val="nil"/>
              <w:left w:val="nil"/>
              <w:bottom w:val="single" w:sz="8" w:space="0" w:color="auto"/>
              <w:right w:val="nil"/>
            </w:tcBorders>
            <w:shd w:val="clear" w:color="auto" w:fill="auto"/>
            <w:noWrap/>
            <w:vAlign w:val="bottom"/>
          </w:tcPr>
          <w:p w:rsidR="00696675" w:rsidRPr="00293551" w:rsidRDefault="00CB5D96" w:rsidP="00CB5D96">
            <w:pPr>
              <w:jc w:val="right"/>
              <w:rPr>
                <w:rFonts w:ascii="Verdana" w:hAnsi="Verdana" w:cs="Arial"/>
                <w:sz w:val="20"/>
                <w:szCs w:val="20"/>
              </w:rPr>
            </w:pPr>
            <w:r w:rsidRPr="00293551">
              <w:rPr>
                <w:rFonts w:ascii="Verdana" w:hAnsi="Verdana" w:cs="Arial"/>
                <w:sz w:val="20"/>
                <w:szCs w:val="20"/>
              </w:rPr>
              <w:t>7</w:t>
            </w:r>
            <w:r w:rsidR="00594E33" w:rsidRPr="00293551">
              <w:rPr>
                <w:rFonts w:ascii="Verdana" w:hAnsi="Verdana" w:cs="Arial"/>
                <w:sz w:val="20"/>
                <w:szCs w:val="20"/>
              </w:rPr>
              <w:t>8</w:t>
            </w:r>
            <w:r w:rsidRPr="00293551">
              <w:rPr>
                <w:rFonts w:ascii="Verdana" w:hAnsi="Verdana" w:cs="Arial"/>
                <w:sz w:val="20"/>
                <w:szCs w:val="20"/>
              </w:rPr>
              <w:t>,6</w:t>
            </w:r>
            <w:r w:rsidR="00696675" w:rsidRPr="00293551">
              <w:rPr>
                <w:rFonts w:ascii="Verdana" w:hAnsi="Verdana" w:cs="Arial"/>
                <w:sz w:val="20"/>
                <w:szCs w:val="20"/>
              </w:rPr>
              <w:t>%</w:t>
            </w:r>
          </w:p>
        </w:tc>
        <w:tc>
          <w:tcPr>
            <w:tcW w:w="1596" w:type="dxa"/>
            <w:tcBorders>
              <w:top w:val="nil"/>
              <w:left w:val="nil"/>
              <w:bottom w:val="single" w:sz="8" w:space="0" w:color="auto"/>
              <w:right w:val="nil"/>
            </w:tcBorders>
            <w:shd w:val="clear" w:color="auto" w:fill="auto"/>
            <w:noWrap/>
            <w:vAlign w:val="bottom"/>
          </w:tcPr>
          <w:p w:rsidR="00696675" w:rsidRPr="00293551" w:rsidRDefault="00CB5D96" w:rsidP="00CB5D96">
            <w:pPr>
              <w:jc w:val="right"/>
              <w:rPr>
                <w:rFonts w:ascii="Verdana" w:hAnsi="Verdana" w:cs="Arial"/>
                <w:sz w:val="20"/>
                <w:szCs w:val="20"/>
              </w:rPr>
            </w:pPr>
            <w:r w:rsidRPr="00293551">
              <w:rPr>
                <w:rFonts w:ascii="Verdana" w:hAnsi="Verdana" w:cs="Arial"/>
                <w:sz w:val="20"/>
                <w:szCs w:val="20"/>
              </w:rPr>
              <w:t>13</w:t>
            </w:r>
            <w:r w:rsidR="00696675" w:rsidRPr="00293551">
              <w:rPr>
                <w:rFonts w:ascii="Verdana" w:hAnsi="Verdana" w:cs="Arial"/>
                <w:sz w:val="20"/>
                <w:szCs w:val="20"/>
              </w:rPr>
              <w:t>,</w:t>
            </w:r>
            <w:r w:rsidRPr="00293551">
              <w:rPr>
                <w:rFonts w:ascii="Verdana" w:hAnsi="Verdana" w:cs="Arial"/>
                <w:sz w:val="20"/>
                <w:szCs w:val="20"/>
              </w:rPr>
              <w:t>8</w:t>
            </w:r>
            <w:r w:rsidR="00696675" w:rsidRPr="00293551">
              <w:rPr>
                <w:rFonts w:ascii="Verdana" w:hAnsi="Verdana" w:cs="Arial"/>
                <w:sz w:val="20"/>
                <w:szCs w:val="20"/>
              </w:rPr>
              <w:t>%</w:t>
            </w:r>
          </w:p>
        </w:tc>
      </w:tr>
    </w:tbl>
    <w:p w:rsidR="00696675" w:rsidRPr="00293551" w:rsidRDefault="00696675" w:rsidP="00837D71">
      <w:pPr>
        <w:autoSpaceDE w:val="0"/>
        <w:autoSpaceDN w:val="0"/>
        <w:adjustRightInd w:val="0"/>
        <w:jc w:val="center"/>
        <w:rPr>
          <w:rFonts w:ascii="Verdana" w:hAnsi="Verdana"/>
        </w:rPr>
      </w:pPr>
    </w:p>
    <w:p w:rsidR="00810E77" w:rsidRPr="00293551" w:rsidRDefault="00810E77" w:rsidP="004F76C3">
      <w:pPr>
        <w:autoSpaceDE w:val="0"/>
        <w:autoSpaceDN w:val="0"/>
        <w:adjustRightInd w:val="0"/>
        <w:jc w:val="center"/>
        <w:rPr>
          <w:rFonts w:ascii="Verdana" w:hAnsi="Verdana"/>
        </w:rPr>
      </w:pPr>
    </w:p>
    <w:p w:rsidR="00EA0721" w:rsidRPr="00293551" w:rsidRDefault="00EA0721" w:rsidP="004F76C3">
      <w:pPr>
        <w:autoSpaceDE w:val="0"/>
        <w:autoSpaceDN w:val="0"/>
        <w:adjustRightInd w:val="0"/>
        <w:jc w:val="center"/>
        <w:rPr>
          <w:rFonts w:ascii="Verdana" w:hAnsi="Verdana" w:cs="Arial"/>
          <w:b/>
          <w:color w:val="333399"/>
          <w:lang w:val="es-ES"/>
        </w:rPr>
      </w:pPr>
    </w:p>
    <w:p w:rsidR="007E399D" w:rsidRPr="00293551" w:rsidRDefault="007E399D" w:rsidP="007E399D">
      <w:pPr>
        <w:spacing w:before="120" w:after="120"/>
        <w:ind w:firstLine="357"/>
        <w:jc w:val="both"/>
        <w:rPr>
          <w:rFonts w:ascii="Verdana" w:hAnsi="Verdana" w:cs="Arial"/>
          <w:b/>
        </w:rPr>
      </w:pPr>
      <w:r w:rsidRPr="00293551">
        <w:rPr>
          <w:rFonts w:ascii="Verdana" w:hAnsi="Verdana" w:cs="Arial"/>
          <w:b/>
        </w:rPr>
        <w:t>Impacto de las reformas legislativas en la jurisdicción contencioso-administrativa</w:t>
      </w:r>
    </w:p>
    <w:p w:rsidR="007E399D" w:rsidRPr="00293551" w:rsidRDefault="007E399D" w:rsidP="007E399D">
      <w:pPr>
        <w:rPr>
          <w:rFonts w:ascii="Verdana" w:hAnsi="Verdana" w:cs="Arial"/>
          <w:strike/>
          <w:sz w:val="20"/>
        </w:rPr>
      </w:pPr>
    </w:p>
    <w:p w:rsidR="00FE02FA" w:rsidRPr="00293551" w:rsidRDefault="00FE02FA" w:rsidP="00923CB2">
      <w:pPr>
        <w:ind w:firstLine="708"/>
        <w:jc w:val="both"/>
        <w:rPr>
          <w:rFonts w:ascii="Verdana" w:hAnsi="Verdana" w:cs="Arial"/>
          <w:strike/>
          <w:sz w:val="20"/>
        </w:rPr>
      </w:pPr>
    </w:p>
    <w:p w:rsidR="007A3888" w:rsidRPr="00293551" w:rsidRDefault="007A3888" w:rsidP="00923CB2">
      <w:pPr>
        <w:ind w:firstLine="357"/>
        <w:jc w:val="both"/>
        <w:rPr>
          <w:rFonts w:ascii="Verdana" w:hAnsi="Verdana" w:cs="Arial"/>
          <w:sz w:val="20"/>
        </w:rPr>
      </w:pPr>
    </w:p>
    <w:p w:rsidR="007A3888" w:rsidRPr="00293551" w:rsidRDefault="007A3888" w:rsidP="007A3888">
      <w:pPr>
        <w:spacing w:before="120" w:after="120"/>
        <w:ind w:firstLine="357"/>
        <w:jc w:val="both"/>
        <w:rPr>
          <w:rFonts w:ascii="Verdana" w:hAnsi="Verdana" w:cs="Arial"/>
          <w:sz w:val="20"/>
        </w:rPr>
      </w:pPr>
      <w:r w:rsidRPr="00293551">
        <w:rPr>
          <w:rFonts w:ascii="Verdana" w:hAnsi="Verdana" w:cs="Arial"/>
          <w:sz w:val="20"/>
        </w:rPr>
        <w:t xml:space="preserve">La Disposición final tercera de la Ley Orgánica 7/2015 que modifica la Ley 29/1998, de 13 de julio, reguladora de la Jurisdicción Contencioso-administrativa entró en vigor el 22 de julio de 2016 y ya se dispone de unos primeros datos sobre su efecto.  </w:t>
      </w:r>
    </w:p>
    <w:p w:rsidR="007A3888" w:rsidRPr="00293551" w:rsidRDefault="007A3888" w:rsidP="007A3888">
      <w:pPr>
        <w:spacing w:before="120" w:after="120"/>
        <w:ind w:firstLine="357"/>
        <w:jc w:val="both"/>
        <w:rPr>
          <w:rFonts w:ascii="Verdana" w:hAnsi="Verdana" w:cs="Arial"/>
          <w:sz w:val="20"/>
        </w:rPr>
      </w:pPr>
      <w:r w:rsidRPr="00293551">
        <w:rPr>
          <w:rFonts w:ascii="Verdana" w:hAnsi="Verdana" w:cs="Arial"/>
          <w:sz w:val="20"/>
        </w:rPr>
        <w:t xml:space="preserve">En los juzgados de lo contencioso administrativo el </w:t>
      </w:r>
      <w:r w:rsidR="009B3A7B" w:rsidRPr="00293551">
        <w:rPr>
          <w:rFonts w:ascii="Verdana" w:hAnsi="Verdana" w:cs="Arial"/>
          <w:sz w:val="20"/>
        </w:rPr>
        <w:t>número</w:t>
      </w:r>
      <w:r w:rsidRPr="00293551">
        <w:rPr>
          <w:rFonts w:ascii="Verdana" w:hAnsi="Verdana" w:cs="Arial"/>
          <w:sz w:val="20"/>
        </w:rPr>
        <w:t xml:space="preserve"> de recursos de casación en interés de ley elevados (contra sentencias dictadas antes del 22 de julio </w:t>
      </w:r>
      <w:r w:rsidRPr="00293551">
        <w:rPr>
          <w:rFonts w:ascii="Verdana" w:hAnsi="Verdana" w:cs="Arial"/>
          <w:sz w:val="20"/>
        </w:rPr>
        <w:lastRenderedPageBreak/>
        <w:t xml:space="preserve">de 2016) ha sido muy similar al de los elevados en 2016. Por el contrario, los devueltos se han </w:t>
      </w:r>
      <w:r w:rsidR="009B3A7B" w:rsidRPr="00293551">
        <w:rPr>
          <w:rFonts w:ascii="Verdana" w:hAnsi="Verdana" w:cs="Arial"/>
          <w:sz w:val="20"/>
        </w:rPr>
        <w:t>reducido</w:t>
      </w:r>
      <w:r w:rsidRPr="00293551">
        <w:rPr>
          <w:rFonts w:ascii="Verdana" w:hAnsi="Verdana" w:cs="Arial"/>
          <w:sz w:val="20"/>
        </w:rPr>
        <w:t xml:space="preserve"> notablemente:</w:t>
      </w:r>
    </w:p>
    <w:tbl>
      <w:tblPr>
        <w:tblW w:w="8320" w:type="dxa"/>
        <w:jc w:val="center"/>
        <w:tblInd w:w="55" w:type="dxa"/>
        <w:tblCellMar>
          <w:left w:w="70" w:type="dxa"/>
          <w:right w:w="70" w:type="dxa"/>
        </w:tblCellMar>
        <w:tblLook w:val="04A0" w:firstRow="1" w:lastRow="0" w:firstColumn="1" w:lastColumn="0" w:noHBand="0" w:noVBand="1"/>
      </w:tblPr>
      <w:tblGrid>
        <w:gridCol w:w="4720"/>
        <w:gridCol w:w="1200"/>
        <w:gridCol w:w="1200"/>
        <w:gridCol w:w="1200"/>
      </w:tblGrid>
      <w:tr w:rsidR="007A3888" w:rsidRPr="00293551" w:rsidTr="002766EF">
        <w:trPr>
          <w:trHeight w:val="300"/>
          <w:jc w:val="center"/>
        </w:trPr>
        <w:tc>
          <w:tcPr>
            <w:tcW w:w="4720" w:type="dxa"/>
            <w:tcBorders>
              <w:top w:val="nil"/>
              <w:left w:val="nil"/>
              <w:bottom w:val="nil"/>
              <w:right w:val="nil"/>
            </w:tcBorders>
            <w:shd w:val="clear" w:color="auto" w:fill="auto"/>
            <w:noWrap/>
            <w:vAlign w:val="bottom"/>
            <w:hideMark/>
          </w:tcPr>
          <w:p w:rsidR="007A3888" w:rsidRPr="00293551" w:rsidRDefault="007A3888" w:rsidP="002766EF">
            <w:pPr>
              <w:rPr>
                <w:rFonts w:ascii="Verdana" w:hAnsi="Verdana" w:cs="Calibri"/>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rPr>
            </w:pPr>
            <w:r w:rsidRPr="00293551">
              <w:rPr>
                <w:rFonts w:ascii="Verdana" w:hAnsi="Verdana" w:cs="Calibri"/>
                <w:color w:val="00000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rPr>
            </w:pPr>
            <w:r w:rsidRPr="00293551">
              <w:rPr>
                <w:rFonts w:ascii="Verdana" w:hAnsi="Verdana" w:cs="Calibri"/>
                <w:color w:val="00000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rPr>
            </w:pPr>
            <w:r w:rsidRPr="00293551">
              <w:rPr>
                <w:rFonts w:ascii="Verdana" w:hAnsi="Verdana" w:cs="Calibri"/>
                <w:color w:val="000000"/>
              </w:rPr>
              <w:t>2017</w:t>
            </w:r>
          </w:p>
        </w:tc>
      </w:tr>
      <w:tr w:rsidR="007A3888" w:rsidRPr="00293551" w:rsidTr="002766EF">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Calibri" w:hAnsi="Calibri" w:cs="Calibri"/>
                <w:color w:val="000000"/>
                <w:sz w:val="20"/>
                <w:szCs w:val="20"/>
              </w:rPr>
            </w:pPr>
            <w:r w:rsidRPr="00293551">
              <w:rPr>
                <w:rFonts w:ascii="Calibri" w:hAnsi="Calibri" w:cs="Calibri"/>
                <w:color w:val="000000"/>
                <w:sz w:val="20"/>
                <w:szCs w:val="20"/>
              </w:rPr>
              <w:t>17</w:t>
            </w:r>
          </w:p>
        </w:tc>
      </w:tr>
      <w:tr w:rsidR="007A3888" w:rsidRPr="00293551" w:rsidTr="002766EF">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Elevados a las Salas de lo CA de los TSJ</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Calibri" w:hAnsi="Calibri" w:cs="Calibri"/>
                <w:color w:val="000000"/>
                <w:sz w:val="20"/>
                <w:szCs w:val="20"/>
              </w:rPr>
            </w:pPr>
            <w:r w:rsidRPr="00293551">
              <w:rPr>
                <w:rFonts w:ascii="Calibri" w:hAnsi="Calibri" w:cs="Calibri"/>
                <w:color w:val="000000"/>
                <w:sz w:val="20"/>
                <w:szCs w:val="20"/>
              </w:rPr>
              <w:t>15</w:t>
            </w:r>
          </w:p>
        </w:tc>
      </w:tr>
      <w:tr w:rsidR="007A3888" w:rsidRPr="00293551" w:rsidTr="002766EF">
        <w:trPr>
          <w:trHeight w:val="135"/>
          <w:jc w:val="center"/>
        </w:trPr>
        <w:tc>
          <w:tcPr>
            <w:tcW w:w="4720" w:type="dxa"/>
            <w:tcBorders>
              <w:top w:val="nil"/>
              <w:left w:val="nil"/>
              <w:bottom w:val="nil"/>
              <w:right w:val="nil"/>
            </w:tcBorders>
            <w:shd w:val="clear" w:color="auto" w:fill="auto"/>
            <w:noWrap/>
            <w:vAlign w:val="bottom"/>
            <w:hideMark/>
          </w:tcPr>
          <w:p w:rsidR="007A3888" w:rsidRPr="00293551" w:rsidRDefault="007A3888" w:rsidP="002766EF">
            <w:pPr>
              <w:rPr>
                <w:rFonts w:ascii="Verdana" w:hAnsi="Verdana" w:cs="Calibri"/>
                <w:color w:val="000000"/>
                <w:sz w:val="20"/>
                <w:szCs w:val="20"/>
              </w:rPr>
            </w:pPr>
          </w:p>
        </w:tc>
        <w:tc>
          <w:tcPr>
            <w:tcW w:w="1200" w:type="dxa"/>
            <w:tcBorders>
              <w:top w:val="nil"/>
              <w:left w:val="nil"/>
              <w:bottom w:val="nil"/>
              <w:right w:val="nil"/>
            </w:tcBorders>
            <w:shd w:val="clear" w:color="auto" w:fill="auto"/>
            <w:noWrap/>
            <w:vAlign w:val="bottom"/>
            <w:hideMark/>
          </w:tcPr>
          <w:p w:rsidR="007A3888" w:rsidRPr="00293551" w:rsidRDefault="007A3888" w:rsidP="002766EF">
            <w:pPr>
              <w:rPr>
                <w:rFonts w:ascii="Verdana" w:hAnsi="Verdana" w:cs="Calibri"/>
                <w:color w:val="000000"/>
                <w:sz w:val="20"/>
                <w:szCs w:val="20"/>
              </w:rPr>
            </w:pPr>
          </w:p>
        </w:tc>
        <w:tc>
          <w:tcPr>
            <w:tcW w:w="1200" w:type="dxa"/>
            <w:tcBorders>
              <w:top w:val="nil"/>
              <w:left w:val="nil"/>
              <w:bottom w:val="nil"/>
              <w:right w:val="nil"/>
            </w:tcBorders>
            <w:shd w:val="clear" w:color="auto" w:fill="auto"/>
            <w:noWrap/>
            <w:vAlign w:val="bottom"/>
            <w:hideMark/>
          </w:tcPr>
          <w:p w:rsidR="007A3888" w:rsidRPr="00293551" w:rsidRDefault="007A3888" w:rsidP="002766EF">
            <w:pPr>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7A3888" w:rsidRPr="00293551" w:rsidRDefault="007A3888" w:rsidP="002766EF">
            <w:pPr>
              <w:rPr>
                <w:rFonts w:ascii="Calibri" w:hAnsi="Calibri" w:cs="Calibri"/>
                <w:color w:val="000000"/>
                <w:sz w:val="20"/>
                <w:szCs w:val="20"/>
              </w:rPr>
            </w:pPr>
          </w:p>
        </w:tc>
      </w:tr>
      <w:tr w:rsidR="007A3888" w:rsidRPr="00293551" w:rsidTr="002766EF">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134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8</w:t>
            </w:r>
          </w:p>
        </w:tc>
      </w:tr>
      <w:tr w:rsidR="007A3888" w:rsidRPr="00293551" w:rsidTr="002766EF">
        <w:trPr>
          <w:trHeight w:val="300"/>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xml:space="preserve">Nº desestimaciones totales de la casación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87</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74</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Calibri" w:hAnsi="Calibri" w:cs="Calibri"/>
                <w:color w:val="000000"/>
                <w:sz w:val="20"/>
                <w:szCs w:val="20"/>
              </w:rPr>
            </w:pPr>
            <w:r w:rsidRPr="00293551">
              <w:rPr>
                <w:rFonts w:ascii="Calibri" w:hAnsi="Calibri" w:cs="Calibri"/>
                <w:color w:val="000000"/>
                <w:sz w:val="20"/>
                <w:szCs w:val="20"/>
              </w:rPr>
              <w:t>7</w:t>
            </w:r>
          </w:p>
        </w:tc>
      </w:tr>
      <w:tr w:rsidR="007A3888" w:rsidRPr="00293551" w:rsidTr="002766EF">
        <w:trPr>
          <w:trHeight w:val="300"/>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Nº desestimaciones parciales  de la casación</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5</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17</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r w:rsidR="007A3888" w:rsidRPr="00293551" w:rsidTr="002766EF">
        <w:trPr>
          <w:trHeight w:val="300"/>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Nº aceptaciones totales  de la casación</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42</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w:t>
            </w:r>
          </w:p>
        </w:tc>
      </w:tr>
    </w:tbl>
    <w:p w:rsidR="007A3888" w:rsidRPr="00293551" w:rsidRDefault="007A3888" w:rsidP="007A3888">
      <w:pPr>
        <w:spacing w:before="120" w:after="120"/>
        <w:ind w:firstLine="357"/>
        <w:jc w:val="both"/>
        <w:rPr>
          <w:rFonts w:ascii="Verdana" w:hAnsi="Verdana" w:cs="Arial"/>
          <w:sz w:val="20"/>
        </w:rPr>
      </w:pPr>
    </w:p>
    <w:p w:rsidR="007A3888" w:rsidRPr="00293551" w:rsidRDefault="009B3A7B" w:rsidP="00923CB2">
      <w:pPr>
        <w:ind w:firstLine="357"/>
        <w:jc w:val="both"/>
        <w:rPr>
          <w:rFonts w:ascii="Verdana" w:hAnsi="Verdana" w:cs="Arial"/>
          <w:sz w:val="20"/>
        </w:rPr>
      </w:pPr>
      <w:r w:rsidRPr="00293551">
        <w:rPr>
          <w:rFonts w:ascii="Verdana" w:hAnsi="Verdana" w:cs="Arial"/>
          <w:sz w:val="20"/>
        </w:rPr>
        <w:t>Respecto a los recursos de casación contra sentencias dictadas con posterioridad al 22 de julio, es de señalar que el número de elevados es superior al de las casaciones elevadas en 2015, y que respecto a los devueltos la gran mayoría han sido inadmisiones:</w:t>
      </w:r>
    </w:p>
    <w:p w:rsidR="007A3888" w:rsidRPr="00293551" w:rsidRDefault="007A3888" w:rsidP="00923CB2">
      <w:pPr>
        <w:ind w:firstLine="357"/>
        <w:jc w:val="both"/>
        <w:rPr>
          <w:rFonts w:ascii="Verdana" w:hAnsi="Verdana" w:cs="Arial"/>
          <w:sz w:val="20"/>
        </w:rPr>
      </w:pPr>
    </w:p>
    <w:tbl>
      <w:tblPr>
        <w:tblW w:w="8320" w:type="dxa"/>
        <w:tblInd w:w="55" w:type="dxa"/>
        <w:tblCellMar>
          <w:left w:w="70" w:type="dxa"/>
          <w:right w:w="70" w:type="dxa"/>
        </w:tblCellMar>
        <w:tblLook w:val="04A0" w:firstRow="1" w:lastRow="0" w:firstColumn="1" w:lastColumn="0" w:noHBand="0" w:noVBand="1"/>
      </w:tblPr>
      <w:tblGrid>
        <w:gridCol w:w="4720"/>
        <w:gridCol w:w="1200"/>
        <w:gridCol w:w="1200"/>
        <w:gridCol w:w="1200"/>
      </w:tblGrid>
      <w:tr w:rsidR="007A3888" w:rsidRPr="00293551" w:rsidTr="002766EF">
        <w:trPr>
          <w:trHeight w:val="300"/>
        </w:trPr>
        <w:tc>
          <w:tcPr>
            <w:tcW w:w="4720" w:type="dxa"/>
            <w:tcBorders>
              <w:top w:val="nil"/>
              <w:left w:val="nil"/>
              <w:bottom w:val="nil"/>
              <w:right w:val="nil"/>
            </w:tcBorders>
            <w:shd w:val="clear" w:color="auto" w:fill="auto"/>
            <w:noWrap/>
            <w:vAlign w:val="bottom"/>
            <w:hideMark/>
          </w:tcPr>
          <w:p w:rsidR="007A3888" w:rsidRPr="00293551" w:rsidRDefault="007A3888" w:rsidP="002766EF">
            <w:pPr>
              <w:rPr>
                <w:rFonts w:ascii="Verdana" w:hAnsi="Verdana"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A3888" w:rsidRPr="00293551" w:rsidRDefault="007A3888" w:rsidP="002766EF">
            <w:pPr>
              <w:jc w:val="center"/>
              <w:rPr>
                <w:rFonts w:ascii="Verdana" w:hAnsi="Verdana" w:cs="Calibri"/>
                <w:color w:val="000000"/>
                <w:sz w:val="20"/>
                <w:szCs w:val="20"/>
              </w:rPr>
            </w:pPr>
            <w:r w:rsidRPr="00293551">
              <w:rPr>
                <w:rFonts w:ascii="Verdana" w:hAnsi="Verdana" w:cs="Calibri"/>
                <w:color w:val="000000"/>
                <w:sz w:val="20"/>
                <w:szCs w:val="20"/>
              </w:rPr>
              <w:t>2017</w:t>
            </w:r>
          </w:p>
        </w:tc>
      </w:tr>
      <w:tr w:rsidR="007A3888"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133</w:t>
            </w:r>
          </w:p>
        </w:tc>
      </w:tr>
      <w:tr w:rsidR="007A3888"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Elevados a las Salas de lo CA de los TSJ</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34</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203</w:t>
            </w:r>
          </w:p>
        </w:tc>
      </w:tr>
      <w:tr w:rsidR="007A3888" w:rsidRPr="00293551" w:rsidTr="002766EF">
        <w:trPr>
          <w:trHeight w:val="150"/>
        </w:trPr>
        <w:tc>
          <w:tcPr>
            <w:tcW w:w="4720" w:type="dxa"/>
            <w:tcBorders>
              <w:top w:val="nil"/>
              <w:left w:val="nil"/>
              <w:bottom w:val="nil"/>
              <w:right w:val="nil"/>
            </w:tcBorders>
            <w:shd w:val="clear" w:color="auto" w:fill="auto"/>
            <w:noWrap/>
            <w:vAlign w:val="bottom"/>
            <w:hideMark/>
          </w:tcPr>
          <w:p w:rsidR="007A3888" w:rsidRPr="00293551" w:rsidRDefault="007A3888" w:rsidP="002766EF">
            <w:pPr>
              <w:rPr>
                <w:rFonts w:ascii="Verdana" w:hAnsi="Verdana" w:cs="Calibri"/>
                <w:color w:val="000000"/>
                <w:sz w:val="20"/>
                <w:szCs w:val="20"/>
              </w:rPr>
            </w:pPr>
          </w:p>
        </w:tc>
        <w:tc>
          <w:tcPr>
            <w:tcW w:w="1200" w:type="dxa"/>
            <w:tcBorders>
              <w:top w:val="nil"/>
              <w:left w:val="nil"/>
              <w:bottom w:val="nil"/>
              <w:right w:val="nil"/>
            </w:tcBorders>
            <w:shd w:val="clear" w:color="auto" w:fill="auto"/>
            <w:noWrap/>
            <w:vAlign w:val="bottom"/>
            <w:hideMark/>
          </w:tcPr>
          <w:p w:rsidR="007A3888" w:rsidRPr="00293551" w:rsidRDefault="007A3888" w:rsidP="002766EF">
            <w:pPr>
              <w:rPr>
                <w:rFonts w:ascii="Calibri" w:hAnsi="Calibri" w:cs="Calibri"/>
                <w:color w:val="000000"/>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w:t>
            </w:r>
          </w:p>
        </w:tc>
      </w:tr>
      <w:tr w:rsidR="007A3888"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74</w:t>
            </w:r>
          </w:p>
        </w:tc>
      </w:tr>
      <w:tr w:rsidR="007A3888"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xml:space="preserve">  De ellas Nº inadmisiones</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61</w:t>
            </w:r>
          </w:p>
        </w:tc>
      </w:tr>
      <w:tr w:rsidR="007A3888"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xml:space="preserve">                    Nº desestimando casación </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11</w:t>
            </w:r>
          </w:p>
        </w:tc>
      </w:tr>
      <w:tr w:rsidR="007A3888"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 xml:space="preserve">                    Nº anulando</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2</w:t>
            </w:r>
          </w:p>
        </w:tc>
      </w:tr>
      <w:tr w:rsidR="007A3888" w:rsidRPr="00293551" w:rsidTr="002766EF">
        <w:trPr>
          <w:trHeight w:val="57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A3888" w:rsidRPr="00293551" w:rsidRDefault="007A3888" w:rsidP="002766EF">
            <w:pPr>
              <w:rPr>
                <w:rFonts w:ascii="Verdana" w:hAnsi="Verdana" w:cs="Calibri"/>
                <w:color w:val="000000"/>
                <w:sz w:val="20"/>
                <w:szCs w:val="20"/>
              </w:rPr>
            </w:pPr>
            <w:r w:rsidRPr="00293551">
              <w:rPr>
                <w:rFonts w:ascii="Verdana" w:hAnsi="Verdana" w:cs="Calibri"/>
                <w:color w:val="000000"/>
                <w:sz w:val="20"/>
                <w:szCs w:val="20"/>
              </w:rPr>
              <w:t>Nº de informes sobre el interés objetivo del recurso (Art. 89.5 de la LJCA)</w:t>
            </w:r>
          </w:p>
        </w:tc>
        <w:tc>
          <w:tcPr>
            <w:tcW w:w="1200" w:type="dxa"/>
            <w:tcBorders>
              <w:top w:val="nil"/>
              <w:left w:val="nil"/>
              <w:bottom w:val="single" w:sz="4" w:space="0" w:color="auto"/>
              <w:right w:val="single" w:sz="4" w:space="0" w:color="auto"/>
            </w:tcBorders>
            <w:shd w:val="clear" w:color="000000" w:fill="BFBFBF"/>
            <w:noWrap/>
            <w:vAlign w:val="center"/>
            <w:hideMark/>
          </w:tcPr>
          <w:p w:rsidR="007A3888" w:rsidRPr="00293551" w:rsidRDefault="007A3888" w:rsidP="002766EF">
            <w:pPr>
              <w:rPr>
                <w:rFonts w:ascii="Calibri" w:hAnsi="Calibri" w:cs="Calibri"/>
                <w:color w:val="000000"/>
                <w:sz w:val="20"/>
                <w:szCs w:val="20"/>
              </w:rPr>
            </w:pPr>
            <w:r w:rsidRPr="00293551">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A3888" w:rsidRPr="00293551" w:rsidRDefault="007A3888" w:rsidP="002766EF">
            <w:pPr>
              <w:jc w:val="right"/>
              <w:rPr>
                <w:rFonts w:ascii="Verdana" w:hAnsi="Verdana" w:cs="Calibri"/>
                <w:color w:val="000000"/>
                <w:sz w:val="20"/>
                <w:szCs w:val="20"/>
              </w:rPr>
            </w:pPr>
            <w:r w:rsidRPr="00293551">
              <w:rPr>
                <w:rFonts w:ascii="Verdana" w:hAnsi="Verdana" w:cs="Calibri"/>
                <w:color w:val="000000"/>
                <w:sz w:val="20"/>
                <w:szCs w:val="20"/>
              </w:rPr>
              <w:t>16</w:t>
            </w:r>
          </w:p>
        </w:tc>
      </w:tr>
    </w:tbl>
    <w:p w:rsidR="007A3888" w:rsidRPr="00293551" w:rsidRDefault="007A3888" w:rsidP="00923CB2">
      <w:pPr>
        <w:ind w:firstLine="357"/>
        <w:jc w:val="both"/>
        <w:rPr>
          <w:rFonts w:ascii="Verdana" w:hAnsi="Verdana" w:cs="Arial"/>
          <w:sz w:val="20"/>
        </w:rPr>
      </w:pPr>
    </w:p>
    <w:p w:rsidR="007A3888" w:rsidRPr="00293551" w:rsidRDefault="007A3888" w:rsidP="00923CB2">
      <w:pPr>
        <w:ind w:firstLine="357"/>
        <w:jc w:val="both"/>
        <w:rPr>
          <w:rFonts w:ascii="Verdana" w:hAnsi="Verdana" w:cs="Arial"/>
          <w:sz w:val="20"/>
        </w:rPr>
      </w:pPr>
    </w:p>
    <w:p w:rsidR="00195B05" w:rsidRPr="00293551" w:rsidRDefault="00195B05" w:rsidP="00923CB2">
      <w:pPr>
        <w:ind w:firstLine="357"/>
        <w:jc w:val="both"/>
        <w:rPr>
          <w:rFonts w:ascii="Verdana" w:hAnsi="Verdana" w:cs="Arial"/>
          <w:sz w:val="20"/>
        </w:rPr>
      </w:pPr>
      <w:r w:rsidRPr="00293551">
        <w:rPr>
          <w:rFonts w:ascii="Verdana" w:hAnsi="Verdana" w:cs="Arial"/>
          <w:sz w:val="20"/>
        </w:rPr>
        <w:t>El ratio casaciones elevadas respecto a sentencias dictadas se ha quintuplicado en 2017 respecto a los dos años anteriores:</w:t>
      </w:r>
    </w:p>
    <w:p w:rsidR="00195B05" w:rsidRPr="00293551" w:rsidRDefault="00195B05" w:rsidP="00923CB2">
      <w:pPr>
        <w:ind w:firstLine="357"/>
        <w:jc w:val="both"/>
        <w:rPr>
          <w:rFonts w:ascii="Verdana" w:hAnsi="Verdana" w:cs="Arial"/>
          <w:sz w:val="20"/>
        </w:rPr>
      </w:pP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195B05" w:rsidRPr="00293551" w:rsidTr="00195B0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B05" w:rsidRPr="00293551" w:rsidRDefault="00DB55BA">
            <w:pPr>
              <w:jc w:val="center"/>
              <w:rPr>
                <w:rFonts w:ascii="Verdana" w:hAnsi="Verdana" w:cs="Calibri"/>
                <w:color w:val="000000"/>
                <w:sz w:val="20"/>
                <w:szCs w:val="20"/>
              </w:rPr>
            </w:pPr>
            <w:r w:rsidRPr="00293551">
              <w:br w:type="page"/>
            </w:r>
            <w:r w:rsidR="00195B05"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95B05" w:rsidRPr="00293551" w:rsidRDefault="00195B05">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95B05" w:rsidRPr="00293551" w:rsidRDefault="00195B05">
            <w:pPr>
              <w:jc w:val="center"/>
              <w:rPr>
                <w:rFonts w:ascii="Verdana" w:hAnsi="Verdana" w:cs="Calibri"/>
                <w:color w:val="000000"/>
                <w:sz w:val="20"/>
                <w:szCs w:val="20"/>
              </w:rPr>
            </w:pPr>
            <w:r w:rsidRPr="00293551">
              <w:rPr>
                <w:rFonts w:ascii="Verdana" w:hAnsi="Verdana" w:cs="Calibri"/>
                <w:color w:val="000000"/>
                <w:sz w:val="20"/>
                <w:szCs w:val="20"/>
              </w:rPr>
              <w:t>2017</w:t>
            </w:r>
          </w:p>
        </w:tc>
      </w:tr>
      <w:tr w:rsidR="00195B05" w:rsidRPr="00293551" w:rsidTr="00195B0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95B05" w:rsidRPr="00293551" w:rsidRDefault="00195B05">
            <w:pPr>
              <w:jc w:val="right"/>
              <w:rPr>
                <w:rFonts w:ascii="Verdana" w:hAnsi="Verdana" w:cs="Calibri"/>
                <w:color w:val="000000"/>
                <w:sz w:val="20"/>
                <w:szCs w:val="20"/>
              </w:rPr>
            </w:pPr>
            <w:r w:rsidRPr="00293551">
              <w:rPr>
                <w:rFonts w:ascii="Verdana" w:hAnsi="Verdana" w:cs="Calibri"/>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195B05" w:rsidRPr="00293551" w:rsidRDefault="00195B05">
            <w:pPr>
              <w:jc w:val="right"/>
              <w:rPr>
                <w:rFonts w:ascii="Verdana" w:hAnsi="Verdana" w:cs="Calibri"/>
                <w:color w:val="000000"/>
                <w:sz w:val="20"/>
                <w:szCs w:val="20"/>
              </w:rPr>
            </w:pPr>
            <w:r w:rsidRPr="00293551">
              <w:rPr>
                <w:rFonts w:ascii="Verdana" w:hAnsi="Verdana" w:cs="Calibri"/>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195B05" w:rsidRPr="00293551" w:rsidRDefault="00195B05">
            <w:pPr>
              <w:jc w:val="right"/>
              <w:rPr>
                <w:rFonts w:ascii="Verdana" w:hAnsi="Verdana" w:cs="Calibri"/>
                <w:color w:val="000000"/>
                <w:sz w:val="20"/>
                <w:szCs w:val="20"/>
              </w:rPr>
            </w:pPr>
            <w:r w:rsidRPr="00293551">
              <w:rPr>
                <w:rFonts w:ascii="Verdana" w:hAnsi="Verdana" w:cs="Calibri"/>
                <w:color w:val="000000"/>
                <w:sz w:val="20"/>
                <w:szCs w:val="20"/>
              </w:rPr>
              <w:t>0,5%</w:t>
            </w:r>
          </w:p>
        </w:tc>
      </w:tr>
    </w:tbl>
    <w:p w:rsidR="00DB55BA" w:rsidRPr="00293551" w:rsidRDefault="00DB55BA" w:rsidP="00DB55BA">
      <w:pPr>
        <w:pStyle w:val="Textoindependiente"/>
      </w:pPr>
    </w:p>
    <w:p w:rsidR="007B1A79" w:rsidRPr="00293551" w:rsidRDefault="007B1A79" w:rsidP="007B1A79">
      <w:pPr>
        <w:ind w:firstLine="357"/>
        <w:jc w:val="both"/>
        <w:rPr>
          <w:rFonts w:ascii="Verdana" w:hAnsi="Verdana" w:cs="Arial"/>
          <w:sz w:val="20"/>
        </w:rPr>
      </w:pPr>
      <w:r w:rsidRPr="00293551">
        <w:rPr>
          <w:rFonts w:ascii="Verdana" w:hAnsi="Verdana" w:cs="Arial"/>
          <w:sz w:val="20"/>
        </w:rPr>
        <w:t xml:space="preserve">En las salas de lo contencioso administrativo de los tribunales superiores de justicia, y como era de esperar, los recursos de casación elevados contra sentencias anteriores al 22 de julio han caído notablemente respecto a  los años anteriores, tanto las de unificación de doctrina, como las de interés de ley y las casaciones ordinarias. </w:t>
      </w:r>
    </w:p>
    <w:p w:rsidR="007B1A79" w:rsidRPr="00293551" w:rsidRDefault="007B1A79" w:rsidP="007B1A79">
      <w:pPr>
        <w:ind w:firstLine="357"/>
        <w:jc w:val="both"/>
        <w:rPr>
          <w:rFonts w:ascii="Verdana" w:hAnsi="Verdana" w:cs="Arial"/>
          <w:sz w:val="20"/>
        </w:rPr>
      </w:pPr>
    </w:p>
    <w:p w:rsidR="007B1A79" w:rsidRPr="00293551" w:rsidRDefault="007B1A79" w:rsidP="007B1A79">
      <w:pPr>
        <w:ind w:firstLine="357"/>
        <w:jc w:val="center"/>
        <w:rPr>
          <w:rFonts w:ascii="Verdana" w:hAnsi="Verdana" w:cs="Arial"/>
          <w:b/>
          <w:sz w:val="20"/>
        </w:rPr>
      </w:pPr>
      <w:r w:rsidRPr="00293551">
        <w:rPr>
          <w:rFonts w:ascii="Verdana" w:hAnsi="Verdana" w:cs="Arial"/>
          <w:b/>
          <w:sz w:val="20"/>
        </w:rPr>
        <w:t>Recursos de casación elevados al tribunal Supremo</w:t>
      </w:r>
    </w:p>
    <w:tbl>
      <w:tblPr>
        <w:tblW w:w="5920" w:type="dxa"/>
        <w:jc w:val="center"/>
        <w:tblInd w:w="55" w:type="dxa"/>
        <w:tblCellMar>
          <w:left w:w="70" w:type="dxa"/>
          <w:right w:w="70" w:type="dxa"/>
        </w:tblCellMar>
        <w:tblLook w:val="04A0" w:firstRow="1" w:lastRow="0" w:firstColumn="1" w:lastColumn="0" w:noHBand="0" w:noVBand="1"/>
      </w:tblPr>
      <w:tblGrid>
        <w:gridCol w:w="2320"/>
        <w:gridCol w:w="1200"/>
        <w:gridCol w:w="1200"/>
        <w:gridCol w:w="1200"/>
      </w:tblGrid>
      <w:tr w:rsidR="007B1A79" w:rsidRPr="00293551" w:rsidTr="007B1A79">
        <w:trPr>
          <w:trHeight w:val="300"/>
          <w:jc w:val="center"/>
        </w:trPr>
        <w:tc>
          <w:tcPr>
            <w:tcW w:w="2320" w:type="dxa"/>
            <w:tcBorders>
              <w:top w:val="nil"/>
              <w:left w:val="nil"/>
              <w:bottom w:val="nil"/>
              <w:right w:val="nil"/>
            </w:tcBorders>
            <w:shd w:val="clear" w:color="auto" w:fill="auto"/>
            <w:noWrap/>
            <w:vAlign w:val="bottom"/>
            <w:hideMark/>
          </w:tcPr>
          <w:p w:rsidR="007B1A79" w:rsidRPr="00293551" w:rsidRDefault="007B1A79">
            <w:pPr>
              <w:rPr>
                <w:rFonts w:ascii="Calibri" w:hAnsi="Calibri" w:cs="Calibr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A79" w:rsidRPr="00293551" w:rsidRDefault="007B1A79">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pPr>
              <w:jc w:val="center"/>
              <w:rPr>
                <w:rFonts w:ascii="Verdana" w:hAnsi="Verdana" w:cs="Calibri"/>
                <w:color w:val="000000"/>
                <w:sz w:val="20"/>
                <w:szCs w:val="20"/>
              </w:rPr>
            </w:pPr>
            <w:r w:rsidRPr="00293551">
              <w:rPr>
                <w:rFonts w:ascii="Verdana" w:hAnsi="Verdana" w:cs="Calibri"/>
                <w:color w:val="000000"/>
                <w:sz w:val="20"/>
                <w:szCs w:val="20"/>
              </w:rPr>
              <w:t>2017</w:t>
            </w:r>
          </w:p>
        </w:tc>
      </w:tr>
      <w:tr w:rsidR="007B1A79" w:rsidRPr="00293551" w:rsidTr="007B1A79">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A79" w:rsidRPr="00293551" w:rsidRDefault="009B3A7B">
            <w:pPr>
              <w:rPr>
                <w:rFonts w:ascii="Verdana" w:hAnsi="Verdana" w:cs="Calibri"/>
                <w:color w:val="000000"/>
                <w:sz w:val="20"/>
                <w:szCs w:val="20"/>
              </w:rPr>
            </w:pPr>
            <w:r w:rsidRPr="00293551">
              <w:rPr>
                <w:rFonts w:ascii="Verdana" w:hAnsi="Verdana" w:cs="Calibri"/>
                <w:color w:val="000000"/>
                <w:sz w:val="20"/>
                <w:szCs w:val="20"/>
              </w:rPr>
              <w:t>Unificación</w:t>
            </w:r>
            <w:r w:rsidR="007B1A79" w:rsidRPr="00293551">
              <w:rPr>
                <w:rFonts w:ascii="Verdana" w:hAnsi="Verdana" w:cs="Calibri"/>
                <w:color w:val="000000"/>
                <w:sz w:val="20"/>
                <w:szCs w:val="20"/>
              </w:rPr>
              <w:t xml:space="preserve"> de doctrina</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246</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210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94</w:t>
            </w:r>
          </w:p>
        </w:tc>
      </w:tr>
      <w:tr w:rsidR="007B1A79" w:rsidRPr="00293551" w:rsidTr="007B1A7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B1A79" w:rsidRPr="00293551" w:rsidRDefault="007B1A79">
            <w:pPr>
              <w:rPr>
                <w:rFonts w:ascii="Verdana" w:hAnsi="Verdana" w:cs="Calibri"/>
                <w:color w:val="000000"/>
                <w:sz w:val="20"/>
                <w:szCs w:val="20"/>
              </w:rPr>
            </w:pPr>
            <w:r w:rsidRPr="00293551">
              <w:rPr>
                <w:rFonts w:ascii="Verdana" w:hAnsi="Verdana" w:cs="Calibri"/>
                <w:color w:val="000000"/>
                <w:sz w:val="20"/>
                <w:szCs w:val="20"/>
              </w:rPr>
              <w:t>Interés de ley</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55</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Calibri" w:hAnsi="Calibri" w:cs="Calibri"/>
                <w:color w:val="000000"/>
                <w:sz w:val="20"/>
                <w:szCs w:val="20"/>
              </w:rPr>
            </w:pPr>
            <w:r w:rsidRPr="00293551">
              <w:rPr>
                <w:rFonts w:ascii="Calibri" w:hAnsi="Calibri" w:cs="Calibri"/>
                <w:color w:val="000000"/>
                <w:sz w:val="20"/>
                <w:szCs w:val="20"/>
              </w:rPr>
              <w:t>2</w:t>
            </w:r>
          </w:p>
        </w:tc>
      </w:tr>
      <w:tr w:rsidR="007B1A79" w:rsidRPr="00293551" w:rsidTr="007B1A7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7B1A79" w:rsidRPr="00293551" w:rsidRDefault="007B1A79">
            <w:pPr>
              <w:rPr>
                <w:rFonts w:ascii="Calibri" w:hAnsi="Calibri" w:cs="Calibri"/>
                <w:color w:val="000000"/>
                <w:sz w:val="22"/>
                <w:szCs w:val="22"/>
              </w:rPr>
            </w:pPr>
            <w:r w:rsidRPr="00293551">
              <w:rPr>
                <w:rFonts w:ascii="Calibri" w:hAnsi="Calibri" w:cs="Calibri"/>
                <w:color w:val="000000"/>
                <w:sz w:val="22"/>
                <w:szCs w:val="22"/>
              </w:rPr>
              <w:t>Casación ordinaria</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2.262</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1.804</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pPr>
              <w:jc w:val="right"/>
              <w:rPr>
                <w:rFonts w:ascii="Verdana" w:hAnsi="Verdana" w:cs="Calibri"/>
                <w:color w:val="000000"/>
                <w:sz w:val="20"/>
                <w:szCs w:val="20"/>
              </w:rPr>
            </w:pPr>
            <w:r w:rsidRPr="00293551">
              <w:rPr>
                <w:rFonts w:ascii="Verdana" w:hAnsi="Verdana" w:cs="Calibri"/>
                <w:color w:val="000000"/>
                <w:sz w:val="20"/>
                <w:szCs w:val="20"/>
              </w:rPr>
              <w:t>763</w:t>
            </w:r>
          </w:p>
        </w:tc>
      </w:tr>
    </w:tbl>
    <w:p w:rsidR="007B1A79" w:rsidRPr="00293551" w:rsidRDefault="007B1A79" w:rsidP="007B1A79">
      <w:pPr>
        <w:ind w:firstLine="357"/>
        <w:jc w:val="both"/>
        <w:rPr>
          <w:rFonts w:ascii="Verdana" w:hAnsi="Verdana" w:cs="Arial"/>
          <w:sz w:val="20"/>
        </w:rPr>
      </w:pPr>
      <w:r w:rsidRPr="00293551">
        <w:rPr>
          <w:rFonts w:ascii="Verdana" w:hAnsi="Verdana" w:cs="Arial"/>
          <w:sz w:val="20"/>
        </w:rPr>
        <w:t xml:space="preserve"> </w:t>
      </w:r>
    </w:p>
    <w:p w:rsidR="00195B05" w:rsidRPr="00293551" w:rsidRDefault="00195B05">
      <w:pPr>
        <w:rPr>
          <w:lang w:val="es-ES"/>
        </w:rPr>
      </w:pPr>
    </w:p>
    <w:p w:rsidR="007B1A79" w:rsidRPr="00293551" w:rsidRDefault="007B1A79" w:rsidP="007B1A79">
      <w:pPr>
        <w:ind w:firstLine="357"/>
        <w:jc w:val="both"/>
      </w:pPr>
      <w:r w:rsidRPr="00293551">
        <w:rPr>
          <w:rFonts w:ascii="Verdana" w:hAnsi="Verdana" w:cs="Arial"/>
          <w:sz w:val="20"/>
        </w:rPr>
        <w:t xml:space="preserve">Para las sentencias dictadas con posterioridad al 22 de julio se observa, el gran número de recursos elevados y el </w:t>
      </w:r>
      <w:r w:rsidR="009B3A7B" w:rsidRPr="00293551">
        <w:rPr>
          <w:rFonts w:ascii="Verdana" w:hAnsi="Verdana" w:cs="Arial"/>
          <w:sz w:val="20"/>
        </w:rPr>
        <w:t>predominio</w:t>
      </w:r>
      <w:r w:rsidRPr="00293551">
        <w:rPr>
          <w:rFonts w:ascii="Verdana" w:hAnsi="Verdana" w:cs="Arial"/>
          <w:sz w:val="20"/>
        </w:rPr>
        <w:t xml:space="preserve"> de las inadmisiones en los recursos devueltos.</w:t>
      </w:r>
    </w:p>
    <w:p w:rsidR="007B1A79" w:rsidRPr="00293551" w:rsidRDefault="007B1A79"/>
    <w:p w:rsidR="007B1A79" w:rsidRPr="00293551" w:rsidRDefault="007B1A79" w:rsidP="007B1A79">
      <w:pPr>
        <w:rPr>
          <w:rFonts w:ascii="Verdana" w:hAnsi="Verdana" w:cs="Calibri"/>
          <w:b/>
          <w:color w:val="000000"/>
          <w:sz w:val="20"/>
          <w:szCs w:val="20"/>
        </w:rPr>
      </w:pPr>
      <w:r w:rsidRPr="00293551">
        <w:rPr>
          <w:rFonts w:ascii="Verdana" w:hAnsi="Verdana" w:cs="Calibri"/>
          <w:b/>
          <w:color w:val="000000"/>
          <w:sz w:val="20"/>
          <w:szCs w:val="20"/>
        </w:rPr>
        <w:lastRenderedPageBreak/>
        <w:t>Contra sentencias en única instancia</w:t>
      </w:r>
    </w:p>
    <w:tbl>
      <w:tblPr>
        <w:tblW w:w="8320" w:type="dxa"/>
        <w:tblInd w:w="55" w:type="dxa"/>
        <w:tblCellMar>
          <w:left w:w="70" w:type="dxa"/>
          <w:right w:w="70" w:type="dxa"/>
        </w:tblCellMar>
        <w:tblLook w:val="04A0" w:firstRow="1" w:lastRow="0" w:firstColumn="1" w:lastColumn="0" w:noHBand="0" w:noVBand="1"/>
      </w:tblPr>
      <w:tblGrid>
        <w:gridCol w:w="4720"/>
        <w:gridCol w:w="1200"/>
        <w:gridCol w:w="1200"/>
        <w:gridCol w:w="1200"/>
      </w:tblGrid>
      <w:tr w:rsidR="007B1A79" w:rsidRPr="00293551" w:rsidTr="002766EF">
        <w:trPr>
          <w:trHeight w:val="300"/>
        </w:trPr>
        <w:tc>
          <w:tcPr>
            <w:tcW w:w="4720" w:type="dxa"/>
            <w:tcBorders>
              <w:top w:val="nil"/>
              <w:left w:val="nil"/>
              <w:bottom w:val="nil"/>
              <w:right w:val="nil"/>
            </w:tcBorders>
            <w:shd w:val="clear" w:color="auto" w:fill="auto"/>
            <w:noWrap/>
            <w:vAlign w:val="bottom"/>
            <w:hideMark/>
          </w:tcPr>
          <w:p w:rsidR="007B1A79" w:rsidRPr="00293551" w:rsidRDefault="007B1A79" w:rsidP="002766EF">
            <w:pPr>
              <w:rPr>
                <w:rFonts w:ascii="Verdana" w:hAnsi="Verdana" w:cs="Calibri"/>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2017</w:t>
            </w:r>
          </w:p>
        </w:tc>
      </w:tr>
      <w:tr w:rsidR="007B1A79"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286</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3.414</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Elevados al Tribunal Superior de Justicia</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101</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23</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1.583</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 inadmisiones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1.299</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 xml:space="preserve">Nº desestimaciones totales de la casación </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213</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desestimaciones parciales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15</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aceptaciones totales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52</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 anulaciones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4</w:t>
            </w:r>
          </w:p>
        </w:tc>
      </w:tr>
    </w:tbl>
    <w:p w:rsidR="007B1A79" w:rsidRPr="00293551" w:rsidRDefault="007B1A79" w:rsidP="007B1A79">
      <w:pPr>
        <w:jc w:val="both"/>
        <w:rPr>
          <w:rFonts w:ascii="Verdana" w:hAnsi="Verdana" w:cs="Calibri"/>
          <w:b/>
          <w:color w:val="000000"/>
          <w:sz w:val="20"/>
          <w:szCs w:val="20"/>
        </w:rPr>
      </w:pPr>
    </w:p>
    <w:p w:rsidR="007B1A79" w:rsidRPr="00293551" w:rsidRDefault="007B1A79" w:rsidP="007B1A79">
      <w:pPr>
        <w:jc w:val="both"/>
        <w:rPr>
          <w:rFonts w:ascii="Verdana" w:hAnsi="Verdana" w:cs="Calibri"/>
          <w:b/>
          <w:color w:val="000000"/>
          <w:sz w:val="20"/>
          <w:szCs w:val="20"/>
        </w:rPr>
      </w:pPr>
      <w:r w:rsidRPr="00293551">
        <w:rPr>
          <w:rFonts w:ascii="Verdana" w:hAnsi="Verdana" w:cs="Calibri"/>
          <w:b/>
          <w:color w:val="000000"/>
          <w:sz w:val="20"/>
          <w:szCs w:val="20"/>
        </w:rPr>
        <w:t>Contra sentencias en apelación</w:t>
      </w:r>
    </w:p>
    <w:tbl>
      <w:tblPr>
        <w:tblW w:w="8320" w:type="dxa"/>
        <w:tblInd w:w="55" w:type="dxa"/>
        <w:tblCellMar>
          <w:left w:w="70" w:type="dxa"/>
          <w:right w:w="70" w:type="dxa"/>
        </w:tblCellMar>
        <w:tblLook w:val="04A0" w:firstRow="1" w:lastRow="0" w:firstColumn="1" w:lastColumn="0" w:noHBand="0" w:noVBand="1"/>
      </w:tblPr>
      <w:tblGrid>
        <w:gridCol w:w="4720"/>
        <w:gridCol w:w="1200"/>
        <w:gridCol w:w="1200"/>
        <w:gridCol w:w="1200"/>
      </w:tblGrid>
      <w:tr w:rsidR="007B1A79" w:rsidRPr="00293551" w:rsidTr="002766EF">
        <w:trPr>
          <w:trHeight w:val="300"/>
        </w:trPr>
        <w:tc>
          <w:tcPr>
            <w:tcW w:w="4720" w:type="dxa"/>
            <w:tcBorders>
              <w:top w:val="nil"/>
              <w:left w:val="nil"/>
              <w:bottom w:val="nil"/>
              <w:right w:val="nil"/>
            </w:tcBorders>
            <w:shd w:val="clear" w:color="auto" w:fill="auto"/>
            <w:noWrap/>
            <w:vAlign w:val="bottom"/>
            <w:hideMark/>
          </w:tcPr>
          <w:p w:rsidR="007B1A79" w:rsidRPr="00293551" w:rsidRDefault="007B1A79" w:rsidP="002766EF">
            <w:pPr>
              <w:rPr>
                <w:rFonts w:ascii="Verdana" w:hAnsi="Verdana" w:cs="Calibri"/>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1A79" w:rsidRPr="00293551" w:rsidRDefault="007B1A79" w:rsidP="002766EF">
            <w:pPr>
              <w:jc w:val="center"/>
              <w:rPr>
                <w:rFonts w:ascii="Verdana" w:hAnsi="Verdana" w:cs="Calibri"/>
                <w:color w:val="000000"/>
                <w:sz w:val="20"/>
                <w:szCs w:val="20"/>
              </w:rPr>
            </w:pPr>
            <w:r w:rsidRPr="00293551">
              <w:rPr>
                <w:rFonts w:ascii="Verdana" w:hAnsi="Verdana" w:cs="Calibri"/>
                <w:color w:val="000000"/>
                <w:sz w:val="20"/>
                <w:szCs w:val="20"/>
              </w:rPr>
              <w:t>2017</w:t>
            </w:r>
          </w:p>
        </w:tc>
      </w:tr>
      <w:tr w:rsidR="007B1A79"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69</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1.721</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Elevados al Tribunal Superior de Justicia</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106</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7</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643</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 inadmisiones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7</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623</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 xml:space="preserve">Nº desestimaciones totales de la casación </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15</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desestimaciones parciales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1</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aceptaciones totales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3</w:t>
            </w:r>
          </w:p>
        </w:tc>
      </w:tr>
      <w:tr w:rsidR="007B1A79"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7B1A79" w:rsidRPr="00293551" w:rsidRDefault="007B1A79" w:rsidP="002766EF">
            <w:pPr>
              <w:rPr>
                <w:rFonts w:ascii="Verdana" w:hAnsi="Verdana" w:cs="Calibri"/>
                <w:color w:val="000000"/>
                <w:sz w:val="20"/>
                <w:szCs w:val="20"/>
              </w:rPr>
            </w:pPr>
            <w:r w:rsidRPr="00293551">
              <w:rPr>
                <w:rFonts w:ascii="Verdana" w:hAnsi="Verdana" w:cs="Calibri"/>
                <w:color w:val="000000"/>
                <w:sz w:val="20"/>
                <w:szCs w:val="20"/>
              </w:rPr>
              <w:t>Nº de anulaciones</w:t>
            </w:r>
          </w:p>
        </w:tc>
        <w:tc>
          <w:tcPr>
            <w:tcW w:w="1200" w:type="dxa"/>
            <w:tcBorders>
              <w:top w:val="nil"/>
              <w:left w:val="nil"/>
              <w:bottom w:val="single" w:sz="4" w:space="0" w:color="auto"/>
              <w:right w:val="single" w:sz="4" w:space="0" w:color="auto"/>
            </w:tcBorders>
            <w:shd w:val="clear" w:color="000000" w:fill="BFBFBF"/>
            <w:noWrap/>
            <w:vAlign w:val="center"/>
            <w:hideMark/>
          </w:tcPr>
          <w:p w:rsidR="007B1A79" w:rsidRPr="00293551" w:rsidRDefault="007B1A79"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7B1A79" w:rsidRPr="00293551" w:rsidRDefault="007B1A79"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bl>
    <w:p w:rsidR="007B1A79" w:rsidRPr="00293551" w:rsidRDefault="007B1A79" w:rsidP="007B1A79">
      <w:pPr>
        <w:spacing w:line="360" w:lineRule="auto"/>
        <w:jc w:val="both"/>
        <w:rPr>
          <w:rFonts w:ascii="Verdana" w:hAnsi="Verdana"/>
        </w:rPr>
      </w:pPr>
    </w:p>
    <w:p w:rsidR="00630EB1" w:rsidRPr="00293551" w:rsidRDefault="00630EB1" w:rsidP="00630EB1">
      <w:pPr>
        <w:ind w:firstLine="357"/>
        <w:jc w:val="both"/>
        <w:rPr>
          <w:rFonts w:ascii="Verdana" w:hAnsi="Verdana" w:cs="Arial"/>
          <w:sz w:val="20"/>
        </w:rPr>
      </w:pPr>
      <w:r w:rsidRPr="00293551">
        <w:rPr>
          <w:rFonts w:ascii="Verdana" w:hAnsi="Verdana" w:cs="Arial"/>
          <w:sz w:val="20"/>
        </w:rPr>
        <w:t xml:space="preserve">El ratio recursos de casación elevados </w:t>
      </w:r>
      <w:r w:rsidR="009B3A7B" w:rsidRPr="00293551">
        <w:rPr>
          <w:rFonts w:ascii="Verdana" w:hAnsi="Verdana" w:cs="Arial"/>
          <w:sz w:val="20"/>
        </w:rPr>
        <w:t>respecto a</w:t>
      </w:r>
      <w:r w:rsidRPr="00293551">
        <w:rPr>
          <w:rFonts w:ascii="Verdana" w:hAnsi="Verdana" w:cs="Arial"/>
          <w:sz w:val="20"/>
        </w:rPr>
        <w:t xml:space="preserve"> sentencias dictadas ha tenido la siguiente evolución </w:t>
      </w:r>
      <w:r w:rsidR="009B3A7B" w:rsidRPr="00293551">
        <w:rPr>
          <w:rFonts w:ascii="Verdana" w:hAnsi="Verdana" w:cs="Arial"/>
          <w:sz w:val="20"/>
        </w:rPr>
        <w:t>en</w:t>
      </w:r>
      <w:r w:rsidRPr="00293551">
        <w:rPr>
          <w:rFonts w:ascii="Verdana" w:hAnsi="Verdana" w:cs="Arial"/>
          <w:sz w:val="20"/>
        </w:rPr>
        <w:t xml:space="preserve"> los tres últimos años:</w:t>
      </w:r>
    </w:p>
    <w:p w:rsidR="00630EB1" w:rsidRPr="00293551" w:rsidRDefault="00630EB1" w:rsidP="007B1A79">
      <w:pPr>
        <w:spacing w:line="360" w:lineRule="auto"/>
        <w:jc w:val="both"/>
        <w:rPr>
          <w:rFonts w:ascii="Verdana" w:hAnsi="Verdana"/>
        </w:rPr>
      </w:pP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630EB1" w:rsidRPr="00293551" w:rsidTr="00630EB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EB1" w:rsidRPr="00293551" w:rsidRDefault="00630EB1">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0EB1" w:rsidRPr="00293551" w:rsidRDefault="00630EB1">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0EB1" w:rsidRPr="00293551" w:rsidRDefault="00630EB1">
            <w:pPr>
              <w:jc w:val="center"/>
              <w:rPr>
                <w:rFonts w:ascii="Verdana" w:hAnsi="Verdana" w:cs="Calibri"/>
                <w:color w:val="000000"/>
                <w:sz w:val="20"/>
                <w:szCs w:val="20"/>
              </w:rPr>
            </w:pPr>
            <w:r w:rsidRPr="00293551">
              <w:rPr>
                <w:rFonts w:ascii="Verdana" w:hAnsi="Verdana" w:cs="Calibri"/>
                <w:color w:val="000000"/>
                <w:sz w:val="20"/>
                <w:szCs w:val="20"/>
              </w:rPr>
              <w:t>2017</w:t>
            </w:r>
          </w:p>
        </w:tc>
      </w:tr>
      <w:tr w:rsidR="00630EB1" w:rsidRPr="00293551" w:rsidTr="00630EB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30EB1" w:rsidRPr="00293551" w:rsidRDefault="00630EB1">
            <w:pPr>
              <w:jc w:val="right"/>
              <w:rPr>
                <w:rFonts w:ascii="Verdana" w:hAnsi="Verdana" w:cs="Calibri"/>
                <w:color w:val="000000"/>
                <w:sz w:val="20"/>
                <w:szCs w:val="20"/>
              </w:rPr>
            </w:pPr>
            <w:r w:rsidRPr="00293551">
              <w:rPr>
                <w:rFonts w:ascii="Verdana" w:hAnsi="Verdana" w:cs="Calibri"/>
                <w:color w:val="000000"/>
                <w:sz w:val="20"/>
                <w:szCs w:val="20"/>
              </w:rPr>
              <w:t>5,2%</w:t>
            </w:r>
          </w:p>
        </w:tc>
        <w:tc>
          <w:tcPr>
            <w:tcW w:w="1200" w:type="dxa"/>
            <w:tcBorders>
              <w:top w:val="nil"/>
              <w:left w:val="nil"/>
              <w:bottom w:val="single" w:sz="4" w:space="0" w:color="auto"/>
              <w:right w:val="single" w:sz="4" w:space="0" w:color="auto"/>
            </w:tcBorders>
            <w:shd w:val="clear" w:color="auto" w:fill="auto"/>
            <w:noWrap/>
            <w:vAlign w:val="center"/>
            <w:hideMark/>
          </w:tcPr>
          <w:p w:rsidR="00630EB1" w:rsidRPr="00293551" w:rsidRDefault="00630EB1">
            <w:pPr>
              <w:jc w:val="right"/>
              <w:rPr>
                <w:rFonts w:ascii="Verdana" w:hAnsi="Verdana" w:cs="Calibri"/>
                <w:color w:val="000000"/>
                <w:sz w:val="20"/>
                <w:szCs w:val="20"/>
              </w:rPr>
            </w:pPr>
            <w:r w:rsidRPr="00293551">
              <w:rPr>
                <w:rFonts w:ascii="Verdana" w:hAnsi="Verdana" w:cs="Calibri"/>
                <w:color w:val="000000"/>
                <w:sz w:val="20"/>
                <w:szCs w:val="20"/>
              </w:rPr>
              <w:t>5,1%</w:t>
            </w:r>
          </w:p>
        </w:tc>
        <w:tc>
          <w:tcPr>
            <w:tcW w:w="1200" w:type="dxa"/>
            <w:tcBorders>
              <w:top w:val="nil"/>
              <w:left w:val="nil"/>
              <w:bottom w:val="single" w:sz="4" w:space="0" w:color="auto"/>
              <w:right w:val="single" w:sz="4" w:space="0" w:color="auto"/>
            </w:tcBorders>
            <w:shd w:val="clear" w:color="auto" w:fill="auto"/>
            <w:noWrap/>
            <w:vAlign w:val="center"/>
            <w:hideMark/>
          </w:tcPr>
          <w:p w:rsidR="00630EB1" w:rsidRPr="00293551" w:rsidRDefault="00630EB1">
            <w:pPr>
              <w:jc w:val="right"/>
              <w:rPr>
                <w:rFonts w:ascii="Verdana" w:hAnsi="Verdana" w:cs="Calibri"/>
                <w:color w:val="000000"/>
                <w:sz w:val="20"/>
                <w:szCs w:val="20"/>
              </w:rPr>
            </w:pPr>
            <w:r w:rsidRPr="00293551">
              <w:rPr>
                <w:rFonts w:ascii="Verdana" w:hAnsi="Verdana" w:cs="Calibri"/>
                <w:color w:val="000000"/>
                <w:sz w:val="20"/>
                <w:szCs w:val="20"/>
              </w:rPr>
              <w:t>13,7%</w:t>
            </w:r>
          </w:p>
        </w:tc>
      </w:tr>
    </w:tbl>
    <w:p w:rsidR="00630EB1" w:rsidRPr="00293551" w:rsidRDefault="00630EB1" w:rsidP="007B1A79">
      <w:pPr>
        <w:spacing w:line="360" w:lineRule="auto"/>
        <w:jc w:val="both"/>
        <w:rPr>
          <w:rFonts w:ascii="Verdana" w:hAnsi="Verdana"/>
        </w:rPr>
      </w:pPr>
    </w:p>
    <w:p w:rsidR="007B1A79" w:rsidRPr="00293551" w:rsidRDefault="007B1A79"/>
    <w:p w:rsidR="00977724" w:rsidRPr="00293551" w:rsidRDefault="00977724" w:rsidP="00977724">
      <w:pPr>
        <w:ind w:firstLine="357"/>
        <w:jc w:val="both"/>
        <w:rPr>
          <w:rFonts w:ascii="Verdana" w:hAnsi="Verdana" w:cs="Arial"/>
          <w:sz w:val="20"/>
        </w:rPr>
      </w:pPr>
      <w:r w:rsidRPr="00293551">
        <w:rPr>
          <w:rFonts w:ascii="Verdana" w:hAnsi="Verdana" w:cs="Arial"/>
          <w:sz w:val="20"/>
        </w:rPr>
        <w:t xml:space="preserve">En la sala de lo contencioso administrativo de la Audiencia Nacional el número de recursos elevados contra sentencias </w:t>
      </w:r>
      <w:r w:rsidR="009B3A7B" w:rsidRPr="00293551">
        <w:rPr>
          <w:rFonts w:ascii="Verdana" w:hAnsi="Verdana" w:cs="Arial"/>
          <w:sz w:val="20"/>
        </w:rPr>
        <w:t>anteriores</w:t>
      </w:r>
      <w:r w:rsidRPr="00293551">
        <w:rPr>
          <w:rFonts w:ascii="Verdana" w:hAnsi="Verdana" w:cs="Arial"/>
          <w:sz w:val="20"/>
        </w:rPr>
        <w:t xml:space="preserve"> al 22 de julio ha caído drásticamente. </w:t>
      </w:r>
    </w:p>
    <w:p w:rsidR="00977724" w:rsidRPr="00293551" w:rsidRDefault="00977724" w:rsidP="00977724">
      <w:pPr>
        <w:ind w:firstLine="357"/>
        <w:jc w:val="both"/>
        <w:rPr>
          <w:rFonts w:ascii="Verdana" w:hAnsi="Verdana" w:cs="Arial"/>
          <w:sz w:val="20"/>
        </w:rPr>
      </w:pPr>
    </w:p>
    <w:tbl>
      <w:tblPr>
        <w:tblW w:w="5920" w:type="dxa"/>
        <w:jc w:val="center"/>
        <w:tblInd w:w="55" w:type="dxa"/>
        <w:tblCellMar>
          <w:left w:w="70" w:type="dxa"/>
          <w:right w:w="70" w:type="dxa"/>
        </w:tblCellMar>
        <w:tblLook w:val="04A0" w:firstRow="1" w:lastRow="0" w:firstColumn="1" w:lastColumn="0" w:noHBand="0" w:noVBand="1"/>
      </w:tblPr>
      <w:tblGrid>
        <w:gridCol w:w="2320"/>
        <w:gridCol w:w="1200"/>
        <w:gridCol w:w="1200"/>
        <w:gridCol w:w="1200"/>
      </w:tblGrid>
      <w:tr w:rsidR="00977724" w:rsidRPr="00293551" w:rsidTr="00977724">
        <w:trPr>
          <w:trHeight w:val="300"/>
          <w:jc w:val="center"/>
        </w:trPr>
        <w:tc>
          <w:tcPr>
            <w:tcW w:w="2320" w:type="dxa"/>
            <w:tcBorders>
              <w:top w:val="nil"/>
              <w:left w:val="nil"/>
              <w:bottom w:val="nil"/>
              <w:right w:val="nil"/>
            </w:tcBorders>
            <w:shd w:val="clear" w:color="auto" w:fill="auto"/>
            <w:noWrap/>
            <w:vAlign w:val="bottom"/>
            <w:hideMark/>
          </w:tcPr>
          <w:p w:rsidR="00977724" w:rsidRPr="00293551" w:rsidRDefault="00977724">
            <w:pPr>
              <w:rPr>
                <w:rFonts w:ascii="Calibri" w:hAnsi="Calibri" w:cs="Calibr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2017</w:t>
            </w:r>
          </w:p>
        </w:tc>
      </w:tr>
      <w:tr w:rsidR="00977724" w:rsidRPr="00293551" w:rsidTr="00977724">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24" w:rsidRPr="00293551" w:rsidRDefault="009B3A7B">
            <w:pPr>
              <w:rPr>
                <w:rFonts w:ascii="Verdana" w:hAnsi="Verdana" w:cs="Calibri"/>
                <w:color w:val="000000"/>
                <w:sz w:val="20"/>
                <w:szCs w:val="20"/>
              </w:rPr>
            </w:pPr>
            <w:r w:rsidRPr="00293551">
              <w:rPr>
                <w:rFonts w:ascii="Verdana" w:hAnsi="Verdana" w:cs="Calibri"/>
                <w:color w:val="000000"/>
                <w:sz w:val="20"/>
                <w:szCs w:val="20"/>
              </w:rPr>
              <w:t>Unificación</w:t>
            </w:r>
            <w:r w:rsidR="00977724" w:rsidRPr="00293551">
              <w:rPr>
                <w:rFonts w:ascii="Verdana" w:hAnsi="Verdana" w:cs="Calibri"/>
                <w:color w:val="000000"/>
                <w:sz w:val="20"/>
                <w:szCs w:val="20"/>
              </w:rPr>
              <w:t xml:space="preserve"> de doctrina</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40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45</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1</w:t>
            </w:r>
          </w:p>
        </w:tc>
      </w:tr>
      <w:tr w:rsidR="00977724" w:rsidRPr="00293551" w:rsidTr="0097772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77724" w:rsidRPr="00293551" w:rsidRDefault="00977724">
            <w:pPr>
              <w:rPr>
                <w:rFonts w:ascii="Verdana" w:hAnsi="Verdana" w:cs="Calibri"/>
                <w:color w:val="000000"/>
                <w:sz w:val="20"/>
                <w:szCs w:val="20"/>
              </w:rPr>
            </w:pPr>
            <w:r w:rsidRPr="00293551">
              <w:rPr>
                <w:rFonts w:ascii="Verdana" w:hAnsi="Verdana" w:cs="Calibri"/>
                <w:color w:val="000000"/>
                <w:sz w:val="20"/>
                <w:szCs w:val="20"/>
              </w:rPr>
              <w:t>Interés de ley</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22</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Calibri" w:hAnsi="Calibri" w:cs="Calibri"/>
                <w:color w:val="000000"/>
                <w:sz w:val="20"/>
                <w:szCs w:val="20"/>
              </w:rPr>
            </w:pPr>
            <w:r w:rsidRPr="00293551">
              <w:rPr>
                <w:rFonts w:ascii="Calibri" w:hAnsi="Calibri" w:cs="Calibri"/>
                <w:color w:val="000000"/>
                <w:sz w:val="20"/>
                <w:szCs w:val="20"/>
              </w:rPr>
              <w:t>0</w:t>
            </w:r>
          </w:p>
        </w:tc>
      </w:tr>
      <w:tr w:rsidR="00977724" w:rsidRPr="00293551" w:rsidTr="0097772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77724" w:rsidRPr="00293551" w:rsidRDefault="00977724">
            <w:pPr>
              <w:rPr>
                <w:rFonts w:ascii="Calibri" w:hAnsi="Calibri" w:cs="Calibri"/>
                <w:color w:val="000000"/>
                <w:sz w:val="22"/>
                <w:szCs w:val="22"/>
              </w:rPr>
            </w:pPr>
            <w:r w:rsidRPr="00293551">
              <w:rPr>
                <w:rFonts w:ascii="Calibri" w:hAnsi="Calibri" w:cs="Calibri"/>
                <w:color w:val="000000"/>
                <w:sz w:val="22"/>
                <w:szCs w:val="22"/>
              </w:rPr>
              <w:t>Casación ordinaria</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917</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922</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73</w:t>
            </w:r>
          </w:p>
        </w:tc>
      </w:tr>
    </w:tbl>
    <w:p w:rsidR="00977724" w:rsidRPr="00293551" w:rsidRDefault="00977724" w:rsidP="00977724">
      <w:pPr>
        <w:ind w:firstLine="357"/>
        <w:jc w:val="both"/>
        <w:rPr>
          <w:rFonts w:ascii="Verdana" w:hAnsi="Verdana" w:cs="Arial"/>
          <w:sz w:val="20"/>
        </w:rPr>
      </w:pPr>
    </w:p>
    <w:p w:rsidR="00977724" w:rsidRPr="00293551" w:rsidRDefault="002766EF" w:rsidP="00977724">
      <w:pPr>
        <w:ind w:firstLine="357"/>
        <w:jc w:val="both"/>
        <w:rPr>
          <w:rFonts w:ascii="Verdana" w:hAnsi="Verdana" w:cs="Arial"/>
          <w:sz w:val="20"/>
        </w:rPr>
      </w:pPr>
      <w:r w:rsidRPr="00293551">
        <w:rPr>
          <w:rFonts w:ascii="Verdana" w:hAnsi="Verdana" w:cs="Arial"/>
          <w:sz w:val="20"/>
        </w:rPr>
        <w:t xml:space="preserve">Respecto a los recursos contra sentencias posteriores al 22 de julio, han crecido en </w:t>
      </w:r>
      <w:r w:rsidR="009B3A7B" w:rsidRPr="00293551">
        <w:rPr>
          <w:rFonts w:ascii="Verdana" w:hAnsi="Verdana" w:cs="Arial"/>
          <w:sz w:val="20"/>
        </w:rPr>
        <w:t>menor</w:t>
      </w:r>
      <w:r w:rsidRPr="00293551">
        <w:rPr>
          <w:rFonts w:ascii="Verdana" w:hAnsi="Verdana" w:cs="Arial"/>
          <w:sz w:val="20"/>
        </w:rPr>
        <w:t xml:space="preserve"> medida que en los demás órganos</w:t>
      </w:r>
      <w:r w:rsidR="00EF1B64" w:rsidRPr="00293551">
        <w:rPr>
          <w:rFonts w:ascii="Verdana" w:hAnsi="Verdana" w:cs="Arial"/>
          <w:sz w:val="20"/>
        </w:rPr>
        <w:t xml:space="preserve"> d</w:t>
      </w:r>
      <w:r w:rsidRPr="00293551">
        <w:rPr>
          <w:rFonts w:ascii="Verdana" w:hAnsi="Verdana" w:cs="Arial"/>
          <w:sz w:val="20"/>
        </w:rPr>
        <w:t>e</w:t>
      </w:r>
      <w:r w:rsidR="00EF1B64" w:rsidRPr="00293551">
        <w:rPr>
          <w:rFonts w:ascii="Verdana" w:hAnsi="Verdana" w:cs="Arial"/>
          <w:sz w:val="20"/>
        </w:rPr>
        <w:t xml:space="preserve"> </w:t>
      </w:r>
      <w:r w:rsidRPr="00293551">
        <w:rPr>
          <w:rFonts w:ascii="Verdana" w:hAnsi="Verdana" w:cs="Arial"/>
          <w:sz w:val="20"/>
        </w:rPr>
        <w:t xml:space="preserve">esta jurisdicción, y </w:t>
      </w:r>
      <w:r w:rsidR="00EF1B64" w:rsidRPr="00293551">
        <w:rPr>
          <w:rFonts w:ascii="Verdana" w:hAnsi="Verdana" w:cs="Arial"/>
          <w:sz w:val="20"/>
        </w:rPr>
        <w:t xml:space="preserve">entre los recursos devueltos,  </w:t>
      </w:r>
      <w:r w:rsidRPr="00293551">
        <w:rPr>
          <w:rFonts w:ascii="Verdana" w:hAnsi="Verdana" w:cs="Arial"/>
          <w:sz w:val="20"/>
        </w:rPr>
        <w:t>la</w:t>
      </w:r>
      <w:r w:rsidR="00EF1B64" w:rsidRPr="00293551">
        <w:rPr>
          <w:rFonts w:ascii="Verdana" w:hAnsi="Verdana" w:cs="Arial"/>
          <w:sz w:val="20"/>
        </w:rPr>
        <w:t>s inadmisiones, aun siendo mayoritarias, también tienen un peso menor.</w:t>
      </w:r>
    </w:p>
    <w:p w:rsidR="00EF1B64" w:rsidRPr="00293551" w:rsidRDefault="00EF1B64" w:rsidP="00977724">
      <w:pPr>
        <w:ind w:firstLine="357"/>
        <w:jc w:val="both"/>
        <w:rPr>
          <w:rFonts w:ascii="Verdana" w:hAnsi="Verdana" w:cs="Arial"/>
          <w:sz w:val="20"/>
        </w:rPr>
      </w:pPr>
    </w:p>
    <w:p w:rsidR="00977724" w:rsidRPr="00293551" w:rsidRDefault="00977724" w:rsidP="00977724">
      <w:pPr>
        <w:rPr>
          <w:rFonts w:ascii="Verdana" w:hAnsi="Verdana" w:cs="Calibri"/>
          <w:b/>
          <w:color w:val="000000"/>
          <w:sz w:val="20"/>
          <w:szCs w:val="20"/>
        </w:rPr>
      </w:pPr>
      <w:r w:rsidRPr="00293551">
        <w:rPr>
          <w:rFonts w:ascii="Verdana" w:hAnsi="Verdana" w:cs="Calibri"/>
          <w:b/>
          <w:color w:val="000000"/>
          <w:sz w:val="20"/>
          <w:szCs w:val="20"/>
        </w:rPr>
        <w:t>Contra sentencias en única instancia</w:t>
      </w:r>
    </w:p>
    <w:tbl>
      <w:tblPr>
        <w:tblW w:w="8320" w:type="dxa"/>
        <w:tblInd w:w="55" w:type="dxa"/>
        <w:tblCellMar>
          <w:left w:w="70" w:type="dxa"/>
          <w:right w:w="70" w:type="dxa"/>
        </w:tblCellMar>
        <w:tblLook w:val="04A0" w:firstRow="1" w:lastRow="0" w:firstColumn="1" w:lastColumn="0" w:noHBand="0" w:noVBand="1"/>
      </w:tblPr>
      <w:tblGrid>
        <w:gridCol w:w="4720"/>
        <w:gridCol w:w="1200"/>
        <w:gridCol w:w="1200"/>
        <w:gridCol w:w="1200"/>
      </w:tblGrid>
      <w:tr w:rsidR="00977724" w:rsidRPr="00293551" w:rsidTr="002766EF">
        <w:trPr>
          <w:trHeight w:val="300"/>
        </w:trPr>
        <w:tc>
          <w:tcPr>
            <w:tcW w:w="4720" w:type="dxa"/>
            <w:tcBorders>
              <w:top w:val="nil"/>
              <w:left w:val="nil"/>
              <w:bottom w:val="nil"/>
              <w:right w:val="nil"/>
            </w:tcBorders>
            <w:shd w:val="clear" w:color="auto" w:fill="auto"/>
            <w:noWrap/>
            <w:vAlign w:val="bottom"/>
            <w:hideMark/>
          </w:tcPr>
          <w:p w:rsidR="00977724" w:rsidRPr="00293551" w:rsidRDefault="00977724" w:rsidP="002766EF">
            <w:pPr>
              <w:rPr>
                <w:rFonts w:ascii="Verdana" w:hAnsi="Verdana" w:cs="Calibri"/>
                <w:color w:val="000000"/>
              </w:rPr>
            </w:pPr>
          </w:p>
          <w:p w:rsidR="00977724" w:rsidRPr="00293551" w:rsidRDefault="00977724" w:rsidP="002766EF">
            <w:pPr>
              <w:rPr>
                <w:rFonts w:ascii="Verdana" w:hAnsi="Verdana" w:cs="Calibri"/>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2017</w:t>
            </w:r>
          </w:p>
        </w:tc>
      </w:tr>
      <w:tr w:rsidR="00977724"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70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893</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32</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616</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 inadmisiones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373</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lastRenderedPageBreak/>
              <w:t xml:space="preserve">Nº desestimaciones totales de la casación </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21</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214</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desestimaciones parciales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6</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aceptaciones totales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23</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 anulaciones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r w:rsidR="00977724" w:rsidRPr="00293551" w:rsidTr="002766EF">
        <w:trPr>
          <w:trHeight w:val="300"/>
        </w:trPr>
        <w:tc>
          <w:tcPr>
            <w:tcW w:w="4720" w:type="dxa"/>
            <w:tcBorders>
              <w:top w:val="nil"/>
              <w:left w:val="nil"/>
              <w:bottom w:val="nil"/>
              <w:right w:val="nil"/>
            </w:tcBorders>
            <w:shd w:val="clear" w:color="auto" w:fill="auto"/>
            <w:noWrap/>
            <w:vAlign w:val="center"/>
            <w:hideMark/>
          </w:tcPr>
          <w:p w:rsidR="00977724" w:rsidRPr="00293551" w:rsidRDefault="00977724" w:rsidP="002766EF">
            <w:pPr>
              <w:rPr>
                <w:rFonts w:ascii="Verdana" w:hAnsi="Verdana" w:cs="Calibri"/>
                <w:b/>
                <w:color w:val="000000"/>
                <w:sz w:val="20"/>
                <w:szCs w:val="20"/>
              </w:rPr>
            </w:pPr>
            <w:r w:rsidRPr="00293551">
              <w:rPr>
                <w:rFonts w:ascii="Verdana" w:hAnsi="Verdana" w:cs="Calibri"/>
                <w:b/>
                <w:color w:val="000000"/>
                <w:sz w:val="20"/>
                <w:szCs w:val="20"/>
              </w:rPr>
              <w:t>Contra sentencias en apelación</w:t>
            </w:r>
          </w:p>
        </w:tc>
        <w:tc>
          <w:tcPr>
            <w:tcW w:w="1200" w:type="dxa"/>
            <w:tcBorders>
              <w:top w:val="nil"/>
              <w:left w:val="nil"/>
              <w:bottom w:val="nil"/>
              <w:right w:val="nil"/>
            </w:tcBorders>
            <w:shd w:val="clear" w:color="auto" w:fill="auto"/>
            <w:noWrap/>
            <w:vAlign w:val="bottom"/>
            <w:hideMark/>
          </w:tcPr>
          <w:p w:rsidR="00977724" w:rsidRPr="00293551" w:rsidRDefault="00977724" w:rsidP="002766EF">
            <w:pPr>
              <w:rPr>
                <w:rFonts w:ascii="Calibri" w:hAnsi="Calibri" w:cs="Calibri"/>
                <w:color w:val="000000"/>
              </w:rPr>
            </w:pPr>
          </w:p>
          <w:p w:rsidR="00977724" w:rsidRPr="00293551" w:rsidRDefault="00977724" w:rsidP="002766EF">
            <w:pP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977724" w:rsidRPr="00293551" w:rsidRDefault="00977724" w:rsidP="002766EF">
            <w:pP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977724" w:rsidRPr="00293551" w:rsidRDefault="00977724" w:rsidP="002766EF">
            <w:pPr>
              <w:rPr>
                <w:rFonts w:ascii="Calibri" w:hAnsi="Calibri" w:cs="Calibri"/>
                <w:color w:val="000000"/>
              </w:rPr>
            </w:pPr>
          </w:p>
        </w:tc>
      </w:tr>
      <w:tr w:rsidR="00977724" w:rsidRPr="00293551" w:rsidTr="002766EF">
        <w:trPr>
          <w:trHeight w:val="300"/>
        </w:trPr>
        <w:tc>
          <w:tcPr>
            <w:tcW w:w="4720" w:type="dxa"/>
            <w:tcBorders>
              <w:top w:val="nil"/>
              <w:left w:val="nil"/>
              <w:bottom w:val="nil"/>
              <w:right w:val="nil"/>
            </w:tcBorders>
            <w:shd w:val="clear" w:color="auto" w:fill="auto"/>
            <w:noWrap/>
            <w:vAlign w:val="bottom"/>
            <w:hideMark/>
          </w:tcPr>
          <w:p w:rsidR="00977724" w:rsidRPr="00293551" w:rsidRDefault="00977724" w:rsidP="002766EF">
            <w:pPr>
              <w:rPr>
                <w:rFonts w:ascii="Verdana" w:hAnsi="Verdana" w:cs="Calibri"/>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rsidP="002766EF">
            <w:pPr>
              <w:jc w:val="center"/>
              <w:rPr>
                <w:rFonts w:ascii="Verdana" w:hAnsi="Verdana" w:cs="Calibri"/>
                <w:color w:val="000000"/>
                <w:sz w:val="20"/>
                <w:szCs w:val="20"/>
              </w:rPr>
            </w:pPr>
            <w:r w:rsidRPr="00293551">
              <w:rPr>
                <w:rFonts w:ascii="Verdana" w:hAnsi="Verdana" w:cs="Calibri"/>
                <w:color w:val="000000"/>
                <w:sz w:val="20"/>
                <w:szCs w:val="20"/>
              </w:rPr>
              <w:t>2017</w:t>
            </w:r>
          </w:p>
        </w:tc>
      </w:tr>
      <w:tr w:rsidR="00977724" w:rsidRPr="00293551" w:rsidTr="002766E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Elevados al Tribunal Supremo</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90</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devoluciones recibidas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41</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 inadmisiones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32</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 xml:space="preserve">Nº desestimaciones totales de la casación </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9</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desestimaciones parciales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aceptaciones totales  de la casación</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r w:rsidR="00977724" w:rsidRPr="00293551" w:rsidTr="002766EF">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977724" w:rsidRPr="00293551" w:rsidRDefault="00977724" w:rsidP="002766EF">
            <w:pPr>
              <w:rPr>
                <w:rFonts w:ascii="Verdana" w:hAnsi="Verdana" w:cs="Calibri"/>
                <w:color w:val="000000"/>
                <w:sz w:val="20"/>
                <w:szCs w:val="20"/>
              </w:rPr>
            </w:pPr>
            <w:r w:rsidRPr="00293551">
              <w:rPr>
                <w:rFonts w:ascii="Verdana" w:hAnsi="Verdana" w:cs="Calibri"/>
                <w:color w:val="000000"/>
                <w:sz w:val="20"/>
                <w:szCs w:val="20"/>
              </w:rPr>
              <w:t>Nº de anulaciones</w:t>
            </w:r>
          </w:p>
        </w:tc>
        <w:tc>
          <w:tcPr>
            <w:tcW w:w="1200" w:type="dxa"/>
            <w:tcBorders>
              <w:top w:val="nil"/>
              <w:left w:val="nil"/>
              <w:bottom w:val="single" w:sz="4" w:space="0" w:color="auto"/>
              <w:right w:val="single" w:sz="4" w:space="0" w:color="auto"/>
            </w:tcBorders>
            <w:shd w:val="clear" w:color="000000" w:fill="BFBFBF"/>
            <w:noWrap/>
            <w:vAlign w:val="center"/>
            <w:hideMark/>
          </w:tcPr>
          <w:p w:rsidR="00977724" w:rsidRPr="00293551" w:rsidRDefault="00977724" w:rsidP="002766EF">
            <w:pPr>
              <w:rPr>
                <w:rFonts w:ascii="Calibri" w:hAnsi="Calibri" w:cs="Calibri"/>
                <w:color w:val="000000"/>
              </w:rPr>
            </w:pPr>
            <w:r w:rsidRPr="0029355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rsidP="002766EF">
            <w:pPr>
              <w:jc w:val="right"/>
              <w:rPr>
                <w:rFonts w:ascii="Verdana" w:hAnsi="Verdana" w:cs="Calibri"/>
                <w:color w:val="000000"/>
                <w:sz w:val="20"/>
                <w:szCs w:val="20"/>
              </w:rPr>
            </w:pPr>
            <w:r w:rsidRPr="00293551">
              <w:rPr>
                <w:rFonts w:ascii="Verdana" w:hAnsi="Verdana" w:cs="Calibri"/>
                <w:color w:val="000000"/>
                <w:sz w:val="20"/>
                <w:szCs w:val="20"/>
              </w:rPr>
              <w:t>0</w:t>
            </w:r>
          </w:p>
        </w:tc>
      </w:tr>
    </w:tbl>
    <w:p w:rsidR="00977724" w:rsidRPr="00293551" w:rsidRDefault="00977724" w:rsidP="00977724">
      <w:pPr>
        <w:spacing w:line="360" w:lineRule="auto"/>
        <w:jc w:val="both"/>
        <w:rPr>
          <w:rFonts w:ascii="Verdana" w:hAnsi="Verdana"/>
        </w:rPr>
      </w:pPr>
    </w:p>
    <w:p w:rsidR="00977724" w:rsidRPr="00293551" w:rsidRDefault="00977724" w:rsidP="00977724">
      <w:pPr>
        <w:ind w:firstLine="357"/>
        <w:jc w:val="both"/>
        <w:rPr>
          <w:rFonts w:ascii="Verdana" w:hAnsi="Verdana" w:cs="Arial"/>
          <w:sz w:val="20"/>
        </w:rPr>
      </w:pPr>
      <w:r w:rsidRPr="00293551">
        <w:rPr>
          <w:rFonts w:ascii="Verdana" w:hAnsi="Verdana" w:cs="Arial"/>
          <w:sz w:val="20"/>
        </w:rPr>
        <w:t>En este caso, el ratio casaciones elevadas respecto a sentencias dictadas, no ha aumentado respecto a los años anteriores.</w:t>
      </w:r>
    </w:p>
    <w:p w:rsidR="00977724" w:rsidRPr="00293551" w:rsidRDefault="00977724" w:rsidP="00977724">
      <w:pPr>
        <w:spacing w:line="360" w:lineRule="auto"/>
        <w:jc w:val="both"/>
        <w:rPr>
          <w:rFonts w:ascii="Verdana" w:hAnsi="Verdana"/>
        </w:rPr>
      </w:pP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977724" w:rsidRPr="00293551" w:rsidTr="0097772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7724" w:rsidRPr="00293551" w:rsidRDefault="00977724">
            <w:pPr>
              <w:jc w:val="center"/>
              <w:rPr>
                <w:rFonts w:ascii="Verdana" w:hAnsi="Verdana" w:cs="Calibri"/>
                <w:color w:val="000000"/>
                <w:sz w:val="20"/>
                <w:szCs w:val="20"/>
              </w:rPr>
            </w:pPr>
            <w:r w:rsidRPr="00293551">
              <w:rPr>
                <w:rFonts w:ascii="Verdana" w:hAnsi="Verdana" w:cs="Calibri"/>
                <w:color w:val="000000"/>
                <w:sz w:val="20"/>
                <w:szCs w:val="20"/>
              </w:rPr>
              <w:t>2017</w:t>
            </w:r>
          </w:p>
        </w:tc>
      </w:tr>
      <w:tr w:rsidR="00977724" w:rsidTr="009777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21,8%</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Pr="00293551" w:rsidRDefault="00977724">
            <w:pPr>
              <w:jc w:val="right"/>
              <w:rPr>
                <w:rFonts w:ascii="Verdana" w:hAnsi="Verdana" w:cs="Calibri"/>
                <w:color w:val="000000"/>
                <w:sz w:val="20"/>
                <w:szCs w:val="20"/>
              </w:rPr>
            </w:pPr>
            <w:r w:rsidRPr="00293551">
              <w:rPr>
                <w:rFonts w:ascii="Verdana" w:hAnsi="Verdana" w:cs="Calibri"/>
                <w:color w:val="000000"/>
                <w:sz w:val="20"/>
                <w:szCs w:val="20"/>
              </w:rPr>
              <w:t>20,1%</w:t>
            </w:r>
          </w:p>
        </w:tc>
        <w:tc>
          <w:tcPr>
            <w:tcW w:w="1200" w:type="dxa"/>
            <w:tcBorders>
              <w:top w:val="nil"/>
              <w:left w:val="nil"/>
              <w:bottom w:val="single" w:sz="4" w:space="0" w:color="auto"/>
              <w:right w:val="single" w:sz="4" w:space="0" w:color="auto"/>
            </w:tcBorders>
            <w:shd w:val="clear" w:color="auto" w:fill="auto"/>
            <w:noWrap/>
            <w:vAlign w:val="center"/>
            <w:hideMark/>
          </w:tcPr>
          <w:p w:rsidR="00977724" w:rsidRDefault="00977724">
            <w:pPr>
              <w:jc w:val="right"/>
              <w:rPr>
                <w:rFonts w:ascii="Verdana" w:hAnsi="Verdana" w:cs="Calibri"/>
                <w:color w:val="000000"/>
                <w:sz w:val="20"/>
                <w:szCs w:val="20"/>
              </w:rPr>
            </w:pPr>
            <w:r w:rsidRPr="00293551">
              <w:rPr>
                <w:rFonts w:ascii="Verdana" w:hAnsi="Verdana" w:cs="Calibri"/>
                <w:color w:val="000000"/>
                <w:sz w:val="20"/>
                <w:szCs w:val="20"/>
              </w:rPr>
              <w:t>20,1%</w:t>
            </w:r>
          </w:p>
        </w:tc>
      </w:tr>
    </w:tbl>
    <w:p w:rsidR="00977724" w:rsidRDefault="00977724" w:rsidP="00977724">
      <w:pPr>
        <w:spacing w:line="360" w:lineRule="auto"/>
        <w:jc w:val="both"/>
        <w:rPr>
          <w:rFonts w:ascii="Verdana" w:hAnsi="Verdana"/>
        </w:rPr>
      </w:pPr>
    </w:p>
    <w:p w:rsidR="00977724" w:rsidRPr="00977724" w:rsidRDefault="00977724" w:rsidP="00977724">
      <w:pPr>
        <w:ind w:firstLine="357"/>
        <w:jc w:val="both"/>
        <w:rPr>
          <w:rFonts w:ascii="Verdana" w:hAnsi="Verdana" w:cs="Arial"/>
          <w:sz w:val="20"/>
        </w:rPr>
      </w:pPr>
    </w:p>
    <w:p w:rsidR="007A3888" w:rsidRDefault="007A3888" w:rsidP="00DB55BA">
      <w:pPr>
        <w:pStyle w:val="Textoindependiente"/>
      </w:pPr>
    </w:p>
    <w:p w:rsidR="00DB55BA" w:rsidRPr="00293551" w:rsidRDefault="00DB55BA" w:rsidP="00DB55BA">
      <w:pPr>
        <w:spacing w:after="240"/>
        <w:jc w:val="center"/>
        <w:rPr>
          <w:b/>
          <w:color w:val="1F497D" w:themeColor="text2"/>
          <w:szCs w:val="20"/>
        </w:rPr>
      </w:pPr>
      <w:r w:rsidRPr="00293551">
        <w:rPr>
          <w:b/>
          <w:color w:val="1F497D" w:themeColor="text2"/>
          <w:szCs w:val="20"/>
        </w:rPr>
        <w:t>INDICADORES CLAVE DE LA JURISDICCIÓN CONTENCIOSO ADMINISTRATIVA</w:t>
      </w:r>
    </w:p>
    <w:p w:rsidR="00DB55BA" w:rsidRPr="00CB5A9E" w:rsidRDefault="00DB55BA" w:rsidP="00DB55BA">
      <w:pPr>
        <w:spacing w:after="120"/>
        <w:jc w:val="center"/>
        <w:rPr>
          <w:b/>
          <w:color w:val="4F81BD" w:themeColor="accent1"/>
          <w:szCs w:val="20"/>
        </w:rPr>
      </w:pPr>
      <w:r>
        <w:rPr>
          <w:b/>
          <w:color w:val="4F81BD" w:themeColor="accent1"/>
          <w:szCs w:val="20"/>
        </w:rPr>
        <w:t>Tasas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Resolución</w:t>
            </w:r>
          </w:p>
        </w:tc>
        <w:tc>
          <w:tcPr>
            <w:tcW w:w="1947" w:type="dxa"/>
            <w:vAlign w:val="center"/>
          </w:tcPr>
          <w:p w:rsidR="00DB55BA" w:rsidRDefault="00DB55BA" w:rsidP="007F5E11">
            <w:pPr>
              <w:jc w:val="right"/>
              <w:rPr>
                <w:rFonts w:cs="Arial"/>
                <w:color w:val="000000"/>
                <w:szCs w:val="20"/>
              </w:rPr>
            </w:pPr>
            <w:r>
              <w:rPr>
                <w:rFonts w:cs="Arial"/>
                <w:color w:val="000000"/>
                <w:szCs w:val="20"/>
              </w:rPr>
              <w:t>1,09</w:t>
            </w:r>
          </w:p>
        </w:tc>
        <w:tc>
          <w:tcPr>
            <w:tcW w:w="1947" w:type="dxa"/>
            <w:vAlign w:val="center"/>
          </w:tcPr>
          <w:p w:rsidR="00DB55BA" w:rsidRDefault="00DB55BA" w:rsidP="007F5E11">
            <w:pPr>
              <w:jc w:val="right"/>
              <w:rPr>
                <w:rFonts w:cs="Arial"/>
                <w:color w:val="000000"/>
                <w:szCs w:val="20"/>
              </w:rPr>
            </w:pPr>
            <w:r>
              <w:rPr>
                <w:rFonts w:cs="Arial"/>
                <w:color w:val="000000"/>
                <w:szCs w:val="20"/>
              </w:rPr>
              <w:t>1,05</w:t>
            </w:r>
          </w:p>
        </w:tc>
        <w:tc>
          <w:tcPr>
            <w:tcW w:w="1948" w:type="dxa"/>
            <w:vAlign w:val="center"/>
          </w:tcPr>
          <w:p w:rsidR="00DB55BA" w:rsidRDefault="00DB55BA" w:rsidP="007F5E11">
            <w:pPr>
              <w:jc w:val="right"/>
              <w:rPr>
                <w:rFonts w:cs="Arial"/>
                <w:color w:val="000000"/>
                <w:szCs w:val="20"/>
              </w:rPr>
            </w:pPr>
            <w:r>
              <w:rPr>
                <w:rFonts w:cs="Arial"/>
                <w:color w:val="000000"/>
                <w:szCs w:val="20"/>
              </w:rPr>
              <w:t>-3,7%</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Pendencia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0,90</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0,91</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1,0%</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Congestión</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1,88</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1,89</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0,1%</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Tasa de Litigiosidad</w:t>
      </w:r>
      <w:r w:rsidRPr="00CB5A9E">
        <w:rPr>
          <w:b/>
          <w:color w:val="4F81BD" w:themeColor="accent1"/>
          <w:szCs w:val="20"/>
        </w:rPr>
        <w:t xml:space="preserve"> (</w:t>
      </w:r>
      <w:r>
        <w:rPr>
          <w:b/>
          <w:color w:val="4F81BD" w:themeColor="accent1"/>
          <w:szCs w:val="20"/>
        </w:rPr>
        <w:t>asuntos i</w:t>
      </w:r>
      <w:r w:rsidRPr="00CB5A9E">
        <w:rPr>
          <w:b/>
          <w:color w:val="4F81BD" w:themeColor="accent1"/>
          <w:szCs w:val="20"/>
        </w:rPr>
        <w:t>ngresados</w:t>
      </w:r>
      <w:r>
        <w:rPr>
          <w:b/>
          <w:color w:val="4F81BD" w:themeColor="accent1"/>
          <w:szCs w:val="20"/>
        </w:rPr>
        <w:t xml:space="preserve"> po</w:t>
      </w:r>
      <w:r w:rsidRPr="00CB5A9E">
        <w:rPr>
          <w:b/>
          <w:color w:val="4F81BD" w:themeColor="accent1"/>
          <w:szCs w:val="20"/>
        </w:rPr>
        <w:t xml:space="preserve">r </w:t>
      </w:r>
      <w:r>
        <w:rPr>
          <w:b/>
          <w:color w:val="4F81BD" w:themeColor="accent1"/>
          <w:szCs w:val="20"/>
        </w:rPr>
        <w:t xml:space="preserve">cada </w:t>
      </w:r>
      <w:r w:rsidRPr="00CB5A9E">
        <w:rPr>
          <w:b/>
          <w:color w:val="4F81BD" w:themeColor="accent1"/>
          <w:szCs w:val="20"/>
        </w:rPr>
        <w:t xml:space="preserve">1000 </w:t>
      </w:r>
      <w:r>
        <w:rPr>
          <w:b/>
          <w:color w:val="4F81BD" w:themeColor="accent1"/>
          <w:szCs w:val="20"/>
        </w:rPr>
        <w:t>habitantes</w:t>
      </w:r>
      <w:r w:rsidRPr="00CB5A9E">
        <w:rPr>
          <w:b/>
          <w:color w:val="4F81BD" w:themeColor="accent1"/>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4,2</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4,2</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-0,2%</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asuntos ingresados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344,1</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342,5</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-0,5%</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sentencias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242,9</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230,4</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-5,1%</w:t>
            </w:r>
          </w:p>
        </w:tc>
      </w:tr>
    </w:tbl>
    <w:p w:rsidR="00DB55BA" w:rsidRPr="00CB5A9E" w:rsidRDefault="00DB55BA" w:rsidP="00DB55BA">
      <w:pPr>
        <w:spacing w:before="240" w:after="120"/>
        <w:jc w:val="center"/>
        <w:rPr>
          <w:b/>
          <w:color w:val="4F81BD" w:themeColor="accent1"/>
          <w:szCs w:val="20"/>
        </w:rPr>
      </w:pPr>
      <w:r>
        <w:rPr>
          <w:b/>
          <w:color w:val="4F81BD" w:themeColor="accent1"/>
          <w:szCs w:val="20"/>
        </w:rPr>
        <w:lastRenderedPageBreak/>
        <w:t>E</w:t>
      </w:r>
      <w:r w:rsidRPr="00EB1F7C">
        <w:rPr>
          <w:b/>
          <w:color w:val="4F81BD" w:themeColor="accent1"/>
          <w:szCs w:val="20"/>
        </w:rPr>
        <w:t>stimación del porcentaje de sentencias recurridas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20,2%</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22,0%</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8,5%</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recursos devueltos confirmando totalmente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apelación</w:t>
            </w:r>
          </w:p>
        </w:tc>
        <w:tc>
          <w:tcPr>
            <w:tcW w:w="1947" w:type="dxa"/>
            <w:vAlign w:val="center"/>
          </w:tcPr>
          <w:p w:rsidR="00DB55BA" w:rsidRDefault="00DB55BA" w:rsidP="007F5E11">
            <w:pPr>
              <w:jc w:val="right"/>
              <w:rPr>
                <w:rFonts w:cs="Arial"/>
                <w:color w:val="000000"/>
                <w:szCs w:val="20"/>
              </w:rPr>
            </w:pPr>
            <w:r>
              <w:rPr>
                <w:rFonts w:cs="Arial"/>
                <w:color w:val="000000"/>
                <w:szCs w:val="20"/>
              </w:rPr>
              <w:t>73,3%</w:t>
            </w:r>
          </w:p>
        </w:tc>
        <w:tc>
          <w:tcPr>
            <w:tcW w:w="1947" w:type="dxa"/>
            <w:vAlign w:val="center"/>
          </w:tcPr>
          <w:p w:rsidR="00DB55BA" w:rsidRDefault="00DB55BA" w:rsidP="007F5E11">
            <w:pPr>
              <w:jc w:val="right"/>
              <w:rPr>
                <w:rFonts w:cs="Arial"/>
                <w:color w:val="000000"/>
                <w:szCs w:val="20"/>
              </w:rPr>
            </w:pPr>
            <w:r>
              <w:rPr>
                <w:rFonts w:cs="Arial"/>
                <w:color w:val="000000"/>
                <w:szCs w:val="20"/>
              </w:rPr>
              <w:t>73,9%</w:t>
            </w:r>
          </w:p>
        </w:tc>
        <w:tc>
          <w:tcPr>
            <w:tcW w:w="1948" w:type="dxa"/>
            <w:vAlign w:val="center"/>
          </w:tcPr>
          <w:p w:rsidR="00DB55BA" w:rsidRDefault="00DB55BA" w:rsidP="007F5E11">
            <w:pPr>
              <w:jc w:val="right"/>
              <w:rPr>
                <w:rFonts w:cs="Arial"/>
                <w:color w:val="000000"/>
                <w:szCs w:val="20"/>
              </w:rPr>
            </w:pPr>
            <w:r>
              <w:rPr>
                <w:rFonts w:cs="Arial"/>
                <w:color w:val="000000"/>
                <w:szCs w:val="20"/>
              </w:rPr>
              <w:t>0,8%</w:t>
            </w:r>
          </w:p>
        </w:tc>
      </w:tr>
      <w:tr w:rsidR="00DB55BA" w:rsidRPr="00CB5A9E" w:rsidTr="007F5E11">
        <w:trPr>
          <w:trHeight w:val="340"/>
        </w:trPr>
        <w:tc>
          <w:tcPr>
            <w:tcW w:w="2802" w:type="dxa"/>
            <w:tcBorders>
              <w:bottom w:val="single" w:sz="12" w:space="0" w:color="4F81BD" w:themeColor="accent1"/>
            </w:tcBorders>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casación</w:t>
            </w:r>
          </w:p>
        </w:tc>
        <w:tc>
          <w:tcPr>
            <w:tcW w:w="1947" w:type="dxa"/>
            <w:tcBorders>
              <w:bottom w:val="single" w:sz="12" w:space="0" w:color="4F81BD" w:themeColor="accent1"/>
            </w:tcBorders>
            <w:shd w:val="clear" w:color="auto" w:fill="DBE5F1" w:themeFill="accent1" w:themeFillTint="33"/>
            <w:vAlign w:val="center"/>
          </w:tcPr>
          <w:p w:rsidR="00DB55BA" w:rsidRDefault="00DB55BA" w:rsidP="006B7C7F">
            <w:pPr>
              <w:jc w:val="right"/>
              <w:rPr>
                <w:rFonts w:cs="Arial"/>
                <w:color w:val="000000"/>
                <w:szCs w:val="20"/>
              </w:rPr>
            </w:pPr>
            <w:r>
              <w:rPr>
                <w:rFonts w:cs="Arial"/>
                <w:color w:val="000000"/>
                <w:szCs w:val="20"/>
              </w:rPr>
              <w:t>7</w:t>
            </w:r>
            <w:r w:rsidR="006B7C7F">
              <w:rPr>
                <w:rFonts w:cs="Arial"/>
                <w:color w:val="000000"/>
                <w:szCs w:val="20"/>
              </w:rPr>
              <w:t>7</w:t>
            </w:r>
            <w:r>
              <w:rPr>
                <w:rFonts w:cs="Arial"/>
                <w:color w:val="000000"/>
                <w:szCs w:val="20"/>
              </w:rPr>
              <w:t>,</w:t>
            </w:r>
            <w:r w:rsidR="006B7C7F">
              <w:rPr>
                <w:rFonts w:cs="Arial"/>
                <w:color w:val="000000"/>
                <w:szCs w:val="20"/>
              </w:rPr>
              <w:t>7</w:t>
            </w:r>
            <w:r>
              <w:rPr>
                <w:rFonts w:cs="Arial"/>
                <w:color w:val="000000"/>
                <w:szCs w:val="20"/>
              </w:rPr>
              <w:t>%</w:t>
            </w:r>
          </w:p>
        </w:tc>
        <w:tc>
          <w:tcPr>
            <w:tcW w:w="1947" w:type="dxa"/>
            <w:tcBorders>
              <w:bottom w:val="single" w:sz="12" w:space="0" w:color="4F81BD" w:themeColor="accent1"/>
            </w:tcBorders>
            <w:shd w:val="clear" w:color="auto" w:fill="DBE5F1" w:themeFill="accent1" w:themeFillTint="33"/>
            <w:vAlign w:val="center"/>
          </w:tcPr>
          <w:p w:rsidR="00DB55BA" w:rsidRDefault="006B7C7F" w:rsidP="006B7C7F">
            <w:pPr>
              <w:jc w:val="right"/>
              <w:rPr>
                <w:rFonts w:cs="Arial"/>
                <w:color w:val="000000"/>
                <w:szCs w:val="20"/>
              </w:rPr>
            </w:pPr>
            <w:r>
              <w:rPr>
                <w:rFonts w:cs="Arial"/>
                <w:color w:val="000000"/>
                <w:szCs w:val="20"/>
              </w:rPr>
              <w:t>83</w:t>
            </w:r>
            <w:r w:rsidR="00DB55BA">
              <w:rPr>
                <w:rFonts w:cs="Arial"/>
                <w:color w:val="000000"/>
                <w:szCs w:val="20"/>
              </w:rPr>
              <w:t>,</w:t>
            </w:r>
            <w:r>
              <w:rPr>
                <w:rFonts w:cs="Arial"/>
                <w:color w:val="000000"/>
                <w:szCs w:val="20"/>
              </w:rPr>
              <w:t>5</w:t>
            </w:r>
            <w:r w:rsidR="00DB55BA">
              <w:rPr>
                <w:rFonts w:cs="Arial"/>
                <w:color w:val="000000"/>
                <w:szCs w:val="20"/>
              </w:rPr>
              <w:t>%</w:t>
            </w:r>
          </w:p>
        </w:tc>
        <w:tc>
          <w:tcPr>
            <w:tcW w:w="1948" w:type="dxa"/>
            <w:tcBorders>
              <w:bottom w:val="single" w:sz="12" w:space="0" w:color="4F81BD" w:themeColor="accent1"/>
            </w:tcBorders>
            <w:shd w:val="clear" w:color="auto" w:fill="DBE5F1" w:themeFill="accent1" w:themeFillTint="33"/>
            <w:vAlign w:val="center"/>
          </w:tcPr>
          <w:p w:rsidR="00DB55BA" w:rsidRDefault="006B7C7F" w:rsidP="006B7C7F">
            <w:pPr>
              <w:jc w:val="right"/>
              <w:rPr>
                <w:rFonts w:cs="Arial"/>
                <w:color w:val="000000"/>
                <w:szCs w:val="20"/>
              </w:rPr>
            </w:pPr>
            <w:r>
              <w:rPr>
                <w:rFonts w:cs="Arial"/>
                <w:color w:val="000000"/>
                <w:szCs w:val="20"/>
              </w:rPr>
              <w:t>7</w:t>
            </w:r>
            <w:r w:rsidR="00DB55BA">
              <w:rPr>
                <w:rFonts w:cs="Arial"/>
                <w:color w:val="000000"/>
                <w:szCs w:val="20"/>
              </w:rPr>
              <w:t>,</w:t>
            </w:r>
            <w:r>
              <w:rPr>
                <w:rFonts w:cs="Arial"/>
                <w:color w:val="000000"/>
                <w:szCs w:val="20"/>
              </w:rPr>
              <w:t>5</w:t>
            </w:r>
            <w:r w:rsidR="00DB55BA">
              <w:rPr>
                <w:rFonts w:cs="Arial"/>
                <w:color w:val="000000"/>
                <w:szCs w:val="20"/>
              </w:rPr>
              <w:t>%</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sentencias dictadas por jueces de carrera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E460E6" w:rsidRPr="00CB5A9E" w:rsidTr="00E05271">
        <w:trPr>
          <w:trHeight w:val="340"/>
        </w:trPr>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95,2%</w:t>
            </w:r>
          </w:p>
        </w:tc>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95,2%</w:t>
            </w:r>
          </w:p>
        </w:tc>
        <w:tc>
          <w:tcPr>
            <w:tcW w:w="2882"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0,0%</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Duraciones medias estimadas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vAlign w:val="center"/>
          </w:tcPr>
          <w:p w:rsidR="00DB55BA" w:rsidRDefault="00DB55BA" w:rsidP="007F5E11">
            <w:pPr>
              <w:jc w:val="right"/>
              <w:rPr>
                <w:rFonts w:cs="Arial"/>
                <w:color w:val="000000"/>
                <w:szCs w:val="20"/>
              </w:rPr>
            </w:pPr>
            <w:r>
              <w:rPr>
                <w:rFonts w:cs="Arial"/>
                <w:color w:val="000000"/>
                <w:szCs w:val="20"/>
              </w:rPr>
              <w:t>12,0</w:t>
            </w:r>
          </w:p>
        </w:tc>
        <w:tc>
          <w:tcPr>
            <w:tcW w:w="1947" w:type="dxa"/>
            <w:vAlign w:val="center"/>
          </w:tcPr>
          <w:p w:rsidR="00DB55BA" w:rsidRDefault="00DB55BA" w:rsidP="007F5E11">
            <w:pPr>
              <w:jc w:val="right"/>
              <w:rPr>
                <w:rFonts w:cs="Arial"/>
                <w:color w:val="000000"/>
                <w:szCs w:val="20"/>
              </w:rPr>
            </w:pPr>
            <w:r>
              <w:rPr>
                <w:rFonts w:cs="Arial"/>
                <w:color w:val="000000"/>
                <w:szCs w:val="20"/>
              </w:rPr>
              <w:t>10,5</w:t>
            </w:r>
          </w:p>
        </w:tc>
        <w:tc>
          <w:tcPr>
            <w:tcW w:w="1948" w:type="dxa"/>
            <w:vAlign w:val="center"/>
          </w:tcPr>
          <w:p w:rsidR="00DB55BA" w:rsidRDefault="00DB55BA" w:rsidP="007F5E11">
            <w:pPr>
              <w:jc w:val="right"/>
              <w:rPr>
                <w:rFonts w:cs="Arial"/>
                <w:color w:val="000000"/>
                <w:szCs w:val="20"/>
              </w:rPr>
            </w:pPr>
            <w:r>
              <w:rPr>
                <w:rFonts w:cs="Arial"/>
                <w:color w:val="000000"/>
                <w:szCs w:val="20"/>
              </w:rPr>
              <w:t>-12,5%</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2ª Instancia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10,6</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10,6</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0,1%</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EB1F7C">
              <w:rPr>
                <w:rFonts w:eastAsia="Times New Roman" w:cs="Arial"/>
                <w:b/>
                <w:color w:val="4F81BD" w:themeColor="accent1"/>
                <w:szCs w:val="20"/>
                <w:lang w:eastAsia="es-ES"/>
              </w:rPr>
              <w:t>Supremo</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14,5</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17,1</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17,9%</w:t>
            </w:r>
          </w:p>
        </w:tc>
      </w:tr>
    </w:tbl>
    <w:p w:rsidR="00923CB2" w:rsidRPr="00923CB2" w:rsidRDefault="00923CB2" w:rsidP="00923CB2">
      <w:pPr>
        <w:ind w:firstLine="357"/>
        <w:jc w:val="both"/>
        <w:rPr>
          <w:rFonts w:ascii="Verdana" w:hAnsi="Verdana" w:cs="Arial"/>
          <w:sz w:val="20"/>
        </w:rPr>
      </w:pPr>
    </w:p>
    <w:p w:rsidR="00923CB2" w:rsidRPr="00923CB2" w:rsidRDefault="00923CB2" w:rsidP="00923CB2">
      <w:pPr>
        <w:ind w:firstLine="357"/>
        <w:jc w:val="both"/>
        <w:rPr>
          <w:rFonts w:ascii="Verdana" w:hAnsi="Verdana" w:cs="Arial"/>
          <w:sz w:val="20"/>
        </w:rPr>
      </w:pPr>
    </w:p>
    <w:p w:rsidR="00EF3920" w:rsidRPr="007E399D" w:rsidRDefault="00923CB2" w:rsidP="00923CB2">
      <w:pPr>
        <w:ind w:firstLine="357"/>
        <w:jc w:val="both"/>
        <w:rPr>
          <w:rFonts w:ascii="Verdana" w:hAnsi="Verdana"/>
          <w:sz w:val="20"/>
        </w:rPr>
      </w:pPr>
      <w:r w:rsidRPr="00923CB2">
        <w:rPr>
          <w:rFonts w:ascii="Verdana" w:hAnsi="Verdana" w:cs="Arial"/>
          <w:sz w:val="20"/>
        </w:rPr>
        <w:br w:type="page"/>
      </w:r>
    </w:p>
    <w:p w:rsidR="004F76C3" w:rsidRPr="00CE214A" w:rsidRDefault="004F76C3" w:rsidP="004F76C3">
      <w:pPr>
        <w:autoSpaceDE w:val="0"/>
        <w:autoSpaceDN w:val="0"/>
        <w:adjustRightInd w:val="0"/>
        <w:jc w:val="center"/>
        <w:rPr>
          <w:rFonts w:ascii="Verdana" w:hAnsi="Verdana"/>
          <w:color w:val="333399"/>
        </w:rPr>
      </w:pPr>
    </w:p>
    <w:p w:rsidR="001B4EE3" w:rsidRPr="00CE214A" w:rsidRDefault="001B4EE3" w:rsidP="00292CD9">
      <w:pPr>
        <w:pStyle w:val="Ttulo2"/>
        <w:numPr>
          <w:ilvl w:val="0"/>
          <w:numId w:val="4"/>
        </w:numPr>
        <w:rPr>
          <w:rFonts w:ascii="Verdana" w:hAnsi="Verdana"/>
          <w:color w:val="333399"/>
        </w:rPr>
      </w:pPr>
      <w:r w:rsidRPr="00CE214A">
        <w:rPr>
          <w:rFonts w:ascii="Verdana" w:hAnsi="Verdana"/>
          <w:color w:val="333399"/>
        </w:rPr>
        <w:t>Jurisdicción  Social</w:t>
      </w:r>
    </w:p>
    <w:p w:rsidR="001B4EE3" w:rsidRPr="00CE214A" w:rsidRDefault="00292CD9" w:rsidP="00292CD9">
      <w:pPr>
        <w:pStyle w:val="Ttulo2"/>
        <w:numPr>
          <w:ilvl w:val="0"/>
          <w:numId w:val="0"/>
        </w:numPr>
        <w:ind w:left="360"/>
        <w:rPr>
          <w:rFonts w:ascii="Verdana" w:hAnsi="Verdana"/>
          <w:color w:val="333399"/>
        </w:rPr>
      </w:pPr>
      <w:r w:rsidRPr="00CE214A">
        <w:rPr>
          <w:rFonts w:ascii="Verdana" w:hAnsi="Verdana"/>
          <w:color w:val="333399"/>
        </w:rPr>
        <w:t>5.1</w:t>
      </w:r>
      <w:r w:rsidR="00EF4F64" w:rsidRPr="00CE214A">
        <w:rPr>
          <w:rFonts w:ascii="Verdana" w:hAnsi="Verdana"/>
          <w:color w:val="333399"/>
        </w:rPr>
        <w:t xml:space="preserve"> </w:t>
      </w:r>
      <w:r w:rsidR="001B4EE3" w:rsidRPr="00CE214A">
        <w:rPr>
          <w:rFonts w:ascii="Verdana" w:hAnsi="Verdana"/>
          <w:color w:val="333399"/>
        </w:rPr>
        <w:t>Datos globales</w:t>
      </w:r>
    </w:p>
    <w:p w:rsidR="00E208C4" w:rsidRPr="00306658" w:rsidRDefault="001B752E" w:rsidP="00E208C4">
      <w:pPr>
        <w:pStyle w:val="Textoindependiente"/>
        <w:spacing w:before="120" w:after="120"/>
        <w:ind w:firstLine="357"/>
        <w:rPr>
          <w:rFonts w:ascii="Verdana" w:hAnsi="Verdana"/>
          <w:sz w:val="20"/>
        </w:rPr>
      </w:pPr>
      <w:r w:rsidRPr="00306658">
        <w:rPr>
          <w:rFonts w:ascii="Verdana" w:hAnsi="Verdana"/>
          <w:sz w:val="20"/>
        </w:rPr>
        <w:t>En l</w:t>
      </w:r>
      <w:r w:rsidR="00447998" w:rsidRPr="00306658">
        <w:rPr>
          <w:rFonts w:ascii="Verdana" w:hAnsi="Verdana"/>
          <w:sz w:val="20"/>
        </w:rPr>
        <w:t>a jurisdicción s</w:t>
      </w:r>
      <w:r w:rsidR="00EA5498" w:rsidRPr="00306658">
        <w:rPr>
          <w:rFonts w:ascii="Verdana" w:hAnsi="Verdana"/>
          <w:sz w:val="20"/>
        </w:rPr>
        <w:t>ocial</w:t>
      </w:r>
      <w:r w:rsidRPr="00306658">
        <w:rPr>
          <w:rFonts w:ascii="Verdana" w:hAnsi="Verdana"/>
          <w:sz w:val="20"/>
        </w:rPr>
        <w:t>, al igual que en la civil, se ha incrementado el ingreso en 2017.</w:t>
      </w:r>
      <w:r w:rsidR="00E208C4" w:rsidRPr="00306658">
        <w:rPr>
          <w:rFonts w:ascii="Verdana" w:hAnsi="Verdana"/>
          <w:sz w:val="20"/>
        </w:rPr>
        <w:t xml:space="preserve"> Los </w:t>
      </w:r>
      <w:r w:rsidRPr="00306658">
        <w:rPr>
          <w:rFonts w:ascii="Verdana" w:hAnsi="Verdana"/>
          <w:sz w:val="20"/>
        </w:rPr>
        <w:t>404</w:t>
      </w:r>
      <w:r w:rsidR="00E208C4" w:rsidRPr="00306658">
        <w:rPr>
          <w:rFonts w:ascii="Verdana" w:hAnsi="Verdana"/>
          <w:sz w:val="20"/>
        </w:rPr>
        <w:t>.</w:t>
      </w:r>
      <w:r w:rsidRPr="00306658">
        <w:rPr>
          <w:rFonts w:ascii="Verdana" w:hAnsi="Verdana"/>
          <w:sz w:val="20"/>
        </w:rPr>
        <w:t>860</w:t>
      </w:r>
      <w:r w:rsidR="00E208C4" w:rsidRPr="00306658">
        <w:rPr>
          <w:rFonts w:ascii="Verdana" w:hAnsi="Verdana"/>
          <w:sz w:val="20"/>
        </w:rPr>
        <w:t xml:space="preserve"> asuntos ingresados son un </w:t>
      </w:r>
      <w:r w:rsidRPr="00306658">
        <w:rPr>
          <w:rFonts w:ascii="Verdana" w:hAnsi="Verdana"/>
          <w:sz w:val="20"/>
        </w:rPr>
        <w:t>5</w:t>
      </w:r>
      <w:r w:rsidR="00E208C4" w:rsidRPr="00306658">
        <w:rPr>
          <w:rFonts w:ascii="Verdana" w:hAnsi="Verdana"/>
          <w:sz w:val="20"/>
        </w:rPr>
        <w:t>,</w:t>
      </w:r>
      <w:r w:rsidRPr="00306658">
        <w:rPr>
          <w:rFonts w:ascii="Verdana" w:hAnsi="Verdana"/>
          <w:sz w:val="20"/>
        </w:rPr>
        <w:t>8</w:t>
      </w:r>
      <w:r w:rsidR="00E208C4" w:rsidRPr="00306658">
        <w:rPr>
          <w:rFonts w:ascii="Verdana" w:hAnsi="Verdana"/>
          <w:sz w:val="20"/>
        </w:rPr>
        <w:t xml:space="preserve">% </w:t>
      </w:r>
      <w:r w:rsidRPr="00306658">
        <w:rPr>
          <w:rFonts w:ascii="Verdana" w:hAnsi="Verdana"/>
          <w:sz w:val="20"/>
        </w:rPr>
        <w:t>más que los ingresados el año anterior</w:t>
      </w:r>
      <w:r w:rsidR="00E208C4" w:rsidRPr="00306658">
        <w:rPr>
          <w:rFonts w:ascii="Verdana" w:hAnsi="Verdana"/>
          <w:sz w:val="20"/>
        </w:rPr>
        <w:t>.</w:t>
      </w:r>
    </w:p>
    <w:p w:rsidR="00195294" w:rsidRPr="00306658" w:rsidRDefault="00E208C4" w:rsidP="00E208C4">
      <w:pPr>
        <w:pStyle w:val="Textoindependiente"/>
        <w:spacing w:before="120" w:after="120"/>
        <w:ind w:firstLine="357"/>
        <w:rPr>
          <w:rFonts w:ascii="Verdana" w:hAnsi="Verdana"/>
          <w:sz w:val="20"/>
        </w:rPr>
      </w:pPr>
      <w:r w:rsidRPr="00306658">
        <w:rPr>
          <w:rFonts w:ascii="Verdana" w:hAnsi="Verdana"/>
          <w:sz w:val="20"/>
        </w:rPr>
        <w:t xml:space="preserve"> </w:t>
      </w:r>
    </w:p>
    <w:p w:rsidR="001B4EE3" w:rsidRPr="00306658" w:rsidRDefault="00C25DB3" w:rsidP="00E97AC6">
      <w:pPr>
        <w:pStyle w:val="Textoindependiente"/>
        <w:spacing w:before="120" w:after="120"/>
        <w:ind w:firstLine="357"/>
        <w:jc w:val="center"/>
        <w:rPr>
          <w:rFonts w:ascii="Verdana" w:hAnsi="Verdana"/>
        </w:rPr>
      </w:pPr>
      <w:r w:rsidRPr="00306658">
        <w:rPr>
          <w:noProof/>
        </w:rPr>
        <w:drawing>
          <wp:inline distT="0" distB="0" distL="0" distR="0" wp14:anchorId="1B7B524F" wp14:editId="65115931">
            <wp:extent cx="5057775" cy="2743200"/>
            <wp:effectExtent l="0" t="0" r="9525" b="19050"/>
            <wp:docPr id="1075" name="Gráfico 10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E67A9" w:rsidRPr="00306658" w:rsidRDefault="00F90978" w:rsidP="002E67A9">
      <w:pPr>
        <w:pStyle w:val="Textoindependiente"/>
        <w:spacing w:before="120" w:after="120"/>
        <w:ind w:firstLine="357"/>
        <w:rPr>
          <w:rFonts w:ascii="Verdana" w:hAnsi="Verdana"/>
          <w:sz w:val="20"/>
        </w:rPr>
      </w:pPr>
      <w:r w:rsidRPr="00306658">
        <w:rPr>
          <w:rFonts w:ascii="Verdana" w:hAnsi="Verdana"/>
          <w:sz w:val="20"/>
        </w:rPr>
        <w:t xml:space="preserve">Se han </w:t>
      </w:r>
      <w:r w:rsidR="00D5360D" w:rsidRPr="00306658">
        <w:rPr>
          <w:rFonts w:ascii="Verdana" w:hAnsi="Verdana"/>
          <w:sz w:val="20"/>
        </w:rPr>
        <w:t>resuelto</w:t>
      </w:r>
      <w:r w:rsidR="00425BF7" w:rsidRPr="00306658">
        <w:rPr>
          <w:rFonts w:ascii="Verdana" w:hAnsi="Verdana"/>
          <w:sz w:val="20"/>
        </w:rPr>
        <w:t xml:space="preserve"> </w:t>
      </w:r>
      <w:r w:rsidR="00343324" w:rsidRPr="00306658">
        <w:rPr>
          <w:rFonts w:ascii="Verdana" w:hAnsi="Verdana"/>
          <w:sz w:val="20"/>
        </w:rPr>
        <w:t>392</w:t>
      </w:r>
      <w:r w:rsidR="0033645E" w:rsidRPr="00306658">
        <w:rPr>
          <w:rFonts w:ascii="Verdana" w:hAnsi="Verdana"/>
          <w:sz w:val="20"/>
        </w:rPr>
        <w:t>.</w:t>
      </w:r>
      <w:r w:rsidR="00343324" w:rsidRPr="00306658">
        <w:rPr>
          <w:rFonts w:ascii="Verdana" w:hAnsi="Verdana"/>
          <w:sz w:val="20"/>
        </w:rPr>
        <w:t>927</w:t>
      </w:r>
      <w:r w:rsidRPr="00306658">
        <w:rPr>
          <w:rFonts w:ascii="Verdana" w:hAnsi="Verdana"/>
          <w:sz w:val="20"/>
        </w:rPr>
        <w:t xml:space="preserve"> asuntos</w:t>
      </w:r>
      <w:r w:rsidR="0033645E" w:rsidRPr="00306658">
        <w:rPr>
          <w:rFonts w:ascii="Verdana" w:hAnsi="Verdana"/>
          <w:sz w:val="20"/>
        </w:rPr>
        <w:t xml:space="preserve">, un </w:t>
      </w:r>
      <w:r w:rsidR="00343324" w:rsidRPr="00306658">
        <w:rPr>
          <w:rFonts w:ascii="Verdana" w:hAnsi="Verdana"/>
          <w:sz w:val="20"/>
        </w:rPr>
        <w:t>2</w:t>
      </w:r>
      <w:r w:rsidR="0033645E" w:rsidRPr="00306658">
        <w:rPr>
          <w:rFonts w:ascii="Verdana" w:hAnsi="Verdana"/>
          <w:sz w:val="20"/>
        </w:rPr>
        <w:t xml:space="preserve">% </w:t>
      </w:r>
      <w:r w:rsidR="00195294" w:rsidRPr="00306658">
        <w:rPr>
          <w:rFonts w:ascii="Verdana" w:hAnsi="Verdana"/>
          <w:sz w:val="20"/>
        </w:rPr>
        <w:t>m</w:t>
      </w:r>
      <w:r w:rsidR="00317988" w:rsidRPr="00306658">
        <w:rPr>
          <w:rFonts w:ascii="Verdana" w:hAnsi="Verdana"/>
          <w:sz w:val="20"/>
        </w:rPr>
        <w:t xml:space="preserve">enos que </w:t>
      </w:r>
      <w:r w:rsidR="00343324" w:rsidRPr="00306658">
        <w:rPr>
          <w:rFonts w:ascii="Verdana" w:hAnsi="Verdana"/>
          <w:sz w:val="20"/>
        </w:rPr>
        <w:t>en 2016</w:t>
      </w:r>
      <w:r w:rsidRPr="00306658">
        <w:rPr>
          <w:rFonts w:ascii="Verdana" w:hAnsi="Verdana"/>
          <w:sz w:val="20"/>
        </w:rPr>
        <w:t>.</w:t>
      </w:r>
      <w:r w:rsidR="0033645E" w:rsidRPr="00306658">
        <w:rPr>
          <w:rFonts w:ascii="Verdana" w:hAnsi="Verdana"/>
          <w:sz w:val="20"/>
        </w:rPr>
        <w:t xml:space="preserve"> </w:t>
      </w:r>
      <w:r w:rsidR="00317988" w:rsidRPr="00306658">
        <w:rPr>
          <w:rFonts w:ascii="Verdana" w:hAnsi="Verdana"/>
          <w:sz w:val="20"/>
        </w:rPr>
        <w:t>El</w:t>
      </w:r>
      <w:r w:rsidR="00FC5688" w:rsidRPr="00306658">
        <w:rPr>
          <w:rFonts w:ascii="Verdana" w:hAnsi="Verdana"/>
          <w:sz w:val="20"/>
        </w:rPr>
        <w:t xml:space="preserve"> número de</w:t>
      </w:r>
      <w:r w:rsidR="00D82222" w:rsidRPr="00306658">
        <w:rPr>
          <w:rFonts w:ascii="Verdana" w:hAnsi="Verdana"/>
          <w:sz w:val="20"/>
        </w:rPr>
        <w:t xml:space="preserve"> </w:t>
      </w:r>
      <w:r w:rsidR="002E67A9" w:rsidRPr="00306658">
        <w:rPr>
          <w:rFonts w:ascii="Verdana" w:hAnsi="Verdana"/>
          <w:sz w:val="20"/>
        </w:rPr>
        <w:t>asuntos pendientes al final del año</w:t>
      </w:r>
      <w:r w:rsidR="00FC5688" w:rsidRPr="00306658">
        <w:rPr>
          <w:rFonts w:ascii="Verdana" w:hAnsi="Verdana"/>
          <w:sz w:val="20"/>
        </w:rPr>
        <w:t xml:space="preserve"> </w:t>
      </w:r>
      <w:r w:rsidR="00343324" w:rsidRPr="00306658">
        <w:rPr>
          <w:rFonts w:ascii="Verdana" w:hAnsi="Verdana"/>
          <w:sz w:val="20"/>
        </w:rPr>
        <w:t xml:space="preserve">se ha reducido en un 0,1%, </w:t>
      </w:r>
      <w:r w:rsidR="00FC5688" w:rsidRPr="00306658">
        <w:rPr>
          <w:rFonts w:ascii="Verdana" w:hAnsi="Verdana"/>
          <w:sz w:val="20"/>
        </w:rPr>
        <w:t xml:space="preserve">quedando en </w:t>
      </w:r>
      <w:r w:rsidR="00317988" w:rsidRPr="00306658">
        <w:rPr>
          <w:rFonts w:ascii="Verdana" w:hAnsi="Verdana"/>
          <w:sz w:val="20"/>
        </w:rPr>
        <w:t>282</w:t>
      </w:r>
      <w:r w:rsidR="00CD72A2" w:rsidRPr="00306658">
        <w:rPr>
          <w:rFonts w:ascii="Verdana" w:hAnsi="Verdana"/>
          <w:sz w:val="20"/>
        </w:rPr>
        <w:t>.</w:t>
      </w:r>
      <w:r w:rsidR="00343324" w:rsidRPr="00306658">
        <w:rPr>
          <w:rFonts w:ascii="Verdana" w:hAnsi="Verdana"/>
          <w:sz w:val="20"/>
        </w:rPr>
        <w:t>387 al final de 2017</w:t>
      </w:r>
      <w:r w:rsidR="00FC5688" w:rsidRPr="00306658">
        <w:rPr>
          <w:rFonts w:ascii="Verdana" w:hAnsi="Verdana"/>
          <w:sz w:val="20"/>
        </w:rPr>
        <w:t xml:space="preserve">. </w:t>
      </w:r>
    </w:p>
    <w:p w:rsidR="001F17D4" w:rsidRPr="00306658" w:rsidRDefault="00C25DB3" w:rsidP="00C901B9">
      <w:pPr>
        <w:pStyle w:val="Textoindependiente"/>
        <w:spacing w:before="120" w:after="120"/>
        <w:ind w:firstLine="357"/>
        <w:jc w:val="center"/>
        <w:rPr>
          <w:rFonts w:ascii="Verdana" w:hAnsi="Verdana"/>
        </w:rPr>
      </w:pPr>
      <w:r w:rsidRPr="00306658">
        <w:rPr>
          <w:noProof/>
        </w:rPr>
        <w:drawing>
          <wp:inline distT="0" distB="0" distL="0" distR="0" wp14:anchorId="6597AB5A" wp14:editId="069593E2">
            <wp:extent cx="5549265" cy="2837421"/>
            <wp:effectExtent l="0" t="0" r="13335" b="20320"/>
            <wp:docPr id="1074" name="Gráfico 10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860E0" w:rsidRPr="00306658" w:rsidRDefault="00E860E0">
      <w:pPr>
        <w:pStyle w:val="Textoindependiente"/>
        <w:spacing w:before="120" w:after="120"/>
        <w:ind w:firstLine="357"/>
        <w:rPr>
          <w:rFonts w:ascii="Verdana" w:hAnsi="Verdana"/>
          <w:sz w:val="20"/>
        </w:rPr>
      </w:pPr>
    </w:p>
    <w:p w:rsidR="0016617F" w:rsidRPr="00306658" w:rsidRDefault="00E860E0" w:rsidP="00E860E0">
      <w:pPr>
        <w:pStyle w:val="Textoindependiente"/>
        <w:spacing w:before="120" w:after="120"/>
        <w:ind w:firstLine="357"/>
        <w:rPr>
          <w:rFonts w:ascii="Verdana" w:hAnsi="Verdana"/>
          <w:sz w:val="20"/>
        </w:rPr>
      </w:pPr>
      <w:r w:rsidRPr="00306658">
        <w:rPr>
          <w:rFonts w:ascii="Verdana" w:hAnsi="Verdana"/>
          <w:sz w:val="20"/>
        </w:rPr>
        <w:t xml:space="preserve">El conjunto de plazas de magistrado en esta jurisdicción </w:t>
      </w:r>
      <w:r w:rsidR="00E208C4" w:rsidRPr="00306658">
        <w:rPr>
          <w:rFonts w:ascii="Verdana" w:hAnsi="Verdana"/>
          <w:sz w:val="20"/>
        </w:rPr>
        <w:t xml:space="preserve">se ha mantenido estable desde </w:t>
      </w:r>
      <w:r w:rsidR="0016617F" w:rsidRPr="00306658">
        <w:rPr>
          <w:rFonts w:ascii="Verdana" w:hAnsi="Verdana"/>
          <w:sz w:val="20"/>
        </w:rPr>
        <w:t>2013</w:t>
      </w:r>
      <w:r w:rsidR="00075261" w:rsidRPr="00306658">
        <w:rPr>
          <w:rFonts w:ascii="Verdana" w:hAnsi="Verdana"/>
          <w:sz w:val="20"/>
        </w:rPr>
        <w:t>: 536</w:t>
      </w:r>
      <w:r w:rsidR="0016617F" w:rsidRPr="00306658">
        <w:rPr>
          <w:rFonts w:ascii="Verdana" w:hAnsi="Verdana"/>
          <w:sz w:val="20"/>
        </w:rPr>
        <w:t xml:space="preserve">. </w:t>
      </w:r>
      <w:r w:rsidRPr="00306658">
        <w:rPr>
          <w:rFonts w:ascii="Verdana" w:hAnsi="Verdana"/>
          <w:sz w:val="20"/>
        </w:rPr>
        <w:t xml:space="preserve"> </w:t>
      </w:r>
      <w:r w:rsidR="00B756B9" w:rsidRPr="00306658">
        <w:rPr>
          <w:rFonts w:ascii="Verdana" w:hAnsi="Verdana"/>
          <w:sz w:val="20"/>
        </w:rPr>
        <w:t xml:space="preserve">Se ha producido </w:t>
      </w:r>
      <w:r w:rsidR="006718BA" w:rsidRPr="00306658">
        <w:rPr>
          <w:rFonts w:ascii="Verdana" w:hAnsi="Verdana"/>
          <w:sz w:val="20"/>
        </w:rPr>
        <w:t>disminución</w:t>
      </w:r>
      <w:r w:rsidR="005158C3" w:rsidRPr="00306658">
        <w:rPr>
          <w:rFonts w:ascii="Verdana" w:hAnsi="Verdana"/>
          <w:sz w:val="20"/>
        </w:rPr>
        <w:t xml:space="preserve"> del </w:t>
      </w:r>
      <w:r w:rsidR="00E208C4" w:rsidRPr="00306658">
        <w:rPr>
          <w:rFonts w:ascii="Verdana" w:hAnsi="Verdana"/>
          <w:sz w:val="20"/>
        </w:rPr>
        <w:t>3</w:t>
      </w:r>
      <w:r w:rsidR="005158C3" w:rsidRPr="00306658">
        <w:rPr>
          <w:rFonts w:ascii="Verdana" w:hAnsi="Verdana"/>
          <w:sz w:val="20"/>
        </w:rPr>
        <w:t>% en el nú</w:t>
      </w:r>
      <w:r w:rsidR="0016617F" w:rsidRPr="00306658">
        <w:rPr>
          <w:rFonts w:ascii="Verdana" w:hAnsi="Verdana"/>
          <w:sz w:val="20"/>
        </w:rPr>
        <w:t>mero de sentencias dictadas.</w:t>
      </w:r>
    </w:p>
    <w:p w:rsidR="00D74AC4" w:rsidRPr="00306658" w:rsidRDefault="00ED1747">
      <w:pPr>
        <w:pStyle w:val="Textoindependiente"/>
        <w:spacing w:before="120" w:after="120"/>
        <w:ind w:firstLine="357"/>
        <w:rPr>
          <w:rFonts w:ascii="Verdana" w:hAnsi="Verdana"/>
          <w:sz w:val="20"/>
        </w:rPr>
      </w:pPr>
      <w:r w:rsidRPr="00306658">
        <w:rPr>
          <w:rFonts w:ascii="Verdana" w:hAnsi="Verdana"/>
          <w:sz w:val="20"/>
        </w:rPr>
        <w:t>La tasa de congestión muestra que la peor situación se da en Illes Balears (2,</w:t>
      </w:r>
      <w:r w:rsidR="00E208C4" w:rsidRPr="00306658">
        <w:rPr>
          <w:rFonts w:ascii="Verdana" w:hAnsi="Verdana"/>
          <w:sz w:val="20"/>
        </w:rPr>
        <w:t>1</w:t>
      </w:r>
      <w:r w:rsidR="00343324" w:rsidRPr="00306658">
        <w:rPr>
          <w:rFonts w:ascii="Verdana" w:hAnsi="Verdana"/>
          <w:sz w:val="20"/>
        </w:rPr>
        <w:t>6</w:t>
      </w:r>
      <w:r w:rsidR="000B16E0" w:rsidRPr="00306658">
        <w:rPr>
          <w:rFonts w:ascii="Verdana" w:hAnsi="Verdana"/>
          <w:sz w:val="20"/>
        </w:rPr>
        <w:t>);</w:t>
      </w:r>
      <w:r w:rsidRPr="00306658">
        <w:rPr>
          <w:rFonts w:ascii="Verdana" w:hAnsi="Verdana"/>
          <w:sz w:val="20"/>
        </w:rPr>
        <w:t xml:space="preserve"> </w:t>
      </w:r>
      <w:r w:rsidR="000B16E0" w:rsidRPr="00306658">
        <w:rPr>
          <w:rFonts w:ascii="Verdana" w:hAnsi="Verdana"/>
          <w:sz w:val="20"/>
        </w:rPr>
        <w:t>Andalucía (2,</w:t>
      </w:r>
      <w:r w:rsidR="00E208C4" w:rsidRPr="00306658">
        <w:rPr>
          <w:rFonts w:ascii="Verdana" w:hAnsi="Verdana"/>
          <w:sz w:val="20"/>
        </w:rPr>
        <w:t>0</w:t>
      </w:r>
      <w:r w:rsidR="00343324" w:rsidRPr="00306658">
        <w:rPr>
          <w:rFonts w:ascii="Verdana" w:hAnsi="Verdana"/>
          <w:sz w:val="20"/>
        </w:rPr>
        <w:t>8</w:t>
      </w:r>
      <w:r w:rsidR="000B16E0" w:rsidRPr="00306658">
        <w:rPr>
          <w:rFonts w:ascii="Verdana" w:hAnsi="Verdana"/>
          <w:sz w:val="20"/>
        </w:rPr>
        <w:t xml:space="preserve">); </w:t>
      </w:r>
      <w:r w:rsidR="00343324" w:rsidRPr="00306658">
        <w:rPr>
          <w:rFonts w:ascii="Verdana" w:hAnsi="Verdana"/>
          <w:sz w:val="20"/>
        </w:rPr>
        <w:t xml:space="preserve">Murcia (1,91); Castilla la Mancha (1,89), </w:t>
      </w:r>
      <w:r w:rsidRPr="00306658">
        <w:rPr>
          <w:rFonts w:ascii="Verdana" w:hAnsi="Verdana"/>
          <w:sz w:val="20"/>
        </w:rPr>
        <w:t xml:space="preserve">C. Valenciana </w:t>
      </w:r>
      <w:r w:rsidR="00D74AC4" w:rsidRPr="00306658">
        <w:rPr>
          <w:rFonts w:ascii="Verdana" w:hAnsi="Verdana"/>
          <w:sz w:val="20"/>
        </w:rPr>
        <w:t xml:space="preserve">y Galicia </w:t>
      </w:r>
      <w:r w:rsidRPr="00306658">
        <w:rPr>
          <w:rFonts w:ascii="Verdana" w:hAnsi="Verdana"/>
          <w:sz w:val="20"/>
        </w:rPr>
        <w:lastRenderedPageBreak/>
        <w:t>(</w:t>
      </w:r>
      <w:r w:rsidR="00E208C4" w:rsidRPr="00306658">
        <w:rPr>
          <w:rFonts w:ascii="Verdana" w:hAnsi="Verdana"/>
          <w:sz w:val="20"/>
        </w:rPr>
        <w:t>1</w:t>
      </w:r>
      <w:r w:rsidRPr="00306658">
        <w:rPr>
          <w:rFonts w:ascii="Verdana" w:hAnsi="Verdana"/>
          <w:sz w:val="20"/>
        </w:rPr>
        <w:t>,</w:t>
      </w:r>
      <w:r w:rsidR="00D74AC4" w:rsidRPr="00306658">
        <w:rPr>
          <w:rFonts w:ascii="Verdana" w:hAnsi="Verdana"/>
          <w:sz w:val="20"/>
        </w:rPr>
        <w:t>78</w:t>
      </w:r>
      <w:r w:rsidRPr="00306658">
        <w:rPr>
          <w:rFonts w:ascii="Verdana" w:hAnsi="Verdana"/>
          <w:sz w:val="20"/>
        </w:rPr>
        <w:t>)</w:t>
      </w:r>
      <w:r w:rsidR="00D74AC4" w:rsidRPr="00306658">
        <w:rPr>
          <w:rFonts w:ascii="Verdana" w:hAnsi="Verdana"/>
          <w:sz w:val="20"/>
        </w:rPr>
        <w:t>. T</w:t>
      </w:r>
      <w:r w:rsidRPr="00306658">
        <w:rPr>
          <w:rFonts w:ascii="Verdana" w:hAnsi="Verdana"/>
          <w:sz w:val="20"/>
        </w:rPr>
        <w:t xml:space="preserve">odas superan la tasa nacional </w:t>
      </w:r>
      <w:r w:rsidR="00E208C4" w:rsidRPr="00306658">
        <w:rPr>
          <w:rFonts w:ascii="Verdana" w:hAnsi="Verdana"/>
          <w:sz w:val="20"/>
        </w:rPr>
        <w:t>de 1,7</w:t>
      </w:r>
      <w:r w:rsidR="00D74AC4" w:rsidRPr="00306658">
        <w:rPr>
          <w:rFonts w:ascii="Verdana" w:hAnsi="Verdana"/>
          <w:sz w:val="20"/>
        </w:rPr>
        <w:t>5</w:t>
      </w:r>
      <w:r w:rsidRPr="00306658">
        <w:rPr>
          <w:rFonts w:ascii="Verdana" w:hAnsi="Verdana"/>
          <w:sz w:val="20"/>
        </w:rPr>
        <w:t xml:space="preserve">.  </w:t>
      </w:r>
      <w:r w:rsidR="006C5158" w:rsidRPr="00306658">
        <w:rPr>
          <w:rFonts w:ascii="Verdana" w:hAnsi="Verdana"/>
          <w:sz w:val="20"/>
        </w:rPr>
        <w:t>L</w:t>
      </w:r>
      <w:r w:rsidR="002E67A9" w:rsidRPr="00306658">
        <w:rPr>
          <w:rFonts w:ascii="Verdana" w:hAnsi="Verdana"/>
          <w:sz w:val="20"/>
        </w:rPr>
        <w:t xml:space="preserve">a mejor </w:t>
      </w:r>
      <w:r w:rsidR="005D6F94" w:rsidRPr="00306658">
        <w:rPr>
          <w:rFonts w:ascii="Verdana" w:hAnsi="Verdana"/>
          <w:sz w:val="20"/>
        </w:rPr>
        <w:t xml:space="preserve">se da en </w:t>
      </w:r>
      <w:r w:rsidR="00C17A92" w:rsidRPr="00306658">
        <w:rPr>
          <w:rFonts w:ascii="Verdana" w:hAnsi="Verdana"/>
          <w:sz w:val="20"/>
        </w:rPr>
        <w:t xml:space="preserve"> </w:t>
      </w:r>
      <w:r w:rsidR="00D74AC4" w:rsidRPr="00306658">
        <w:rPr>
          <w:rFonts w:ascii="Verdana" w:hAnsi="Verdana"/>
          <w:sz w:val="20"/>
        </w:rPr>
        <w:t>Asturias (1,43); Cantabria y País Vasco</w:t>
      </w:r>
      <w:r w:rsidR="00E208C4" w:rsidRPr="00306658">
        <w:rPr>
          <w:rFonts w:ascii="Verdana" w:hAnsi="Verdana"/>
          <w:sz w:val="20"/>
        </w:rPr>
        <w:t xml:space="preserve"> (1,</w:t>
      </w:r>
      <w:r w:rsidR="00D74AC4" w:rsidRPr="00306658">
        <w:rPr>
          <w:rFonts w:ascii="Verdana" w:hAnsi="Verdana"/>
          <w:sz w:val="20"/>
        </w:rPr>
        <w:t>4</w:t>
      </w:r>
      <w:r w:rsidR="00E208C4" w:rsidRPr="00306658">
        <w:rPr>
          <w:rFonts w:ascii="Verdana" w:hAnsi="Verdana"/>
          <w:sz w:val="20"/>
        </w:rPr>
        <w:t>8</w:t>
      </w:r>
      <w:r w:rsidR="005158C3" w:rsidRPr="00306658">
        <w:rPr>
          <w:rFonts w:ascii="Verdana" w:hAnsi="Verdana"/>
          <w:sz w:val="20"/>
        </w:rPr>
        <w:t>)</w:t>
      </w:r>
      <w:r w:rsidR="00D74AC4" w:rsidRPr="00306658">
        <w:rPr>
          <w:rFonts w:ascii="Verdana" w:hAnsi="Verdana"/>
          <w:sz w:val="20"/>
        </w:rPr>
        <w:t>; Extremadura (1,51);</w:t>
      </w:r>
      <w:r w:rsidR="005158C3" w:rsidRPr="00306658">
        <w:rPr>
          <w:rFonts w:ascii="Verdana" w:hAnsi="Verdana"/>
          <w:sz w:val="20"/>
        </w:rPr>
        <w:t xml:space="preserve"> </w:t>
      </w:r>
      <w:r w:rsidR="00D74AC4" w:rsidRPr="00306658">
        <w:rPr>
          <w:rFonts w:ascii="Verdana" w:hAnsi="Verdana"/>
          <w:sz w:val="20"/>
        </w:rPr>
        <w:t>Navarra y La Rioja (1,52).</w:t>
      </w:r>
    </w:p>
    <w:p w:rsidR="001B4EE3" w:rsidRPr="00306658" w:rsidRDefault="00ED307E">
      <w:pPr>
        <w:pStyle w:val="Textoindependiente"/>
        <w:jc w:val="center"/>
        <w:rPr>
          <w:rFonts w:ascii="Verdana" w:hAnsi="Verdana"/>
        </w:rPr>
      </w:pPr>
      <w:r w:rsidRPr="00306658">
        <w:rPr>
          <w:noProof/>
        </w:rPr>
        <w:drawing>
          <wp:inline distT="0" distB="0" distL="0" distR="0" wp14:anchorId="33570611" wp14:editId="2C908029">
            <wp:extent cx="5534025" cy="3267075"/>
            <wp:effectExtent l="0" t="0" r="9525" b="9525"/>
            <wp:docPr id="1077" name="Gráfico 10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33A1D" w:rsidRPr="00306658" w:rsidRDefault="00B33A1D" w:rsidP="00E452C7">
      <w:pPr>
        <w:pStyle w:val="Textoindependiente"/>
        <w:spacing w:before="120" w:after="120"/>
        <w:ind w:firstLine="357"/>
        <w:rPr>
          <w:rFonts w:ascii="Verdana" w:hAnsi="Verdana"/>
          <w:sz w:val="20"/>
        </w:rPr>
      </w:pPr>
    </w:p>
    <w:p w:rsidR="006237AD" w:rsidRPr="00306658" w:rsidRDefault="00BC6FA4" w:rsidP="00E452C7">
      <w:pPr>
        <w:pStyle w:val="Textoindependiente"/>
        <w:spacing w:before="120" w:after="120"/>
        <w:ind w:firstLine="357"/>
        <w:rPr>
          <w:rFonts w:ascii="Verdana" w:hAnsi="Verdana"/>
          <w:sz w:val="20"/>
        </w:rPr>
      </w:pPr>
      <w:r w:rsidRPr="00306658">
        <w:rPr>
          <w:rFonts w:ascii="Verdana" w:hAnsi="Verdana"/>
          <w:sz w:val="20"/>
        </w:rPr>
        <w:t>L</w:t>
      </w:r>
      <w:r w:rsidR="00F63504" w:rsidRPr="00306658">
        <w:rPr>
          <w:rFonts w:ascii="Verdana" w:hAnsi="Verdana"/>
          <w:sz w:val="20"/>
        </w:rPr>
        <w:t>a</w:t>
      </w:r>
      <w:r w:rsidR="00425BF7" w:rsidRPr="00306658">
        <w:rPr>
          <w:rFonts w:ascii="Verdana" w:hAnsi="Verdana"/>
          <w:sz w:val="20"/>
        </w:rPr>
        <w:t xml:space="preserve"> tasa de resolución </w:t>
      </w:r>
      <w:r w:rsidR="00560266" w:rsidRPr="00306658">
        <w:rPr>
          <w:rFonts w:ascii="Verdana" w:hAnsi="Verdana"/>
          <w:sz w:val="20"/>
        </w:rPr>
        <w:t>ha disminuido</w:t>
      </w:r>
      <w:r w:rsidRPr="00306658">
        <w:rPr>
          <w:rFonts w:ascii="Verdana" w:hAnsi="Verdana"/>
          <w:sz w:val="20"/>
        </w:rPr>
        <w:t xml:space="preserve"> respecto a 2015, mientras que las de pendencia y congestión han </w:t>
      </w:r>
      <w:r w:rsidR="00560266" w:rsidRPr="00306658">
        <w:rPr>
          <w:rFonts w:ascii="Verdana" w:hAnsi="Verdana"/>
          <w:sz w:val="20"/>
        </w:rPr>
        <w:t>aumentado levemente</w:t>
      </w:r>
      <w:r w:rsidRPr="00306658">
        <w:rPr>
          <w:rFonts w:ascii="Verdana" w:hAnsi="Verdana"/>
          <w:sz w:val="20"/>
        </w:rPr>
        <w:t>.</w:t>
      </w:r>
      <w:r w:rsidR="00C53867" w:rsidRPr="00306658">
        <w:rPr>
          <w:rFonts w:ascii="Verdana" w:hAnsi="Verdana"/>
          <w:sz w:val="20"/>
        </w:rPr>
        <w:t xml:space="preserve"> En consecuencia podemos inferir que </w:t>
      </w:r>
      <w:r w:rsidR="00425BF7" w:rsidRPr="00306658">
        <w:rPr>
          <w:rFonts w:ascii="Verdana" w:hAnsi="Verdana"/>
          <w:sz w:val="20"/>
        </w:rPr>
        <w:t xml:space="preserve">la </w:t>
      </w:r>
      <w:r w:rsidR="0059314C" w:rsidRPr="00306658">
        <w:rPr>
          <w:rFonts w:ascii="Verdana" w:hAnsi="Verdana"/>
          <w:sz w:val="20"/>
        </w:rPr>
        <w:t xml:space="preserve">situación </w:t>
      </w:r>
      <w:r w:rsidR="005B64F0" w:rsidRPr="00306658">
        <w:rPr>
          <w:rFonts w:ascii="Verdana" w:hAnsi="Verdana"/>
          <w:sz w:val="20"/>
        </w:rPr>
        <w:t xml:space="preserve">global </w:t>
      </w:r>
      <w:r w:rsidR="0059314C" w:rsidRPr="00306658">
        <w:rPr>
          <w:rFonts w:ascii="Verdana" w:hAnsi="Verdana"/>
          <w:sz w:val="20"/>
        </w:rPr>
        <w:t xml:space="preserve">de la </w:t>
      </w:r>
      <w:r w:rsidR="00447998" w:rsidRPr="00306658">
        <w:rPr>
          <w:rFonts w:ascii="Verdana" w:hAnsi="Verdana"/>
          <w:sz w:val="20"/>
        </w:rPr>
        <w:t>jurisdicción s</w:t>
      </w:r>
      <w:r w:rsidR="00F63504" w:rsidRPr="00306658">
        <w:rPr>
          <w:rFonts w:ascii="Verdana" w:hAnsi="Verdana"/>
          <w:sz w:val="20"/>
        </w:rPr>
        <w:t>ocial</w:t>
      </w:r>
      <w:r w:rsidR="00626C5B" w:rsidRPr="00306658">
        <w:rPr>
          <w:rFonts w:ascii="Verdana" w:hAnsi="Verdana"/>
          <w:sz w:val="20"/>
        </w:rPr>
        <w:t xml:space="preserve"> </w:t>
      </w:r>
      <w:r w:rsidRPr="00306658">
        <w:rPr>
          <w:rFonts w:ascii="Verdana" w:hAnsi="Verdana"/>
          <w:sz w:val="20"/>
        </w:rPr>
        <w:t>en 201</w:t>
      </w:r>
      <w:r w:rsidR="00560266" w:rsidRPr="00306658">
        <w:rPr>
          <w:rFonts w:ascii="Verdana" w:hAnsi="Verdana"/>
          <w:sz w:val="20"/>
        </w:rPr>
        <w:t>7</w:t>
      </w:r>
      <w:r w:rsidRPr="00306658">
        <w:rPr>
          <w:rFonts w:ascii="Verdana" w:hAnsi="Verdana"/>
          <w:sz w:val="20"/>
        </w:rPr>
        <w:t xml:space="preserve"> </w:t>
      </w:r>
      <w:r w:rsidR="00626C5B" w:rsidRPr="00306658">
        <w:rPr>
          <w:rFonts w:ascii="Verdana" w:hAnsi="Verdana"/>
          <w:sz w:val="20"/>
        </w:rPr>
        <w:t xml:space="preserve">ha </w:t>
      </w:r>
      <w:r w:rsidR="00560266" w:rsidRPr="00306658">
        <w:rPr>
          <w:rFonts w:ascii="Verdana" w:hAnsi="Verdana"/>
          <w:sz w:val="20"/>
        </w:rPr>
        <w:t xml:space="preserve">empeorado </w:t>
      </w:r>
      <w:r w:rsidR="00C53867" w:rsidRPr="00306658">
        <w:rPr>
          <w:rFonts w:ascii="Verdana" w:hAnsi="Verdana"/>
          <w:sz w:val="20"/>
        </w:rPr>
        <w:t>respecto a 201</w:t>
      </w:r>
      <w:r w:rsidR="00560266" w:rsidRPr="00306658">
        <w:rPr>
          <w:rFonts w:ascii="Verdana" w:hAnsi="Verdana"/>
          <w:sz w:val="20"/>
        </w:rPr>
        <w:t>6</w:t>
      </w:r>
      <w:r w:rsidR="00626C5B" w:rsidRPr="00306658">
        <w:rPr>
          <w:rFonts w:ascii="Verdana" w:hAnsi="Verdana"/>
          <w:sz w:val="20"/>
        </w:rPr>
        <w:t>.</w:t>
      </w:r>
    </w:p>
    <w:tbl>
      <w:tblPr>
        <w:tblW w:w="6140" w:type="dxa"/>
        <w:jc w:val="center"/>
        <w:tblInd w:w="55" w:type="dxa"/>
        <w:tblCellMar>
          <w:left w:w="70" w:type="dxa"/>
          <w:right w:w="70" w:type="dxa"/>
        </w:tblCellMar>
        <w:tblLook w:val="04A0" w:firstRow="1" w:lastRow="0" w:firstColumn="1" w:lastColumn="0" w:noHBand="0" w:noVBand="1"/>
      </w:tblPr>
      <w:tblGrid>
        <w:gridCol w:w="2180"/>
        <w:gridCol w:w="1488"/>
        <w:gridCol w:w="1251"/>
        <w:gridCol w:w="1221"/>
      </w:tblGrid>
      <w:tr w:rsidR="00560266" w:rsidRPr="00306658" w:rsidTr="00560266">
        <w:trPr>
          <w:trHeight w:val="315"/>
          <w:jc w:val="center"/>
        </w:trPr>
        <w:tc>
          <w:tcPr>
            <w:tcW w:w="2180" w:type="dxa"/>
            <w:tcBorders>
              <w:top w:val="nil"/>
              <w:left w:val="nil"/>
              <w:bottom w:val="nil"/>
              <w:right w:val="nil"/>
            </w:tcBorders>
            <w:shd w:val="clear" w:color="auto" w:fill="auto"/>
            <w:noWrap/>
            <w:vAlign w:val="bottom"/>
            <w:hideMark/>
          </w:tcPr>
          <w:p w:rsidR="00560266" w:rsidRPr="00306658" w:rsidRDefault="00560266">
            <w:pPr>
              <w:rPr>
                <w:color w:val="000000"/>
                <w:sz w:val="20"/>
                <w:szCs w:val="20"/>
              </w:rPr>
            </w:pPr>
          </w:p>
        </w:tc>
        <w:tc>
          <w:tcPr>
            <w:tcW w:w="150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b/>
                <w:bCs/>
                <w:color w:val="000080"/>
                <w:sz w:val="20"/>
                <w:szCs w:val="20"/>
              </w:rPr>
            </w:pPr>
            <w:r w:rsidRPr="00306658">
              <w:rPr>
                <w:rFonts w:ascii="Verdana" w:hAnsi="Verdana" w:cs="Arial"/>
                <w:b/>
                <w:bCs/>
                <w:color w:val="000080"/>
                <w:sz w:val="20"/>
                <w:szCs w:val="20"/>
              </w:rPr>
              <w:t>2016</w:t>
            </w:r>
          </w:p>
        </w:tc>
        <w:tc>
          <w:tcPr>
            <w:tcW w:w="126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b/>
                <w:bCs/>
                <w:color w:val="000080"/>
                <w:sz w:val="20"/>
                <w:szCs w:val="20"/>
              </w:rPr>
            </w:pPr>
            <w:r w:rsidRPr="00306658">
              <w:rPr>
                <w:rFonts w:ascii="Verdana" w:hAnsi="Verdana" w:cs="Arial"/>
                <w:b/>
                <w:bCs/>
                <w:color w:val="000080"/>
                <w:sz w:val="20"/>
                <w:szCs w:val="20"/>
              </w:rPr>
              <w:t>2017</w:t>
            </w:r>
          </w:p>
        </w:tc>
        <w:tc>
          <w:tcPr>
            <w:tcW w:w="120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b/>
                <w:bCs/>
                <w:color w:val="000080"/>
                <w:sz w:val="20"/>
                <w:szCs w:val="20"/>
              </w:rPr>
            </w:pPr>
            <w:r w:rsidRPr="00306658">
              <w:rPr>
                <w:rFonts w:ascii="Verdana" w:hAnsi="Verdana" w:cs="Arial"/>
                <w:b/>
                <w:bCs/>
                <w:color w:val="000080"/>
                <w:sz w:val="20"/>
                <w:szCs w:val="20"/>
              </w:rPr>
              <w:t>Evolución</w:t>
            </w:r>
          </w:p>
        </w:tc>
      </w:tr>
      <w:tr w:rsidR="00560266" w:rsidRPr="00306658" w:rsidTr="00560266">
        <w:trPr>
          <w:trHeight w:val="300"/>
          <w:jc w:val="center"/>
        </w:trPr>
        <w:tc>
          <w:tcPr>
            <w:tcW w:w="2180" w:type="dxa"/>
            <w:tcBorders>
              <w:top w:val="single" w:sz="8" w:space="0" w:color="auto"/>
              <w:left w:val="nil"/>
              <w:bottom w:val="nil"/>
              <w:right w:val="nil"/>
            </w:tcBorders>
            <w:shd w:val="clear" w:color="auto" w:fill="auto"/>
            <w:vAlign w:val="center"/>
            <w:hideMark/>
          </w:tcPr>
          <w:p w:rsidR="00560266" w:rsidRPr="00306658" w:rsidRDefault="00560266">
            <w:pPr>
              <w:jc w:val="both"/>
              <w:rPr>
                <w:rFonts w:ascii="Verdana" w:hAnsi="Verdana" w:cs="Calibri"/>
                <w:color w:val="000000"/>
                <w:sz w:val="20"/>
                <w:szCs w:val="20"/>
              </w:rPr>
            </w:pPr>
            <w:r w:rsidRPr="00306658">
              <w:rPr>
                <w:rFonts w:ascii="Verdana" w:hAnsi="Verdana" w:cs="Arial"/>
                <w:color w:val="000000"/>
                <w:sz w:val="20"/>
                <w:szCs w:val="20"/>
              </w:rPr>
              <w:t>Tasa de Resolución</w:t>
            </w:r>
          </w:p>
        </w:tc>
        <w:tc>
          <w:tcPr>
            <w:tcW w:w="150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1,05</w:t>
            </w:r>
          </w:p>
        </w:tc>
        <w:tc>
          <w:tcPr>
            <w:tcW w:w="126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0,97</w:t>
            </w:r>
          </w:p>
        </w:tc>
        <w:tc>
          <w:tcPr>
            <w:tcW w:w="1200" w:type="dxa"/>
            <w:tcBorders>
              <w:top w:val="single" w:sz="8" w:space="0" w:color="auto"/>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-7,4%</w:t>
            </w:r>
          </w:p>
        </w:tc>
      </w:tr>
      <w:tr w:rsidR="00560266" w:rsidRPr="00306658" w:rsidTr="00560266">
        <w:trPr>
          <w:trHeight w:val="300"/>
          <w:jc w:val="center"/>
        </w:trPr>
        <w:tc>
          <w:tcPr>
            <w:tcW w:w="2180" w:type="dxa"/>
            <w:tcBorders>
              <w:top w:val="nil"/>
              <w:left w:val="nil"/>
              <w:bottom w:val="nil"/>
              <w:right w:val="nil"/>
            </w:tcBorders>
            <w:shd w:val="clear" w:color="auto" w:fill="auto"/>
            <w:vAlign w:val="center"/>
            <w:hideMark/>
          </w:tcPr>
          <w:p w:rsidR="00560266" w:rsidRPr="00306658" w:rsidRDefault="00560266">
            <w:pPr>
              <w:jc w:val="both"/>
              <w:rPr>
                <w:rFonts w:ascii="Verdana" w:hAnsi="Verdana" w:cs="Calibri"/>
                <w:color w:val="000000"/>
                <w:sz w:val="20"/>
                <w:szCs w:val="20"/>
              </w:rPr>
            </w:pPr>
            <w:r w:rsidRPr="00306658">
              <w:rPr>
                <w:rFonts w:ascii="Verdana" w:hAnsi="Verdana" w:cs="Arial"/>
                <w:color w:val="000000"/>
                <w:sz w:val="20"/>
                <w:szCs w:val="20"/>
              </w:rPr>
              <w:t>Tasa de Pendencia</w:t>
            </w:r>
          </w:p>
        </w:tc>
        <w:tc>
          <w:tcPr>
            <w:tcW w:w="1500" w:type="dxa"/>
            <w:tcBorders>
              <w:top w:val="nil"/>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0,71</w:t>
            </w:r>
          </w:p>
        </w:tc>
        <w:tc>
          <w:tcPr>
            <w:tcW w:w="1260" w:type="dxa"/>
            <w:tcBorders>
              <w:top w:val="nil"/>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0,72</w:t>
            </w:r>
          </w:p>
        </w:tc>
        <w:tc>
          <w:tcPr>
            <w:tcW w:w="1200" w:type="dxa"/>
            <w:tcBorders>
              <w:top w:val="nil"/>
              <w:left w:val="nil"/>
              <w:bottom w:val="nil"/>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1,9%</w:t>
            </w:r>
          </w:p>
        </w:tc>
      </w:tr>
      <w:tr w:rsidR="00560266" w:rsidRPr="00306658" w:rsidTr="00560266">
        <w:trPr>
          <w:trHeight w:val="315"/>
          <w:jc w:val="center"/>
        </w:trPr>
        <w:tc>
          <w:tcPr>
            <w:tcW w:w="2180" w:type="dxa"/>
            <w:tcBorders>
              <w:top w:val="nil"/>
              <w:left w:val="nil"/>
              <w:bottom w:val="single" w:sz="8" w:space="0" w:color="auto"/>
              <w:right w:val="nil"/>
            </w:tcBorders>
            <w:shd w:val="clear" w:color="auto" w:fill="auto"/>
            <w:vAlign w:val="center"/>
            <w:hideMark/>
          </w:tcPr>
          <w:p w:rsidR="00560266" w:rsidRPr="00306658" w:rsidRDefault="00560266">
            <w:pPr>
              <w:jc w:val="both"/>
              <w:rPr>
                <w:rFonts w:ascii="Verdana" w:hAnsi="Verdana" w:cs="Calibri"/>
                <w:color w:val="000000"/>
                <w:sz w:val="20"/>
                <w:szCs w:val="20"/>
              </w:rPr>
            </w:pPr>
            <w:r w:rsidRPr="00306658">
              <w:rPr>
                <w:rFonts w:ascii="Verdana" w:hAnsi="Verdana" w:cs="Arial"/>
                <w:color w:val="000000"/>
                <w:sz w:val="20"/>
                <w:szCs w:val="20"/>
              </w:rPr>
              <w:t>Tasa de Congestión</w:t>
            </w:r>
          </w:p>
        </w:tc>
        <w:tc>
          <w:tcPr>
            <w:tcW w:w="1500" w:type="dxa"/>
            <w:tcBorders>
              <w:top w:val="nil"/>
              <w:left w:val="nil"/>
              <w:bottom w:val="single" w:sz="8" w:space="0" w:color="auto"/>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1,73</w:t>
            </w:r>
          </w:p>
        </w:tc>
        <w:tc>
          <w:tcPr>
            <w:tcW w:w="1260" w:type="dxa"/>
            <w:tcBorders>
              <w:top w:val="nil"/>
              <w:left w:val="nil"/>
              <w:bottom w:val="single" w:sz="8" w:space="0" w:color="auto"/>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1,75</w:t>
            </w:r>
          </w:p>
        </w:tc>
        <w:tc>
          <w:tcPr>
            <w:tcW w:w="1200" w:type="dxa"/>
            <w:tcBorders>
              <w:top w:val="nil"/>
              <w:left w:val="nil"/>
              <w:bottom w:val="single" w:sz="8" w:space="0" w:color="auto"/>
              <w:right w:val="nil"/>
            </w:tcBorders>
            <w:shd w:val="clear" w:color="auto" w:fill="auto"/>
            <w:vAlign w:val="center"/>
            <w:hideMark/>
          </w:tcPr>
          <w:p w:rsidR="00560266" w:rsidRPr="00306658" w:rsidRDefault="00560266">
            <w:pPr>
              <w:jc w:val="center"/>
              <w:rPr>
                <w:rFonts w:ascii="Verdana" w:hAnsi="Verdana" w:cs="Calibri"/>
                <w:color w:val="000000"/>
                <w:sz w:val="20"/>
                <w:szCs w:val="20"/>
              </w:rPr>
            </w:pPr>
            <w:r w:rsidRPr="00306658">
              <w:rPr>
                <w:rFonts w:ascii="Verdana" w:hAnsi="Verdana" w:cs="Calibri"/>
                <w:color w:val="000000"/>
                <w:sz w:val="20"/>
                <w:szCs w:val="20"/>
              </w:rPr>
              <w:t>0,9%</w:t>
            </w:r>
          </w:p>
        </w:tc>
      </w:tr>
    </w:tbl>
    <w:p w:rsidR="000E7EFC" w:rsidRPr="00306658" w:rsidRDefault="000E7EFC">
      <w:pPr>
        <w:pStyle w:val="Textoindependiente"/>
        <w:spacing w:before="120" w:after="120"/>
        <w:ind w:firstLine="357"/>
        <w:rPr>
          <w:rFonts w:ascii="Verdana" w:hAnsi="Verdana"/>
          <w:sz w:val="20"/>
        </w:rPr>
      </w:pPr>
    </w:p>
    <w:p w:rsidR="001B4EE3" w:rsidRPr="00306658" w:rsidRDefault="001B4EE3">
      <w:pPr>
        <w:pStyle w:val="Textoindependiente"/>
        <w:spacing w:before="120" w:after="120"/>
        <w:ind w:firstLine="357"/>
        <w:rPr>
          <w:rFonts w:ascii="Verdana" w:hAnsi="Verdana"/>
          <w:sz w:val="20"/>
        </w:rPr>
      </w:pPr>
      <w:r w:rsidRPr="00306658">
        <w:rPr>
          <w:rFonts w:ascii="Verdana" w:hAnsi="Verdana"/>
          <w:sz w:val="20"/>
        </w:rPr>
        <w:t>La situación de los distintos tipos de órganos de esta jurisdicción se resume en el cuadro siguiente.</w:t>
      </w:r>
    </w:p>
    <w:p w:rsidR="000E7EFC" w:rsidRPr="00306658" w:rsidRDefault="000E7EFC">
      <w:pPr>
        <w:pStyle w:val="Textoindependiente"/>
        <w:spacing w:before="120" w:after="120"/>
        <w:ind w:firstLine="357"/>
        <w:rPr>
          <w:rFonts w:ascii="Verdana" w:hAnsi="Verdana"/>
          <w:sz w:val="20"/>
        </w:rPr>
      </w:pPr>
    </w:p>
    <w:tbl>
      <w:tblPr>
        <w:tblW w:w="6080" w:type="dxa"/>
        <w:jc w:val="center"/>
        <w:tblInd w:w="55" w:type="dxa"/>
        <w:tblCellMar>
          <w:left w:w="70" w:type="dxa"/>
          <w:right w:w="70" w:type="dxa"/>
        </w:tblCellMar>
        <w:tblLook w:val="04A0" w:firstRow="1" w:lastRow="0" w:firstColumn="1" w:lastColumn="0" w:noHBand="0" w:noVBand="1"/>
      </w:tblPr>
      <w:tblGrid>
        <w:gridCol w:w="2148"/>
        <w:gridCol w:w="1497"/>
        <w:gridCol w:w="1239"/>
        <w:gridCol w:w="1196"/>
      </w:tblGrid>
      <w:tr w:rsidR="00ED307E" w:rsidRPr="00306658" w:rsidTr="00ED307E">
        <w:trPr>
          <w:trHeight w:val="1035"/>
          <w:jc w:val="center"/>
        </w:trPr>
        <w:tc>
          <w:tcPr>
            <w:tcW w:w="2180" w:type="dxa"/>
            <w:tcBorders>
              <w:top w:val="single" w:sz="8" w:space="0" w:color="auto"/>
              <w:left w:val="nil"/>
              <w:bottom w:val="single" w:sz="8" w:space="0" w:color="auto"/>
              <w:right w:val="nil"/>
            </w:tcBorders>
            <w:shd w:val="clear" w:color="auto" w:fill="auto"/>
            <w:vAlign w:val="center"/>
            <w:hideMark/>
          </w:tcPr>
          <w:p w:rsidR="00ED307E" w:rsidRPr="00306658" w:rsidRDefault="00ED307E">
            <w:pPr>
              <w:jc w:val="center"/>
              <w:rPr>
                <w:rFonts w:ascii="Verdana" w:hAnsi="Verdana" w:cs="Calibri"/>
                <w:b/>
                <w:bCs/>
                <w:color w:val="000000"/>
                <w:sz w:val="20"/>
                <w:szCs w:val="20"/>
              </w:rPr>
            </w:pPr>
            <w:r w:rsidRPr="00306658">
              <w:rPr>
                <w:rFonts w:ascii="Verdana" w:hAnsi="Verdana" w:cs="Calibri"/>
                <w:b/>
                <w:bCs/>
                <w:color w:val="000000"/>
                <w:sz w:val="20"/>
                <w:szCs w:val="20"/>
              </w:rPr>
              <w:t> </w:t>
            </w:r>
          </w:p>
        </w:tc>
        <w:tc>
          <w:tcPr>
            <w:tcW w:w="1500" w:type="dxa"/>
            <w:tcBorders>
              <w:top w:val="single" w:sz="8" w:space="0" w:color="auto"/>
              <w:left w:val="nil"/>
              <w:bottom w:val="single" w:sz="8" w:space="0" w:color="auto"/>
              <w:right w:val="nil"/>
            </w:tcBorders>
            <w:shd w:val="clear" w:color="auto" w:fill="auto"/>
            <w:vAlign w:val="center"/>
            <w:hideMark/>
          </w:tcPr>
          <w:p w:rsidR="00ED307E" w:rsidRPr="00306658" w:rsidRDefault="00ED307E">
            <w:pPr>
              <w:jc w:val="center"/>
              <w:rPr>
                <w:rFonts w:ascii="Verdana" w:hAnsi="Verdana" w:cs="Calibri"/>
                <w:b/>
                <w:bCs/>
                <w:color w:val="000000"/>
                <w:sz w:val="20"/>
                <w:szCs w:val="20"/>
              </w:rPr>
            </w:pPr>
            <w:r w:rsidRPr="00306658">
              <w:rPr>
                <w:rFonts w:ascii="Verdana" w:hAnsi="Verdana" w:cs="Calibri"/>
                <w:b/>
                <w:bCs/>
                <w:color w:val="000000"/>
                <w:sz w:val="20"/>
                <w:szCs w:val="20"/>
              </w:rPr>
              <w:t xml:space="preserve">Ingresados </w:t>
            </w:r>
          </w:p>
        </w:tc>
        <w:tc>
          <w:tcPr>
            <w:tcW w:w="1200" w:type="dxa"/>
            <w:tcBorders>
              <w:top w:val="single" w:sz="8" w:space="0" w:color="auto"/>
              <w:left w:val="nil"/>
              <w:bottom w:val="single" w:sz="8" w:space="0" w:color="auto"/>
              <w:right w:val="nil"/>
            </w:tcBorders>
            <w:shd w:val="clear" w:color="auto" w:fill="auto"/>
            <w:vAlign w:val="center"/>
            <w:hideMark/>
          </w:tcPr>
          <w:p w:rsidR="00ED307E" w:rsidRPr="00306658" w:rsidRDefault="00ED307E">
            <w:pPr>
              <w:jc w:val="center"/>
              <w:rPr>
                <w:rFonts w:ascii="Verdana" w:hAnsi="Verdana" w:cs="Calibri"/>
                <w:b/>
                <w:bCs/>
                <w:color w:val="000000"/>
                <w:sz w:val="20"/>
                <w:szCs w:val="20"/>
              </w:rPr>
            </w:pPr>
            <w:r w:rsidRPr="00306658">
              <w:rPr>
                <w:rFonts w:ascii="Verdana" w:hAnsi="Verdana" w:cs="Calibri"/>
                <w:b/>
                <w:bCs/>
                <w:color w:val="000000"/>
                <w:sz w:val="20"/>
                <w:szCs w:val="20"/>
              </w:rPr>
              <w:t>Resueltos</w:t>
            </w:r>
          </w:p>
        </w:tc>
        <w:tc>
          <w:tcPr>
            <w:tcW w:w="1200" w:type="dxa"/>
            <w:tcBorders>
              <w:top w:val="single" w:sz="8" w:space="0" w:color="auto"/>
              <w:left w:val="nil"/>
              <w:bottom w:val="single" w:sz="8" w:space="0" w:color="auto"/>
              <w:right w:val="nil"/>
            </w:tcBorders>
            <w:shd w:val="clear" w:color="auto" w:fill="auto"/>
            <w:vAlign w:val="center"/>
            <w:hideMark/>
          </w:tcPr>
          <w:p w:rsidR="00ED307E" w:rsidRPr="00306658" w:rsidRDefault="00ED307E">
            <w:pPr>
              <w:jc w:val="center"/>
              <w:rPr>
                <w:rFonts w:ascii="Verdana" w:hAnsi="Verdana" w:cs="Calibri"/>
                <w:b/>
                <w:bCs/>
                <w:color w:val="000000"/>
                <w:sz w:val="20"/>
                <w:szCs w:val="20"/>
              </w:rPr>
            </w:pPr>
            <w:r w:rsidRPr="00306658">
              <w:rPr>
                <w:rFonts w:ascii="Verdana" w:hAnsi="Verdana" w:cs="Calibri"/>
                <w:b/>
                <w:bCs/>
                <w:color w:val="000000"/>
                <w:sz w:val="20"/>
                <w:szCs w:val="20"/>
              </w:rPr>
              <w:t>En trámite al final del año</w:t>
            </w:r>
          </w:p>
        </w:tc>
      </w:tr>
      <w:tr w:rsidR="00ED307E" w:rsidRPr="00306658" w:rsidTr="00ED307E">
        <w:trPr>
          <w:trHeight w:val="300"/>
          <w:jc w:val="center"/>
        </w:trPr>
        <w:tc>
          <w:tcPr>
            <w:tcW w:w="2180" w:type="dxa"/>
            <w:tcBorders>
              <w:top w:val="nil"/>
              <w:left w:val="nil"/>
              <w:bottom w:val="nil"/>
              <w:right w:val="nil"/>
            </w:tcBorders>
            <w:shd w:val="clear" w:color="auto" w:fill="auto"/>
            <w:vAlign w:val="center"/>
            <w:hideMark/>
          </w:tcPr>
          <w:p w:rsidR="00ED307E" w:rsidRPr="00306658" w:rsidRDefault="00ED307E">
            <w:pPr>
              <w:rPr>
                <w:rFonts w:ascii="Verdana" w:hAnsi="Verdana" w:cs="Calibri"/>
                <w:color w:val="000000"/>
                <w:sz w:val="20"/>
                <w:szCs w:val="20"/>
              </w:rPr>
            </w:pPr>
            <w:r w:rsidRPr="00306658">
              <w:rPr>
                <w:rFonts w:ascii="Verdana" w:hAnsi="Verdana" w:cs="Calibri"/>
                <w:color w:val="000000"/>
                <w:sz w:val="20"/>
                <w:szCs w:val="20"/>
              </w:rPr>
              <w:t xml:space="preserve">Jdos. de lo Social                              </w:t>
            </w:r>
          </w:p>
        </w:tc>
        <w:tc>
          <w:tcPr>
            <w:tcW w:w="15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345.135</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334.977</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255.160</w:t>
            </w:r>
          </w:p>
        </w:tc>
      </w:tr>
      <w:tr w:rsidR="00ED307E" w:rsidRPr="00306658" w:rsidTr="00ED307E">
        <w:trPr>
          <w:trHeight w:val="300"/>
          <w:jc w:val="center"/>
        </w:trPr>
        <w:tc>
          <w:tcPr>
            <w:tcW w:w="2180" w:type="dxa"/>
            <w:tcBorders>
              <w:top w:val="nil"/>
              <w:left w:val="nil"/>
              <w:bottom w:val="nil"/>
              <w:right w:val="nil"/>
            </w:tcBorders>
            <w:shd w:val="clear" w:color="auto" w:fill="auto"/>
            <w:vAlign w:val="center"/>
            <w:hideMark/>
          </w:tcPr>
          <w:p w:rsidR="00ED307E" w:rsidRPr="00306658" w:rsidRDefault="00ED307E">
            <w:pPr>
              <w:rPr>
                <w:rFonts w:ascii="Verdana" w:hAnsi="Verdana" w:cs="Calibri"/>
                <w:color w:val="000000"/>
                <w:sz w:val="20"/>
                <w:szCs w:val="20"/>
              </w:rPr>
            </w:pPr>
            <w:r w:rsidRPr="00306658">
              <w:rPr>
                <w:rFonts w:ascii="Verdana" w:hAnsi="Verdana" w:cs="Calibri"/>
                <w:color w:val="000000"/>
                <w:sz w:val="20"/>
                <w:szCs w:val="20"/>
              </w:rPr>
              <w:t xml:space="preserve">T.S.J. Sala Social         </w:t>
            </w:r>
          </w:p>
        </w:tc>
        <w:tc>
          <w:tcPr>
            <w:tcW w:w="15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54.263</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52.679</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21.414</w:t>
            </w:r>
          </w:p>
        </w:tc>
      </w:tr>
      <w:tr w:rsidR="00ED307E" w:rsidRPr="00306658" w:rsidTr="00ED307E">
        <w:trPr>
          <w:trHeight w:val="300"/>
          <w:jc w:val="center"/>
        </w:trPr>
        <w:tc>
          <w:tcPr>
            <w:tcW w:w="2180" w:type="dxa"/>
            <w:tcBorders>
              <w:top w:val="nil"/>
              <w:left w:val="nil"/>
              <w:bottom w:val="nil"/>
              <w:right w:val="nil"/>
            </w:tcBorders>
            <w:shd w:val="clear" w:color="auto" w:fill="auto"/>
            <w:vAlign w:val="center"/>
            <w:hideMark/>
          </w:tcPr>
          <w:p w:rsidR="00ED307E" w:rsidRPr="00306658" w:rsidRDefault="00ED307E">
            <w:pPr>
              <w:rPr>
                <w:rFonts w:ascii="Verdana" w:hAnsi="Verdana" w:cs="Calibri"/>
                <w:color w:val="000000"/>
                <w:sz w:val="20"/>
                <w:szCs w:val="20"/>
              </w:rPr>
            </w:pPr>
            <w:r w:rsidRPr="00306658">
              <w:rPr>
                <w:rFonts w:ascii="Verdana" w:hAnsi="Verdana" w:cs="Calibri"/>
                <w:color w:val="000000"/>
                <w:sz w:val="20"/>
                <w:szCs w:val="20"/>
              </w:rPr>
              <w:t xml:space="preserve">A.N. Sala Social           </w:t>
            </w:r>
          </w:p>
        </w:tc>
        <w:tc>
          <w:tcPr>
            <w:tcW w:w="15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386</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309</w:t>
            </w:r>
          </w:p>
        </w:tc>
        <w:tc>
          <w:tcPr>
            <w:tcW w:w="1200" w:type="dxa"/>
            <w:tcBorders>
              <w:top w:val="nil"/>
              <w:left w:val="nil"/>
              <w:bottom w:val="nil"/>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92</w:t>
            </w:r>
          </w:p>
        </w:tc>
      </w:tr>
      <w:tr w:rsidR="00ED307E" w:rsidRPr="00306658" w:rsidTr="00ED307E">
        <w:trPr>
          <w:trHeight w:val="525"/>
          <w:jc w:val="center"/>
        </w:trPr>
        <w:tc>
          <w:tcPr>
            <w:tcW w:w="2180" w:type="dxa"/>
            <w:tcBorders>
              <w:top w:val="nil"/>
              <w:left w:val="nil"/>
              <w:bottom w:val="single" w:sz="8" w:space="0" w:color="auto"/>
              <w:right w:val="nil"/>
            </w:tcBorders>
            <w:shd w:val="clear" w:color="auto" w:fill="auto"/>
            <w:vAlign w:val="center"/>
            <w:hideMark/>
          </w:tcPr>
          <w:p w:rsidR="00ED307E" w:rsidRPr="00306658" w:rsidRDefault="00ED307E">
            <w:pPr>
              <w:rPr>
                <w:rFonts w:ascii="Verdana" w:hAnsi="Verdana" w:cs="Calibri"/>
                <w:color w:val="000000"/>
                <w:sz w:val="20"/>
                <w:szCs w:val="20"/>
              </w:rPr>
            </w:pPr>
            <w:r w:rsidRPr="00306658">
              <w:rPr>
                <w:rFonts w:ascii="Verdana" w:hAnsi="Verdana" w:cs="Calibri"/>
                <w:color w:val="000000"/>
                <w:sz w:val="20"/>
                <w:szCs w:val="20"/>
              </w:rPr>
              <w:t xml:space="preserve">Tribunal Supremo: Sala 4ª  </w:t>
            </w:r>
          </w:p>
        </w:tc>
        <w:tc>
          <w:tcPr>
            <w:tcW w:w="15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5.076</w:t>
            </w:r>
          </w:p>
        </w:tc>
        <w:tc>
          <w:tcPr>
            <w:tcW w:w="12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4.962</w:t>
            </w:r>
          </w:p>
        </w:tc>
        <w:tc>
          <w:tcPr>
            <w:tcW w:w="12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color w:val="000000"/>
                <w:sz w:val="20"/>
                <w:szCs w:val="20"/>
              </w:rPr>
            </w:pPr>
            <w:r w:rsidRPr="00306658">
              <w:rPr>
                <w:rFonts w:ascii="Verdana" w:hAnsi="Verdana" w:cs="Calibri"/>
                <w:color w:val="000000"/>
                <w:sz w:val="20"/>
                <w:szCs w:val="20"/>
              </w:rPr>
              <w:t>5.721</w:t>
            </w:r>
          </w:p>
        </w:tc>
      </w:tr>
      <w:tr w:rsidR="00ED307E" w:rsidRPr="00306658" w:rsidTr="00ED307E">
        <w:trPr>
          <w:trHeight w:val="315"/>
          <w:jc w:val="center"/>
        </w:trPr>
        <w:tc>
          <w:tcPr>
            <w:tcW w:w="2180" w:type="dxa"/>
            <w:tcBorders>
              <w:top w:val="nil"/>
              <w:left w:val="nil"/>
              <w:bottom w:val="single" w:sz="8" w:space="0" w:color="auto"/>
              <w:right w:val="nil"/>
            </w:tcBorders>
            <w:shd w:val="clear" w:color="auto" w:fill="auto"/>
            <w:vAlign w:val="center"/>
            <w:hideMark/>
          </w:tcPr>
          <w:p w:rsidR="00ED307E" w:rsidRPr="00306658" w:rsidRDefault="00ED307E">
            <w:pPr>
              <w:rPr>
                <w:rFonts w:ascii="Verdana" w:hAnsi="Verdana" w:cs="Calibri"/>
                <w:b/>
                <w:bCs/>
                <w:color w:val="000000"/>
                <w:sz w:val="20"/>
                <w:szCs w:val="20"/>
              </w:rPr>
            </w:pPr>
            <w:r w:rsidRPr="00306658">
              <w:rPr>
                <w:rFonts w:ascii="Verdana" w:hAnsi="Verdana" w:cs="Calibri"/>
                <w:b/>
                <w:bCs/>
                <w:color w:val="000000"/>
                <w:sz w:val="20"/>
                <w:szCs w:val="20"/>
              </w:rPr>
              <w:t>TOTAL</w:t>
            </w:r>
          </w:p>
        </w:tc>
        <w:tc>
          <w:tcPr>
            <w:tcW w:w="15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b/>
                <w:bCs/>
                <w:color w:val="000000"/>
                <w:sz w:val="20"/>
                <w:szCs w:val="20"/>
              </w:rPr>
            </w:pPr>
            <w:r w:rsidRPr="00306658">
              <w:rPr>
                <w:rFonts w:ascii="Verdana" w:hAnsi="Verdana" w:cs="Calibri"/>
                <w:b/>
                <w:bCs/>
                <w:color w:val="000000"/>
                <w:sz w:val="20"/>
                <w:szCs w:val="20"/>
              </w:rPr>
              <w:t>404.860</w:t>
            </w:r>
          </w:p>
        </w:tc>
        <w:tc>
          <w:tcPr>
            <w:tcW w:w="12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b/>
                <w:bCs/>
                <w:color w:val="000000"/>
                <w:sz w:val="20"/>
                <w:szCs w:val="20"/>
              </w:rPr>
            </w:pPr>
            <w:r w:rsidRPr="00306658">
              <w:rPr>
                <w:rFonts w:ascii="Verdana" w:hAnsi="Verdana" w:cs="Calibri"/>
                <w:b/>
                <w:bCs/>
                <w:color w:val="000000"/>
                <w:sz w:val="20"/>
                <w:szCs w:val="20"/>
              </w:rPr>
              <w:t>392.927</w:t>
            </w:r>
          </w:p>
        </w:tc>
        <w:tc>
          <w:tcPr>
            <w:tcW w:w="1200" w:type="dxa"/>
            <w:tcBorders>
              <w:top w:val="nil"/>
              <w:left w:val="nil"/>
              <w:bottom w:val="single" w:sz="8" w:space="0" w:color="auto"/>
              <w:right w:val="nil"/>
            </w:tcBorders>
            <w:shd w:val="clear" w:color="auto" w:fill="auto"/>
            <w:vAlign w:val="center"/>
            <w:hideMark/>
          </w:tcPr>
          <w:p w:rsidR="00ED307E" w:rsidRPr="00306658" w:rsidRDefault="00ED307E">
            <w:pPr>
              <w:jc w:val="right"/>
              <w:rPr>
                <w:rFonts w:ascii="Verdana" w:hAnsi="Verdana" w:cs="Calibri"/>
                <w:b/>
                <w:bCs/>
                <w:color w:val="000000"/>
                <w:sz w:val="20"/>
                <w:szCs w:val="20"/>
              </w:rPr>
            </w:pPr>
            <w:r w:rsidRPr="00306658">
              <w:rPr>
                <w:rFonts w:ascii="Verdana" w:hAnsi="Verdana" w:cs="Calibri"/>
                <w:b/>
                <w:bCs/>
                <w:color w:val="000000"/>
                <w:sz w:val="20"/>
                <w:szCs w:val="20"/>
              </w:rPr>
              <w:t>282.387</w:t>
            </w:r>
          </w:p>
        </w:tc>
      </w:tr>
    </w:tbl>
    <w:p w:rsidR="000E7EFC" w:rsidRPr="00306658" w:rsidRDefault="000E7EFC">
      <w:pPr>
        <w:pStyle w:val="Textoindependiente"/>
        <w:spacing w:before="120" w:after="120"/>
        <w:ind w:firstLine="357"/>
        <w:rPr>
          <w:rFonts w:ascii="Verdana" w:hAnsi="Verdana"/>
          <w:sz w:val="20"/>
        </w:rPr>
      </w:pPr>
    </w:p>
    <w:p w:rsidR="00CE276D" w:rsidRPr="00306658" w:rsidRDefault="00BC6FA4">
      <w:pPr>
        <w:pStyle w:val="Textoindependiente"/>
        <w:spacing w:before="120" w:after="120"/>
        <w:ind w:firstLine="357"/>
        <w:rPr>
          <w:rFonts w:ascii="Verdana" w:hAnsi="Verdana"/>
          <w:sz w:val="20"/>
        </w:rPr>
      </w:pPr>
      <w:r w:rsidRPr="00306658">
        <w:rPr>
          <w:rFonts w:ascii="Verdana" w:hAnsi="Verdana"/>
          <w:sz w:val="20"/>
        </w:rPr>
        <w:t xml:space="preserve"> </w:t>
      </w:r>
      <w:r w:rsidR="000618BE" w:rsidRPr="00306658">
        <w:rPr>
          <w:rFonts w:ascii="Verdana" w:hAnsi="Verdana"/>
          <w:sz w:val="20"/>
        </w:rPr>
        <w:t xml:space="preserve">Se </w:t>
      </w:r>
      <w:r w:rsidR="00672588" w:rsidRPr="00306658">
        <w:rPr>
          <w:rFonts w:ascii="Verdana" w:hAnsi="Verdana"/>
          <w:sz w:val="20"/>
        </w:rPr>
        <w:t>increment</w:t>
      </w:r>
      <w:r w:rsidR="00CE276D" w:rsidRPr="00306658">
        <w:rPr>
          <w:rFonts w:ascii="Verdana" w:hAnsi="Verdana"/>
          <w:sz w:val="20"/>
        </w:rPr>
        <w:t>ad</w:t>
      </w:r>
      <w:r w:rsidR="00672588" w:rsidRPr="00306658">
        <w:rPr>
          <w:rFonts w:ascii="Verdana" w:hAnsi="Verdana"/>
          <w:sz w:val="20"/>
        </w:rPr>
        <w:t>o</w:t>
      </w:r>
      <w:r w:rsidR="000618BE" w:rsidRPr="00306658">
        <w:rPr>
          <w:rFonts w:ascii="Verdana" w:hAnsi="Verdana"/>
          <w:sz w:val="20"/>
        </w:rPr>
        <w:t xml:space="preserve"> el ingreso en </w:t>
      </w:r>
      <w:r w:rsidR="00CE276D" w:rsidRPr="00306658">
        <w:rPr>
          <w:rFonts w:ascii="Verdana" w:hAnsi="Verdana"/>
          <w:sz w:val="20"/>
        </w:rPr>
        <w:t xml:space="preserve">todos los </w:t>
      </w:r>
      <w:r w:rsidR="00DE0D53" w:rsidRPr="00306658">
        <w:rPr>
          <w:rFonts w:ascii="Verdana" w:hAnsi="Verdana"/>
          <w:sz w:val="20"/>
        </w:rPr>
        <w:t>órganos</w:t>
      </w:r>
      <w:r w:rsidR="00CE276D" w:rsidRPr="00306658">
        <w:rPr>
          <w:rFonts w:ascii="Verdana" w:hAnsi="Verdana"/>
          <w:sz w:val="20"/>
        </w:rPr>
        <w:t xml:space="preserve"> de la jurisdicción.</w:t>
      </w:r>
    </w:p>
    <w:p w:rsidR="000E7EFC" w:rsidRPr="00306658" w:rsidRDefault="000E7EFC">
      <w:pPr>
        <w:pStyle w:val="Textoindependiente"/>
        <w:spacing w:before="120" w:after="120"/>
        <w:ind w:firstLine="357"/>
        <w:rPr>
          <w:rFonts w:ascii="Verdana" w:hAnsi="Verdana"/>
          <w:sz w:val="20"/>
        </w:rPr>
      </w:pPr>
    </w:p>
    <w:tbl>
      <w:tblPr>
        <w:tblW w:w="6140" w:type="dxa"/>
        <w:jc w:val="center"/>
        <w:tblInd w:w="55" w:type="dxa"/>
        <w:tblCellMar>
          <w:left w:w="70" w:type="dxa"/>
          <w:right w:w="70" w:type="dxa"/>
        </w:tblCellMar>
        <w:tblLook w:val="04A0" w:firstRow="1" w:lastRow="0" w:firstColumn="1" w:lastColumn="0" w:noHBand="0" w:noVBand="1"/>
      </w:tblPr>
      <w:tblGrid>
        <w:gridCol w:w="2180"/>
        <w:gridCol w:w="1500"/>
        <w:gridCol w:w="1260"/>
        <w:gridCol w:w="1200"/>
      </w:tblGrid>
      <w:tr w:rsidR="00CE276D" w:rsidRPr="00306658" w:rsidTr="00CE276D">
        <w:trPr>
          <w:trHeight w:val="915"/>
          <w:jc w:val="center"/>
        </w:trPr>
        <w:tc>
          <w:tcPr>
            <w:tcW w:w="2180" w:type="dxa"/>
            <w:tcBorders>
              <w:top w:val="single" w:sz="8" w:space="0" w:color="auto"/>
              <w:left w:val="nil"/>
              <w:bottom w:val="single" w:sz="8" w:space="0" w:color="auto"/>
              <w:right w:val="nil"/>
            </w:tcBorders>
            <w:shd w:val="clear" w:color="auto" w:fill="auto"/>
            <w:vAlign w:val="center"/>
            <w:hideMark/>
          </w:tcPr>
          <w:p w:rsidR="00CE276D" w:rsidRPr="00306658" w:rsidRDefault="00CE276D">
            <w:pPr>
              <w:rPr>
                <w:rFonts w:ascii="Verdana" w:hAnsi="Verdana" w:cs="Calibri"/>
                <w:color w:val="000000"/>
                <w:sz w:val="20"/>
                <w:szCs w:val="20"/>
              </w:rPr>
            </w:pPr>
            <w:r w:rsidRPr="00306658">
              <w:rPr>
                <w:rFonts w:ascii="Verdana" w:hAnsi="Verdana" w:cs="Calibri"/>
                <w:color w:val="000000"/>
                <w:sz w:val="20"/>
                <w:szCs w:val="20"/>
              </w:rPr>
              <w:lastRenderedPageBreak/>
              <w:t> </w:t>
            </w:r>
          </w:p>
        </w:tc>
        <w:tc>
          <w:tcPr>
            <w:tcW w:w="150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center"/>
              <w:rPr>
                <w:rFonts w:ascii="Verdana" w:hAnsi="Verdana" w:cs="Calibri"/>
                <w:b/>
                <w:bCs/>
                <w:color w:val="000000"/>
                <w:sz w:val="18"/>
                <w:szCs w:val="18"/>
              </w:rPr>
            </w:pPr>
            <w:r w:rsidRPr="00306658">
              <w:rPr>
                <w:rFonts w:ascii="Verdana" w:hAnsi="Verdana" w:cs="Calibri"/>
                <w:b/>
                <w:bCs/>
                <w:color w:val="000000"/>
                <w:sz w:val="18"/>
                <w:szCs w:val="18"/>
              </w:rPr>
              <w:t>Ingresados</w:t>
            </w:r>
          </w:p>
        </w:tc>
        <w:tc>
          <w:tcPr>
            <w:tcW w:w="126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center"/>
              <w:rPr>
                <w:rFonts w:ascii="Verdana" w:hAnsi="Verdana" w:cs="Calibri"/>
                <w:b/>
                <w:bCs/>
                <w:color w:val="000000"/>
                <w:sz w:val="18"/>
                <w:szCs w:val="18"/>
              </w:rPr>
            </w:pPr>
            <w:r w:rsidRPr="00306658">
              <w:rPr>
                <w:rFonts w:ascii="Verdana" w:hAnsi="Verdana" w:cs="Calibri"/>
                <w:b/>
                <w:bCs/>
                <w:color w:val="000000"/>
                <w:sz w:val="18"/>
                <w:szCs w:val="18"/>
              </w:rPr>
              <w:t>Resueltos</w:t>
            </w:r>
          </w:p>
        </w:tc>
        <w:tc>
          <w:tcPr>
            <w:tcW w:w="120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center"/>
              <w:rPr>
                <w:rFonts w:ascii="Verdana" w:hAnsi="Verdana" w:cs="Calibri"/>
                <w:b/>
                <w:bCs/>
                <w:color w:val="000000"/>
                <w:sz w:val="18"/>
                <w:szCs w:val="18"/>
              </w:rPr>
            </w:pPr>
            <w:r w:rsidRPr="00306658">
              <w:rPr>
                <w:rFonts w:ascii="Verdana" w:hAnsi="Verdana" w:cs="Calibri"/>
                <w:b/>
                <w:bCs/>
                <w:color w:val="000000"/>
                <w:sz w:val="18"/>
                <w:szCs w:val="18"/>
              </w:rPr>
              <w:t>En trámite al final del año</w:t>
            </w:r>
          </w:p>
        </w:tc>
      </w:tr>
      <w:tr w:rsidR="00CE276D" w:rsidRPr="00306658" w:rsidTr="00CE276D">
        <w:trPr>
          <w:trHeight w:val="300"/>
          <w:jc w:val="center"/>
        </w:trPr>
        <w:tc>
          <w:tcPr>
            <w:tcW w:w="2180" w:type="dxa"/>
            <w:tcBorders>
              <w:top w:val="nil"/>
              <w:left w:val="nil"/>
              <w:bottom w:val="nil"/>
              <w:right w:val="nil"/>
            </w:tcBorders>
            <w:shd w:val="clear" w:color="auto" w:fill="auto"/>
            <w:vAlign w:val="center"/>
            <w:hideMark/>
          </w:tcPr>
          <w:p w:rsidR="00CE276D" w:rsidRPr="00306658" w:rsidRDefault="00CE276D">
            <w:pPr>
              <w:rPr>
                <w:rFonts w:ascii="Verdana" w:hAnsi="Verdana" w:cs="Calibri"/>
                <w:color w:val="000000"/>
                <w:sz w:val="20"/>
                <w:szCs w:val="20"/>
              </w:rPr>
            </w:pPr>
            <w:r w:rsidRPr="00306658">
              <w:rPr>
                <w:rFonts w:ascii="Verdana" w:hAnsi="Verdana" w:cs="Calibri"/>
                <w:color w:val="000000"/>
                <w:sz w:val="20"/>
                <w:szCs w:val="20"/>
              </w:rPr>
              <w:t xml:space="preserve">Jdos. de lo Social </w:t>
            </w:r>
          </w:p>
        </w:tc>
        <w:tc>
          <w:tcPr>
            <w:tcW w:w="15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6,1%</w:t>
            </w:r>
          </w:p>
        </w:tc>
        <w:tc>
          <w:tcPr>
            <w:tcW w:w="126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-2,6%</w:t>
            </w:r>
          </w:p>
        </w:tc>
        <w:tc>
          <w:tcPr>
            <w:tcW w:w="12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-0,8%</w:t>
            </w:r>
          </w:p>
        </w:tc>
      </w:tr>
      <w:tr w:rsidR="00CE276D" w:rsidRPr="00306658" w:rsidTr="00CE276D">
        <w:trPr>
          <w:trHeight w:val="300"/>
          <w:jc w:val="center"/>
        </w:trPr>
        <w:tc>
          <w:tcPr>
            <w:tcW w:w="2180" w:type="dxa"/>
            <w:tcBorders>
              <w:top w:val="nil"/>
              <w:left w:val="nil"/>
              <w:bottom w:val="nil"/>
              <w:right w:val="nil"/>
            </w:tcBorders>
            <w:shd w:val="clear" w:color="auto" w:fill="auto"/>
            <w:vAlign w:val="center"/>
            <w:hideMark/>
          </w:tcPr>
          <w:p w:rsidR="00CE276D" w:rsidRPr="00306658" w:rsidRDefault="00CE276D">
            <w:pPr>
              <w:rPr>
                <w:rFonts w:ascii="Verdana" w:hAnsi="Verdana" w:cs="Calibri"/>
                <w:color w:val="000000"/>
                <w:sz w:val="20"/>
                <w:szCs w:val="20"/>
              </w:rPr>
            </w:pPr>
            <w:r w:rsidRPr="00306658">
              <w:rPr>
                <w:rFonts w:ascii="Verdana" w:hAnsi="Verdana" w:cs="Calibri"/>
                <w:color w:val="000000"/>
                <w:sz w:val="20"/>
                <w:szCs w:val="20"/>
              </w:rPr>
              <w:t xml:space="preserve">T.S.J. Sala Social  </w:t>
            </w:r>
          </w:p>
        </w:tc>
        <w:tc>
          <w:tcPr>
            <w:tcW w:w="15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3,5%</w:t>
            </w:r>
          </w:p>
        </w:tc>
        <w:tc>
          <w:tcPr>
            <w:tcW w:w="126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0,7%</w:t>
            </w:r>
          </w:p>
        </w:tc>
        <w:tc>
          <w:tcPr>
            <w:tcW w:w="12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8,4%</w:t>
            </w:r>
          </w:p>
        </w:tc>
      </w:tr>
      <w:tr w:rsidR="00CE276D" w:rsidRPr="00306658" w:rsidTr="00CE276D">
        <w:trPr>
          <w:trHeight w:val="300"/>
          <w:jc w:val="center"/>
        </w:trPr>
        <w:tc>
          <w:tcPr>
            <w:tcW w:w="2180" w:type="dxa"/>
            <w:tcBorders>
              <w:top w:val="nil"/>
              <w:left w:val="nil"/>
              <w:bottom w:val="nil"/>
              <w:right w:val="nil"/>
            </w:tcBorders>
            <w:shd w:val="clear" w:color="auto" w:fill="auto"/>
            <w:vAlign w:val="center"/>
            <w:hideMark/>
          </w:tcPr>
          <w:p w:rsidR="00CE276D" w:rsidRPr="00306658" w:rsidRDefault="00CE276D">
            <w:pPr>
              <w:rPr>
                <w:rFonts w:ascii="Verdana" w:hAnsi="Verdana" w:cs="Calibri"/>
                <w:color w:val="000000"/>
                <w:sz w:val="20"/>
                <w:szCs w:val="20"/>
              </w:rPr>
            </w:pPr>
            <w:r w:rsidRPr="00306658">
              <w:rPr>
                <w:rFonts w:ascii="Verdana" w:hAnsi="Verdana" w:cs="Calibri"/>
                <w:color w:val="000000"/>
                <w:sz w:val="20"/>
                <w:szCs w:val="20"/>
              </w:rPr>
              <w:t>A.N. Sala Social</w:t>
            </w:r>
          </w:p>
        </w:tc>
        <w:tc>
          <w:tcPr>
            <w:tcW w:w="15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8,4%</w:t>
            </w:r>
          </w:p>
        </w:tc>
        <w:tc>
          <w:tcPr>
            <w:tcW w:w="126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-17,2%</w:t>
            </w:r>
          </w:p>
        </w:tc>
        <w:tc>
          <w:tcPr>
            <w:tcW w:w="12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53,3%</w:t>
            </w:r>
          </w:p>
        </w:tc>
      </w:tr>
      <w:tr w:rsidR="00CE276D" w:rsidRPr="00306658" w:rsidTr="00CE276D">
        <w:trPr>
          <w:trHeight w:val="525"/>
          <w:jc w:val="center"/>
        </w:trPr>
        <w:tc>
          <w:tcPr>
            <w:tcW w:w="2180" w:type="dxa"/>
            <w:tcBorders>
              <w:top w:val="nil"/>
              <w:left w:val="nil"/>
              <w:bottom w:val="nil"/>
              <w:right w:val="nil"/>
            </w:tcBorders>
            <w:shd w:val="clear" w:color="auto" w:fill="auto"/>
            <w:vAlign w:val="center"/>
            <w:hideMark/>
          </w:tcPr>
          <w:p w:rsidR="00CE276D" w:rsidRPr="00306658" w:rsidRDefault="00CE276D">
            <w:pPr>
              <w:rPr>
                <w:rFonts w:ascii="Verdana" w:hAnsi="Verdana" w:cs="Calibri"/>
                <w:color w:val="000000"/>
                <w:sz w:val="20"/>
                <w:szCs w:val="20"/>
              </w:rPr>
            </w:pPr>
            <w:r w:rsidRPr="00306658">
              <w:rPr>
                <w:rFonts w:ascii="Verdana" w:hAnsi="Verdana" w:cs="Calibri"/>
                <w:color w:val="000000"/>
                <w:sz w:val="20"/>
                <w:szCs w:val="20"/>
              </w:rPr>
              <w:t xml:space="preserve">Tribunal Supremo: Sala 4ª </w:t>
            </w:r>
          </w:p>
        </w:tc>
        <w:tc>
          <w:tcPr>
            <w:tcW w:w="15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9,8%</w:t>
            </w:r>
          </w:p>
        </w:tc>
        <w:tc>
          <w:tcPr>
            <w:tcW w:w="126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13,4%</w:t>
            </w:r>
          </w:p>
        </w:tc>
        <w:tc>
          <w:tcPr>
            <w:tcW w:w="1200" w:type="dxa"/>
            <w:tcBorders>
              <w:top w:val="nil"/>
              <w:left w:val="nil"/>
              <w:bottom w:val="nil"/>
              <w:right w:val="nil"/>
            </w:tcBorders>
            <w:shd w:val="clear" w:color="auto" w:fill="auto"/>
            <w:vAlign w:val="center"/>
            <w:hideMark/>
          </w:tcPr>
          <w:p w:rsidR="00CE276D" w:rsidRPr="00306658" w:rsidRDefault="00CE276D">
            <w:pPr>
              <w:jc w:val="right"/>
              <w:rPr>
                <w:rFonts w:ascii="Verdana" w:hAnsi="Verdana" w:cs="Calibri"/>
                <w:color w:val="000000"/>
                <w:sz w:val="20"/>
                <w:szCs w:val="20"/>
              </w:rPr>
            </w:pPr>
            <w:r w:rsidRPr="00306658">
              <w:rPr>
                <w:rFonts w:ascii="Verdana" w:hAnsi="Verdana" w:cs="Calibri"/>
                <w:color w:val="000000"/>
                <w:sz w:val="20"/>
                <w:szCs w:val="20"/>
              </w:rPr>
              <w:t>2,0%</w:t>
            </w:r>
          </w:p>
        </w:tc>
      </w:tr>
      <w:tr w:rsidR="00CE276D" w:rsidRPr="00306658" w:rsidTr="00CE276D">
        <w:trPr>
          <w:trHeight w:val="315"/>
          <w:jc w:val="center"/>
        </w:trPr>
        <w:tc>
          <w:tcPr>
            <w:tcW w:w="2180" w:type="dxa"/>
            <w:tcBorders>
              <w:top w:val="single" w:sz="8" w:space="0" w:color="auto"/>
              <w:left w:val="nil"/>
              <w:bottom w:val="single" w:sz="8" w:space="0" w:color="auto"/>
              <w:right w:val="nil"/>
            </w:tcBorders>
            <w:shd w:val="clear" w:color="auto" w:fill="auto"/>
            <w:vAlign w:val="center"/>
            <w:hideMark/>
          </w:tcPr>
          <w:p w:rsidR="00CE276D" w:rsidRPr="00306658" w:rsidRDefault="00CE276D">
            <w:pPr>
              <w:rPr>
                <w:rFonts w:ascii="Verdana" w:hAnsi="Verdana" w:cs="Calibri"/>
                <w:b/>
                <w:bCs/>
                <w:color w:val="000000"/>
                <w:sz w:val="20"/>
                <w:szCs w:val="20"/>
              </w:rPr>
            </w:pPr>
            <w:r w:rsidRPr="00306658">
              <w:rPr>
                <w:rFonts w:ascii="Verdana" w:hAnsi="Verdana" w:cs="Calibri"/>
                <w:b/>
                <w:bCs/>
                <w:color w:val="000000"/>
                <w:sz w:val="20"/>
                <w:szCs w:val="20"/>
              </w:rPr>
              <w:t>TOTAL</w:t>
            </w:r>
          </w:p>
        </w:tc>
        <w:tc>
          <w:tcPr>
            <w:tcW w:w="150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right"/>
              <w:rPr>
                <w:rFonts w:ascii="Verdana" w:hAnsi="Verdana" w:cs="Calibri"/>
                <w:b/>
                <w:bCs/>
                <w:color w:val="000000"/>
                <w:sz w:val="20"/>
                <w:szCs w:val="20"/>
              </w:rPr>
            </w:pPr>
            <w:r w:rsidRPr="00306658">
              <w:rPr>
                <w:rFonts w:ascii="Verdana" w:hAnsi="Verdana" w:cs="Calibri"/>
                <w:b/>
                <w:bCs/>
                <w:color w:val="000000"/>
                <w:sz w:val="20"/>
                <w:szCs w:val="20"/>
              </w:rPr>
              <w:t>5,8%</w:t>
            </w:r>
          </w:p>
        </w:tc>
        <w:tc>
          <w:tcPr>
            <w:tcW w:w="126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right"/>
              <w:rPr>
                <w:rFonts w:ascii="Verdana" w:hAnsi="Verdana" w:cs="Calibri"/>
                <w:b/>
                <w:bCs/>
                <w:color w:val="000000"/>
                <w:sz w:val="20"/>
                <w:szCs w:val="20"/>
              </w:rPr>
            </w:pPr>
            <w:r w:rsidRPr="00306658">
              <w:rPr>
                <w:rFonts w:ascii="Verdana" w:hAnsi="Verdana" w:cs="Calibri"/>
                <w:b/>
                <w:bCs/>
                <w:color w:val="000000"/>
                <w:sz w:val="20"/>
                <w:szCs w:val="20"/>
              </w:rPr>
              <w:t>-2,0%</w:t>
            </w:r>
          </w:p>
        </w:tc>
        <w:tc>
          <w:tcPr>
            <w:tcW w:w="1200" w:type="dxa"/>
            <w:tcBorders>
              <w:top w:val="single" w:sz="8" w:space="0" w:color="auto"/>
              <w:left w:val="nil"/>
              <w:bottom w:val="single" w:sz="8" w:space="0" w:color="auto"/>
              <w:right w:val="nil"/>
            </w:tcBorders>
            <w:shd w:val="clear" w:color="auto" w:fill="auto"/>
            <w:vAlign w:val="center"/>
            <w:hideMark/>
          </w:tcPr>
          <w:p w:rsidR="00CE276D" w:rsidRPr="00306658" w:rsidRDefault="00CE276D">
            <w:pPr>
              <w:jc w:val="right"/>
              <w:rPr>
                <w:rFonts w:ascii="Verdana" w:hAnsi="Verdana" w:cs="Calibri"/>
                <w:b/>
                <w:bCs/>
                <w:color w:val="000000"/>
                <w:sz w:val="20"/>
                <w:szCs w:val="20"/>
              </w:rPr>
            </w:pPr>
            <w:r w:rsidRPr="00306658">
              <w:rPr>
                <w:rFonts w:ascii="Verdana" w:hAnsi="Verdana" w:cs="Calibri"/>
                <w:b/>
                <w:bCs/>
                <w:color w:val="000000"/>
                <w:sz w:val="20"/>
                <w:szCs w:val="20"/>
              </w:rPr>
              <w:t>-0,1%</w:t>
            </w:r>
          </w:p>
        </w:tc>
      </w:tr>
    </w:tbl>
    <w:p w:rsidR="002972F5" w:rsidRPr="00306658" w:rsidRDefault="002972F5">
      <w:pPr>
        <w:pStyle w:val="Textoindependiente"/>
        <w:spacing w:before="120" w:after="120"/>
        <w:ind w:firstLine="357"/>
        <w:rPr>
          <w:rFonts w:ascii="Verdana" w:hAnsi="Verdana"/>
          <w:sz w:val="20"/>
        </w:rPr>
      </w:pPr>
    </w:p>
    <w:p w:rsidR="00A867A0" w:rsidRPr="00306658" w:rsidRDefault="00B75B22">
      <w:pPr>
        <w:pStyle w:val="Textoindependiente"/>
        <w:spacing w:before="120" w:after="120"/>
        <w:ind w:firstLine="357"/>
        <w:rPr>
          <w:rFonts w:ascii="Verdana" w:hAnsi="Verdana"/>
          <w:sz w:val="20"/>
        </w:rPr>
      </w:pPr>
      <w:r w:rsidRPr="00306658">
        <w:rPr>
          <w:rFonts w:ascii="Verdana" w:hAnsi="Verdana"/>
          <w:sz w:val="20"/>
        </w:rPr>
        <w:t>La</w:t>
      </w:r>
      <w:r w:rsidR="00C0443A" w:rsidRPr="00306658">
        <w:rPr>
          <w:rFonts w:ascii="Verdana" w:hAnsi="Verdana"/>
          <w:sz w:val="20"/>
        </w:rPr>
        <w:t xml:space="preserve">s reclamaciones de </w:t>
      </w:r>
      <w:r w:rsidR="00DE0D53" w:rsidRPr="00306658">
        <w:rPr>
          <w:rFonts w:ascii="Verdana" w:hAnsi="Verdana"/>
          <w:sz w:val="20"/>
        </w:rPr>
        <w:t>cantidad</w:t>
      </w:r>
      <w:r w:rsidR="00C0443A" w:rsidRPr="00306658">
        <w:rPr>
          <w:rFonts w:ascii="Verdana" w:hAnsi="Verdana"/>
          <w:sz w:val="20"/>
        </w:rPr>
        <w:t xml:space="preserve"> y los despidos son los asuntos que producen mayor </w:t>
      </w:r>
      <w:r w:rsidR="00DE0D53" w:rsidRPr="00306658">
        <w:rPr>
          <w:rFonts w:ascii="Verdana" w:hAnsi="Verdana"/>
          <w:sz w:val="20"/>
        </w:rPr>
        <w:t>número</w:t>
      </w:r>
      <w:r w:rsidR="00C0443A" w:rsidRPr="00306658">
        <w:rPr>
          <w:rFonts w:ascii="Verdana" w:hAnsi="Verdana"/>
          <w:sz w:val="20"/>
        </w:rPr>
        <w:t xml:space="preserve"> de ingresados.</w:t>
      </w:r>
    </w:p>
    <w:p w:rsidR="00397568" w:rsidRPr="00306658" w:rsidRDefault="00397568">
      <w:pPr>
        <w:pStyle w:val="Textoindependiente"/>
        <w:spacing w:before="120" w:after="120"/>
        <w:ind w:firstLine="357"/>
        <w:rPr>
          <w:rFonts w:ascii="Verdana" w:hAnsi="Verdana"/>
          <w:sz w:val="20"/>
        </w:rPr>
      </w:pPr>
    </w:p>
    <w:tbl>
      <w:tblPr>
        <w:tblW w:w="9400" w:type="dxa"/>
        <w:tblInd w:w="55" w:type="dxa"/>
        <w:tblCellMar>
          <w:left w:w="70" w:type="dxa"/>
          <w:right w:w="70" w:type="dxa"/>
        </w:tblCellMar>
        <w:tblLook w:val="04A0" w:firstRow="1" w:lastRow="0" w:firstColumn="1" w:lastColumn="0" w:noHBand="0" w:noVBand="1"/>
      </w:tblPr>
      <w:tblGrid>
        <w:gridCol w:w="6780"/>
        <w:gridCol w:w="1420"/>
        <w:gridCol w:w="1200"/>
      </w:tblGrid>
      <w:tr w:rsidR="00C0443A" w:rsidRPr="00306658" w:rsidTr="00C0443A">
        <w:trPr>
          <w:trHeight w:val="690"/>
        </w:trPr>
        <w:tc>
          <w:tcPr>
            <w:tcW w:w="6780" w:type="dxa"/>
            <w:tcBorders>
              <w:top w:val="nil"/>
              <w:left w:val="nil"/>
              <w:bottom w:val="single" w:sz="8" w:space="0" w:color="auto"/>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w:t>
            </w:r>
          </w:p>
        </w:tc>
        <w:tc>
          <w:tcPr>
            <w:tcW w:w="1420" w:type="dxa"/>
            <w:tcBorders>
              <w:top w:val="single" w:sz="8" w:space="0" w:color="auto"/>
              <w:left w:val="nil"/>
              <w:bottom w:val="single" w:sz="8" w:space="0" w:color="auto"/>
              <w:right w:val="nil"/>
            </w:tcBorders>
            <w:shd w:val="clear" w:color="auto" w:fill="auto"/>
            <w:vAlign w:val="center"/>
            <w:hideMark/>
          </w:tcPr>
          <w:p w:rsidR="00C0443A" w:rsidRPr="00306658" w:rsidRDefault="00C0443A">
            <w:pPr>
              <w:jc w:val="center"/>
              <w:rPr>
                <w:rFonts w:ascii="Verdana" w:hAnsi="Verdana" w:cs="Calibri"/>
                <w:b/>
                <w:bCs/>
                <w:color w:val="000000"/>
                <w:sz w:val="18"/>
                <w:szCs w:val="18"/>
              </w:rPr>
            </w:pPr>
            <w:r w:rsidRPr="00306658">
              <w:rPr>
                <w:rFonts w:ascii="Verdana" w:hAnsi="Verdana" w:cs="Calibri"/>
                <w:b/>
                <w:bCs/>
                <w:color w:val="000000"/>
                <w:sz w:val="18"/>
                <w:szCs w:val="18"/>
              </w:rPr>
              <w:t>Ingresados</w:t>
            </w:r>
          </w:p>
        </w:tc>
        <w:tc>
          <w:tcPr>
            <w:tcW w:w="1200" w:type="dxa"/>
            <w:tcBorders>
              <w:top w:val="single" w:sz="8" w:space="0" w:color="auto"/>
              <w:left w:val="nil"/>
              <w:bottom w:val="single" w:sz="8" w:space="0" w:color="auto"/>
              <w:right w:val="nil"/>
            </w:tcBorders>
            <w:shd w:val="clear" w:color="auto" w:fill="auto"/>
            <w:vAlign w:val="center"/>
            <w:hideMark/>
          </w:tcPr>
          <w:p w:rsidR="00C0443A" w:rsidRPr="00306658" w:rsidRDefault="00C0443A">
            <w:pPr>
              <w:jc w:val="center"/>
              <w:rPr>
                <w:rFonts w:ascii="Verdana" w:hAnsi="Verdana" w:cs="Calibri"/>
                <w:b/>
                <w:bCs/>
                <w:color w:val="000000"/>
                <w:sz w:val="18"/>
                <w:szCs w:val="18"/>
              </w:rPr>
            </w:pPr>
            <w:r w:rsidRPr="00306658">
              <w:rPr>
                <w:rFonts w:ascii="Verdana" w:hAnsi="Verdana" w:cs="Calibri"/>
                <w:b/>
                <w:bCs/>
                <w:color w:val="000000"/>
                <w:sz w:val="18"/>
                <w:szCs w:val="18"/>
              </w:rPr>
              <w:t>Evolución respecto a 2016</w:t>
            </w:r>
          </w:p>
        </w:tc>
      </w:tr>
      <w:tr w:rsidR="00C0443A" w:rsidRPr="00306658" w:rsidTr="00C0443A">
        <w:trPr>
          <w:trHeight w:val="30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Conflictos colectivos</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2.146</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-7,2%</w:t>
            </w:r>
          </w:p>
        </w:tc>
      </w:tr>
      <w:tr w:rsidR="00C0443A" w:rsidRPr="00306658" w:rsidTr="00C0443A">
        <w:trPr>
          <w:trHeight w:val="30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Despidos</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104.824</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6,0%</w:t>
            </w:r>
          </w:p>
        </w:tc>
      </w:tr>
      <w:tr w:rsidR="00C0443A" w:rsidRPr="00306658" w:rsidTr="00C0443A">
        <w:trPr>
          <w:trHeight w:val="30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Cantidades</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122.350</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9,3%</w:t>
            </w:r>
          </w:p>
        </w:tc>
      </w:tr>
      <w:tr w:rsidR="00C0443A" w:rsidRPr="00306658" w:rsidTr="00C0443A">
        <w:trPr>
          <w:trHeight w:val="30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Seguridad Social</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77.391</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2,5%</w:t>
            </w:r>
          </w:p>
        </w:tc>
      </w:tr>
      <w:tr w:rsidR="00C0443A" w:rsidRPr="00306658" w:rsidTr="00C0443A">
        <w:trPr>
          <w:trHeight w:val="51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Accid.trabajo,enfermedades profesionales y </w:t>
            </w:r>
            <w:r w:rsidR="00DE0D53" w:rsidRPr="00306658">
              <w:rPr>
                <w:rFonts w:ascii="Verdana" w:hAnsi="Verdana" w:cs="Calibri"/>
                <w:color w:val="000000"/>
                <w:sz w:val="20"/>
                <w:szCs w:val="20"/>
              </w:rPr>
              <w:t>prevención</w:t>
            </w:r>
            <w:r w:rsidRPr="00306658">
              <w:rPr>
                <w:rFonts w:ascii="Verdana" w:hAnsi="Verdana" w:cs="Calibri"/>
                <w:color w:val="000000"/>
                <w:sz w:val="20"/>
                <w:szCs w:val="20"/>
              </w:rPr>
              <w:t xml:space="preserve"> riesgos laborales</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3.704</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13,6%</w:t>
            </w:r>
          </w:p>
        </w:tc>
      </w:tr>
      <w:tr w:rsidR="00C0443A" w:rsidRPr="00306658" w:rsidTr="00C0443A">
        <w:trPr>
          <w:trHeight w:val="51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Movilidad </w:t>
            </w:r>
            <w:r w:rsidR="00DE0D53" w:rsidRPr="00306658">
              <w:rPr>
                <w:rFonts w:ascii="Verdana" w:hAnsi="Verdana" w:cs="Calibri"/>
                <w:color w:val="000000"/>
                <w:sz w:val="20"/>
                <w:szCs w:val="20"/>
              </w:rPr>
              <w:t>geográfica</w:t>
            </w:r>
            <w:r w:rsidRPr="00306658">
              <w:rPr>
                <w:rFonts w:ascii="Verdana" w:hAnsi="Verdana" w:cs="Calibri"/>
                <w:color w:val="000000"/>
                <w:sz w:val="20"/>
                <w:szCs w:val="20"/>
              </w:rPr>
              <w:t xml:space="preserve"> y modificaciones sustanciales de las condiciones de trabajo</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9.066</w:t>
            </w:r>
          </w:p>
        </w:tc>
        <w:tc>
          <w:tcPr>
            <w:tcW w:w="1200" w:type="dxa"/>
            <w:tcBorders>
              <w:top w:val="nil"/>
              <w:left w:val="nil"/>
              <w:bottom w:val="nil"/>
              <w:right w:val="nil"/>
            </w:tcBorders>
            <w:shd w:val="clear" w:color="auto" w:fill="auto"/>
            <w:vAlign w:val="center"/>
            <w:hideMark/>
          </w:tcPr>
          <w:p w:rsidR="00C0443A" w:rsidRPr="00306658" w:rsidRDefault="00C0443A" w:rsidP="00C0443A">
            <w:pPr>
              <w:jc w:val="center"/>
              <w:rPr>
                <w:rFonts w:ascii="Verdana" w:hAnsi="Verdana" w:cs="Calibri"/>
                <w:color w:val="000000"/>
                <w:sz w:val="20"/>
                <w:szCs w:val="20"/>
              </w:rPr>
            </w:pPr>
            <w:r w:rsidRPr="00306658">
              <w:rPr>
                <w:rFonts w:ascii="Verdana" w:hAnsi="Verdana" w:cs="Calibri"/>
                <w:color w:val="000000"/>
                <w:sz w:val="20"/>
                <w:szCs w:val="20"/>
              </w:rPr>
              <w:t>-</w:t>
            </w:r>
          </w:p>
        </w:tc>
      </w:tr>
      <w:tr w:rsidR="00C0443A" w:rsidRPr="00306658" w:rsidTr="00C0443A">
        <w:trPr>
          <w:trHeight w:val="51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Proc. de </w:t>
            </w:r>
            <w:r w:rsidR="00DE0D53" w:rsidRPr="00306658">
              <w:rPr>
                <w:rFonts w:ascii="Verdana" w:hAnsi="Verdana" w:cs="Calibri"/>
                <w:color w:val="000000"/>
                <w:sz w:val="20"/>
                <w:szCs w:val="20"/>
              </w:rPr>
              <w:t>impugnación</w:t>
            </w:r>
            <w:r w:rsidRPr="00306658">
              <w:rPr>
                <w:rFonts w:ascii="Verdana" w:hAnsi="Verdana" w:cs="Calibri"/>
                <w:color w:val="000000"/>
                <w:sz w:val="20"/>
                <w:szCs w:val="20"/>
              </w:rPr>
              <w:t xml:space="preserve"> de actos administrativos en materia laboral y de Seguridad Social</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4.752</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12,0%</w:t>
            </w:r>
          </w:p>
        </w:tc>
      </w:tr>
      <w:tr w:rsidR="00C0443A" w:rsidRPr="00306658" w:rsidTr="00C0443A">
        <w:trPr>
          <w:trHeight w:val="300"/>
        </w:trPr>
        <w:tc>
          <w:tcPr>
            <w:tcW w:w="6780" w:type="dxa"/>
            <w:tcBorders>
              <w:top w:val="nil"/>
              <w:left w:val="nil"/>
              <w:bottom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Derechos fundamentales y libertades publicas</w:t>
            </w:r>
          </w:p>
        </w:tc>
        <w:tc>
          <w:tcPr>
            <w:tcW w:w="142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2.082</w:t>
            </w:r>
          </w:p>
        </w:tc>
        <w:tc>
          <w:tcPr>
            <w:tcW w:w="1200" w:type="dxa"/>
            <w:tcBorders>
              <w:top w:val="nil"/>
              <w:left w:val="nil"/>
              <w:bottom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-0,4%</w:t>
            </w:r>
          </w:p>
        </w:tc>
      </w:tr>
      <w:tr w:rsidR="00C0443A" w:rsidRPr="00306658" w:rsidTr="00C0443A">
        <w:trPr>
          <w:trHeight w:val="300"/>
        </w:trPr>
        <w:tc>
          <w:tcPr>
            <w:tcW w:w="6780" w:type="dxa"/>
            <w:tcBorders>
              <w:top w:val="nil"/>
              <w:left w:val="nil"/>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Materia Electoral</w:t>
            </w:r>
          </w:p>
        </w:tc>
        <w:tc>
          <w:tcPr>
            <w:tcW w:w="1420" w:type="dxa"/>
            <w:tcBorders>
              <w:top w:val="nil"/>
              <w:left w:val="nil"/>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379</w:t>
            </w:r>
          </w:p>
        </w:tc>
        <w:tc>
          <w:tcPr>
            <w:tcW w:w="1200" w:type="dxa"/>
            <w:tcBorders>
              <w:top w:val="nil"/>
              <w:left w:val="nil"/>
              <w:right w:val="nil"/>
            </w:tcBorders>
            <w:shd w:val="clear" w:color="auto" w:fill="auto"/>
            <w:vAlign w:val="center"/>
            <w:hideMark/>
          </w:tcPr>
          <w:p w:rsidR="00C0443A" w:rsidRPr="00306658" w:rsidRDefault="00C0443A" w:rsidP="00C0443A">
            <w:pPr>
              <w:jc w:val="center"/>
              <w:rPr>
                <w:rFonts w:ascii="Verdana" w:hAnsi="Verdana" w:cs="Calibri"/>
                <w:color w:val="000000"/>
                <w:sz w:val="20"/>
                <w:szCs w:val="20"/>
              </w:rPr>
            </w:pPr>
            <w:r w:rsidRPr="00306658">
              <w:rPr>
                <w:rFonts w:ascii="Verdana" w:hAnsi="Verdana" w:cs="Calibri"/>
                <w:color w:val="000000"/>
                <w:sz w:val="20"/>
                <w:szCs w:val="20"/>
              </w:rPr>
              <w:t>-</w:t>
            </w:r>
          </w:p>
        </w:tc>
      </w:tr>
      <w:tr w:rsidR="00C0443A" w:rsidRPr="00306658" w:rsidTr="00C0443A">
        <w:trPr>
          <w:trHeight w:val="315"/>
        </w:trPr>
        <w:tc>
          <w:tcPr>
            <w:tcW w:w="6780" w:type="dxa"/>
            <w:tcBorders>
              <w:top w:val="nil"/>
              <w:left w:val="nil"/>
              <w:bottom w:val="single" w:sz="4" w:space="0" w:color="auto"/>
              <w:right w:val="nil"/>
            </w:tcBorders>
            <w:shd w:val="clear" w:color="auto" w:fill="auto"/>
            <w:vAlign w:val="center"/>
            <w:hideMark/>
          </w:tcPr>
          <w:p w:rsidR="00C0443A" w:rsidRPr="00306658" w:rsidRDefault="00C0443A">
            <w:pPr>
              <w:rPr>
                <w:rFonts w:ascii="Verdana" w:hAnsi="Verdana" w:cs="Calibri"/>
                <w:color w:val="000000"/>
                <w:sz w:val="20"/>
                <w:szCs w:val="20"/>
              </w:rPr>
            </w:pPr>
            <w:r w:rsidRPr="00306658">
              <w:rPr>
                <w:rFonts w:ascii="Verdana" w:hAnsi="Verdana" w:cs="Calibri"/>
                <w:color w:val="000000"/>
                <w:sz w:val="20"/>
                <w:szCs w:val="20"/>
              </w:rPr>
              <w:t xml:space="preserve">  Otra índole</w:t>
            </w:r>
          </w:p>
        </w:tc>
        <w:tc>
          <w:tcPr>
            <w:tcW w:w="1420" w:type="dxa"/>
            <w:tcBorders>
              <w:top w:val="nil"/>
              <w:left w:val="nil"/>
              <w:bottom w:val="single" w:sz="4" w:space="0" w:color="auto"/>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18.441</w:t>
            </w:r>
          </w:p>
        </w:tc>
        <w:tc>
          <w:tcPr>
            <w:tcW w:w="1200" w:type="dxa"/>
            <w:tcBorders>
              <w:top w:val="nil"/>
              <w:left w:val="nil"/>
              <w:bottom w:val="single" w:sz="4" w:space="0" w:color="auto"/>
              <w:right w:val="nil"/>
            </w:tcBorders>
            <w:shd w:val="clear" w:color="auto" w:fill="auto"/>
            <w:vAlign w:val="center"/>
            <w:hideMark/>
          </w:tcPr>
          <w:p w:rsidR="00C0443A" w:rsidRPr="00306658" w:rsidRDefault="00C0443A">
            <w:pPr>
              <w:jc w:val="right"/>
              <w:rPr>
                <w:rFonts w:ascii="Verdana" w:hAnsi="Verdana" w:cs="Calibri"/>
                <w:color w:val="000000"/>
                <w:sz w:val="20"/>
                <w:szCs w:val="20"/>
              </w:rPr>
            </w:pPr>
            <w:r w:rsidRPr="00306658">
              <w:rPr>
                <w:rFonts w:ascii="Verdana" w:hAnsi="Verdana" w:cs="Calibri"/>
                <w:color w:val="000000"/>
                <w:sz w:val="20"/>
                <w:szCs w:val="20"/>
              </w:rPr>
              <w:t>-31,4%</w:t>
            </w:r>
          </w:p>
        </w:tc>
      </w:tr>
    </w:tbl>
    <w:p w:rsidR="00397568" w:rsidRPr="00306658" w:rsidRDefault="00397568">
      <w:pPr>
        <w:pStyle w:val="Textoindependiente"/>
        <w:spacing w:before="120" w:after="120"/>
        <w:ind w:firstLine="357"/>
        <w:rPr>
          <w:rFonts w:ascii="Verdana" w:hAnsi="Verdana"/>
          <w:sz w:val="20"/>
        </w:rPr>
      </w:pPr>
    </w:p>
    <w:p w:rsidR="00397568" w:rsidRPr="00306658" w:rsidRDefault="0039314D">
      <w:pPr>
        <w:pStyle w:val="Textoindependiente"/>
        <w:spacing w:before="120" w:after="120"/>
        <w:ind w:firstLine="357"/>
        <w:rPr>
          <w:rFonts w:ascii="Verdana" w:hAnsi="Verdana"/>
          <w:sz w:val="20"/>
        </w:rPr>
      </w:pPr>
      <w:r w:rsidRPr="00306658">
        <w:rPr>
          <w:rFonts w:ascii="Verdana" w:hAnsi="Verdana"/>
          <w:sz w:val="20"/>
        </w:rPr>
        <w:t xml:space="preserve">Por comunidades autónomas, </w:t>
      </w:r>
      <w:r w:rsidR="00C2389F" w:rsidRPr="00306658">
        <w:rPr>
          <w:rFonts w:ascii="Verdana" w:hAnsi="Verdana"/>
          <w:sz w:val="20"/>
        </w:rPr>
        <w:t>los juzgados de Madrid han experimentado un aumento en el ingreso del 12,4%, Murcia del 11,7%, Castilla y León del 11,6% y País Vasco del 10,3%. Es especialmente significativo el incremento en asuntos de Procesos de impugnación de actos administrativos en materia laboral y de Seguridad Social en la Comunidad de Madrid, que ha sido del 75,4%, principalmente relativo a impugnación de liquidaciones económicas de pensiones</w:t>
      </w:r>
      <w:r w:rsidR="0029509B" w:rsidRPr="00306658">
        <w:rPr>
          <w:rFonts w:ascii="Verdana" w:hAnsi="Verdana"/>
          <w:sz w:val="20"/>
        </w:rPr>
        <w:t xml:space="preserve"> realizadas por el INSS.</w:t>
      </w:r>
    </w:p>
    <w:p w:rsidR="004465E7" w:rsidRPr="00306658" w:rsidRDefault="00397568" w:rsidP="002D5FEA">
      <w:pPr>
        <w:spacing w:before="120" w:after="120"/>
        <w:ind w:firstLine="357"/>
        <w:jc w:val="both"/>
        <w:rPr>
          <w:rFonts w:ascii="Verdana" w:hAnsi="Verdana" w:cs="Arial"/>
          <w:sz w:val="20"/>
        </w:rPr>
      </w:pPr>
      <w:r w:rsidRPr="00306658">
        <w:rPr>
          <w:rFonts w:ascii="Verdana" w:hAnsi="Verdana" w:cs="Arial"/>
          <w:sz w:val="20"/>
        </w:rPr>
        <w:t>El número de p</w:t>
      </w:r>
      <w:r w:rsidR="006718BA" w:rsidRPr="00306658">
        <w:rPr>
          <w:rFonts w:ascii="Verdana" w:hAnsi="Verdana" w:cs="Arial"/>
          <w:sz w:val="20"/>
        </w:rPr>
        <w:t xml:space="preserve">rocedimientos monitorios </w:t>
      </w:r>
      <w:r w:rsidRPr="00306658">
        <w:rPr>
          <w:rFonts w:ascii="Verdana" w:hAnsi="Verdana" w:cs="Arial"/>
          <w:sz w:val="20"/>
        </w:rPr>
        <w:t xml:space="preserve">ingresados </w:t>
      </w:r>
      <w:r w:rsidR="006718BA" w:rsidRPr="00306658">
        <w:rPr>
          <w:rFonts w:ascii="Verdana" w:hAnsi="Verdana" w:cs="Arial"/>
          <w:sz w:val="20"/>
        </w:rPr>
        <w:t>continúa</w:t>
      </w:r>
      <w:r w:rsidRPr="00306658">
        <w:rPr>
          <w:rFonts w:ascii="Verdana" w:hAnsi="Verdana" w:cs="Arial"/>
          <w:sz w:val="20"/>
        </w:rPr>
        <w:t xml:space="preserve"> disminuyendo</w:t>
      </w:r>
      <w:r w:rsidR="006718BA" w:rsidRPr="00306658">
        <w:rPr>
          <w:rFonts w:ascii="Verdana" w:hAnsi="Verdana" w:cs="Arial"/>
          <w:sz w:val="20"/>
        </w:rPr>
        <w:t xml:space="preserve"> en los juzgados de lo social. </w:t>
      </w:r>
      <w:r w:rsidR="004465E7" w:rsidRPr="00306658">
        <w:rPr>
          <w:rFonts w:ascii="Verdana" w:hAnsi="Verdana" w:cs="Arial"/>
          <w:sz w:val="20"/>
        </w:rPr>
        <w:t>Han ingresado 1.</w:t>
      </w:r>
      <w:r w:rsidRPr="00306658">
        <w:rPr>
          <w:rFonts w:ascii="Verdana" w:hAnsi="Verdana" w:cs="Arial"/>
          <w:sz w:val="20"/>
        </w:rPr>
        <w:t>711</w:t>
      </w:r>
      <w:r w:rsidR="004465E7" w:rsidRPr="00306658">
        <w:rPr>
          <w:rFonts w:ascii="Verdana" w:hAnsi="Verdana" w:cs="Arial"/>
          <w:sz w:val="20"/>
        </w:rPr>
        <w:t xml:space="preserve">, un </w:t>
      </w:r>
      <w:r w:rsidRPr="00306658">
        <w:rPr>
          <w:rFonts w:ascii="Verdana" w:hAnsi="Verdana" w:cs="Arial"/>
          <w:sz w:val="20"/>
        </w:rPr>
        <w:t>5</w:t>
      </w:r>
      <w:r w:rsidR="004465E7" w:rsidRPr="00306658">
        <w:rPr>
          <w:rFonts w:ascii="Verdana" w:hAnsi="Verdana" w:cs="Arial"/>
          <w:sz w:val="20"/>
        </w:rPr>
        <w:t>,9% menos que en 201</w:t>
      </w:r>
      <w:r w:rsidRPr="00306658">
        <w:rPr>
          <w:rFonts w:ascii="Verdana" w:hAnsi="Verdana" w:cs="Arial"/>
          <w:sz w:val="20"/>
        </w:rPr>
        <w:t>6</w:t>
      </w:r>
      <w:r w:rsidR="004465E7" w:rsidRPr="00306658">
        <w:rPr>
          <w:rFonts w:ascii="Verdana" w:hAnsi="Verdana" w:cs="Arial"/>
          <w:sz w:val="20"/>
        </w:rPr>
        <w:t>.</w:t>
      </w:r>
    </w:p>
    <w:p w:rsidR="00C0443A" w:rsidRPr="00306658" w:rsidRDefault="00C0443A">
      <w:pPr>
        <w:pStyle w:val="Textoindependiente"/>
        <w:spacing w:before="120" w:after="120"/>
        <w:ind w:firstLine="357"/>
        <w:rPr>
          <w:rFonts w:ascii="Verdana" w:hAnsi="Verdana"/>
          <w:sz w:val="20"/>
        </w:rPr>
      </w:pPr>
      <w:r w:rsidRPr="00306658">
        <w:rPr>
          <w:rFonts w:ascii="Verdana" w:hAnsi="Verdana"/>
          <w:sz w:val="20"/>
          <w:lang w:val="es-ES_tradnl"/>
        </w:rPr>
        <w:t xml:space="preserve">Los </w:t>
      </w:r>
      <w:r w:rsidRPr="00306658">
        <w:rPr>
          <w:rFonts w:ascii="Verdana" w:hAnsi="Verdana"/>
          <w:sz w:val="20"/>
        </w:rPr>
        <w:t>actos de conciliación ante el letrado de la AJ,</w:t>
      </w:r>
      <w:r w:rsidR="0016617F" w:rsidRPr="00306658">
        <w:rPr>
          <w:rFonts w:ascii="Verdana" w:hAnsi="Verdana"/>
          <w:sz w:val="20"/>
        </w:rPr>
        <w:t xml:space="preserve"> </w:t>
      </w:r>
      <w:r w:rsidR="004465E7" w:rsidRPr="00306658">
        <w:rPr>
          <w:rFonts w:ascii="Verdana" w:hAnsi="Verdana"/>
          <w:sz w:val="20"/>
        </w:rPr>
        <w:t>19</w:t>
      </w:r>
      <w:r w:rsidRPr="00306658">
        <w:rPr>
          <w:rFonts w:ascii="Verdana" w:hAnsi="Verdana"/>
          <w:sz w:val="20"/>
        </w:rPr>
        <w:t>7</w:t>
      </w:r>
      <w:r w:rsidR="002972F5" w:rsidRPr="00306658">
        <w:rPr>
          <w:rFonts w:ascii="Verdana" w:hAnsi="Verdana"/>
          <w:sz w:val="20"/>
        </w:rPr>
        <w:t>.</w:t>
      </w:r>
      <w:r w:rsidRPr="00306658">
        <w:rPr>
          <w:rFonts w:ascii="Verdana" w:hAnsi="Verdana"/>
          <w:sz w:val="20"/>
        </w:rPr>
        <w:t>342</w:t>
      </w:r>
      <w:r w:rsidR="004465E7" w:rsidRPr="00306658">
        <w:rPr>
          <w:rFonts w:ascii="Verdana" w:hAnsi="Verdana"/>
          <w:sz w:val="20"/>
        </w:rPr>
        <w:t xml:space="preserve">, </w:t>
      </w:r>
      <w:r w:rsidRPr="00306658">
        <w:rPr>
          <w:rFonts w:ascii="Verdana" w:hAnsi="Verdana"/>
          <w:sz w:val="20"/>
        </w:rPr>
        <w:t>han tenido un incremento del 1,2%respecto a 2106.</w:t>
      </w:r>
    </w:p>
    <w:p w:rsidR="00E33FAE" w:rsidRDefault="00E33FAE">
      <w:pPr>
        <w:pStyle w:val="Textoindependiente"/>
        <w:spacing w:before="120" w:after="120"/>
        <w:ind w:firstLine="357"/>
        <w:rPr>
          <w:rFonts w:ascii="Verdana" w:hAnsi="Verdana"/>
          <w:sz w:val="20"/>
        </w:rPr>
      </w:pPr>
      <w:r w:rsidRPr="00306658">
        <w:rPr>
          <w:rFonts w:ascii="Verdana" w:hAnsi="Verdana"/>
          <w:sz w:val="20"/>
        </w:rPr>
        <w:t xml:space="preserve">Se han derivado a mediación 2.575 asuntos, habiendo </w:t>
      </w:r>
      <w:r w:rsidR="00DE0D53" w:rsidRPr="00306658">
        <w:rPr>
          <w:rFonts w:ascii="Verdana" w:hAnsi="Verdana"/>
          <w:sz w:val="20"/>
        </w:rPr>
        <w:t>finalizado</w:t>
      </w:r>
      <w:r w:rsidRPr="00306658">
        <w:rPr>
          <w:rFonts w:ascii="Verdana" w:hAnsi="Verdana"/>
          <w:sz w:val="20"/>
        </w:rPr>
        <w:t xml:space="preserve"> el proceso de mediación con conocimiento del juzgado 3.125, de ellos el 31,7% con avenencia.</w:t>
      </w:r>
    </w:p>
    <w:p w:rsidR="00E33FAE" w:rsidRDefault="00E33FAE">
      <w:pPr>
        <w:pStyle w:val="Textoindependiente"/>
        <w:spacing w:before="120" w:after="120"/>
        <w:ind w:firstLine="357"/>
        <w:rPr>
          <w:rFonts w:ascii="Verdana" w:hAnsi="Verdana"/>
          <w:sz w:val="20"/>
        </w:rPr>
      </w:pPr>
    </w:p>
    <w:p w:rsidR="00952D86" w:rsidRPr="00306658" w:rsidRDefault="00952D86" w:rsidP="00BF0E15">
      <w:pPr>
        <w:spacing w:before="120" w:after="120"/>
        <w:ind w:firstLine="357"/>
        <w:jc w:val="both"/>
        <w:rPr>
          <w:rFonts w:ascii="Verdana" w:hAnsi="Verdana" w:cs="Arial"/>
          <w:sz w:val="20"/>
          <w:lang w:val="es-ES"/>
        </w:rPr>
      </w:pPr>
      <w:r w:rsidRPr="00306658">
        <w:rPr>
          <w:rFonts w:ascii="Verdana" w:hAnsi="Verdana" w:cs="Arial"/>
          <w:sz w:val="20"/>
          <w:lang w:val="es-ES"/>
        </w:rPr>
        <w:t xml:space="preserve">El incremento de asuntos ingresados en las salas de lo social de los tribunales superiores de justicia responde al aumento en los recursos de suplicación, continuando la tendencia de 2016. Por comunidades autónomas, el mayor incremento se ha producido en Madrid, con un 27,2%, seguida de </w:t>
      </w:r>
      <w:r w:rsidR="00750DCB" w:rsidRPr="00306658">
        <w:rPr>
          <w:rFonts w:ascii="Verdana" w:hAnsi="Verdana" w:cs="Arial"/>
          <w:sz w:val="20"/>
          <w:lang w:val="es-ES"/>
        </w:rPr>
        <w:t>Illes</w:t>
      </w:r>
      <w:r w:rsidRPr="00306658">
        <w:rPr>
          <w:rFonts w:ascii="Verdana" w:hAnsi="Verdana" w:cs="Arial"/>
          <w:sz w:val="20"/>
          <w:lang w:val="es-ES"/>
        </w:rPr>
        <w:t xml:space="preserve"> Balears, con un 23,0% y Murcia, un 19,3%; en el extremo opuesto, en la Rioja el ingreso ha disminuido un 17,9% y en Aragón un 17,1%. </w:t>
      </w:r>
    </w:p>
    <w:p w:rsidR="00A867A0" w:rsidRPr="00BF0E15" w:rsidRDefault="00A867A0" w:rsidP="00483315">
      <w:pPr>
        <w:pStyle w:val="Textoindependiente"/>
        <w:spacing w:before="120" w:after="120"/>
        <w:ind w:firstLine="357"/>
        <w:rPr>
          <w:rFonts w:ascii="Verdana" w:hAnsi="Verdana"/>
          <w:sz w:val="20"/>
          <w:lang w:val="es-ES_tradnl"/>
        </w:rPr>
      </w:pPr>
    </w:p>
    <w:p w:rsidR="002972F5" w:rsidRPr="00AB2293" w:rsidRDefault="002972F5">
      <w:pPr>
        <w:pStyle w:val="Textoindependiente"/>
        <w:spacing w:before="120" w:after="120"/>
        <w:ind w:firstLine="357"/>
        <w:rPr>
          <w:rFonts w:ascii="Verdana" w:hAnsi="Verdana"/>
          <w:sz w:val="20"/>
        </w:rPr>
      </w:pPr>
      <w:r w:rsidRPr="00AB2293">
        <w:rPr>
          <w:rFonts w:ascii="Verdana" w:hAnsi="Verdana"/>
          <w:sz w:val="20"/>
        </w:rPr>
        <w:t xml:space="preserve">Al final del año han quedo en estado de suspensión </w:t>
      </w:r>
      <w:r w:rsidR="00E33FAE" w:rsidRPr="00AB2293">
        <w:rPr>
          <w:rFonts w:ascii="Verdana" w:hAnsi="Verdana"/>
          <w:sz w:val="20"/>
        </w:rPr>
        <w:t>11</w:t>
      </w:r>
      <w:r w:rsidRPr="00AB2293">
        <w:rPr>
          <w:rFonts w:ascii="Verdana" w:hAnsi="Verdana"/>
          <w:sz w:val="20"/>
        </w:rPr>
        <w:t>.</w:t>
      </w:r>
      <w:r w:rsidR="00E33FAE" w:rsidRPr="00AB2293">
        <w:rPr>
          <w:rFonts w:ascii="Verdana" w:hAnsi="Verdana"/>
          <w:sz w:val="20"/>
        </w:rPr>
        <w:t>151</w:t>
      </w:r>
      <w:r w:rsidRPr="00AB2293">
        <w:rPr>
          <w:rFonts w:ascii="Verdana" w:hAnsi="Verdana"/>
          <w:sz w:val="20"/>
        </w:rPr>
        <w:t xml:space="preserve"> asuntos</w:t>
      </w:r>
      <w:r w:rsidR="00C67D4E" w:rsidRPr="00AB2293">
        <w:rPr>
          <w:rFonts w:ascii="Verdana" w:hAnsi="Verdana"/>
          <w:sz w:val="20"/>
        </w:rPr>
        <w:t xml:space="preserve"> en los juzgados, </w:t>
      </w:r>
      <w:r w:rsidR="00E33FAE" w:rsidRPr="00AB2293">
        <w:rPr>
          <w:rFonts w:ascii="Verdana" w:hAnsi="Verdana"/>
          <w:sz w:val="20"/>
        </w:rPr>
        <w:t>95</w:t>
      </w:r>
      <w:r w:rsidR="00C67D4E" w:rsidRPr="00AB2293">
        <w:rPr>
          <w:rFonts w:ascii="Verdana" w:hAnsi="Verdana"/>
          <w:sz w:val="20"/>
        </w:rPr>
        <w:t xml:space="preserve"> en las salas de los TSJ</w:t>
      </w:r>
      <w:r w:rsidR="00ED1747" w:rsidRPr="00AB2293">
        <w:rPr>
          <w:rFonts w:ascii="Verdana" w:hAnsi="Verdana"/>
          <w:sz w:val="20"/>
        </w:rPr>
        <w:t xml:space="preserve">, </w:t>
      </w:r>
      <w:r w:rsidR="00D10BF6" w:rsidRPr="00AB2293">
        <w:rPr>
          <w:rFonts w:ascii="Verdana" w:hAnsi="Verdana"/>
          <w:sz w:val="20"/>
        </w:rPr>
        <w:t>67</w:t>
      </w:r>
      <w:r w:rsidR="00C67D4E" w:rsidRPr="00AB2293">
        <w:rPr>
          <w:rFonts w:ascii="Verdana" w:hAnsi="Verdana"/>
          <w:sz w:val="20"/>
        </w:rPr>
        <w:t xml:space="preserve"> en la Audiencia Nacional</w:t>
      </w:r>
      <w:r w:rsidRPr="00AB2293">
        <w:rPr>
          <w:rFonts w:ascii="Verdana" w:hAnsi="Verdana"/>
          <w:sz w:val="20"/>
        </w:rPr>
        <w:t>.</w:t>
      </w:r>
      <w:r w:rsidR="00D10BF6" w:rsidRPr="00AB2293">
        <w:rPr>
          <w:rFonts w:ascii="Verdana" w:hAnsi="Verdana"/>
          <w:sz w:val="20"/>
        </w:rPr>
        <w:t xml:space="preserve">  </w:t>
      </w:r>
    </w:p>
    <w:p w:rsidR="001B4EE3" w:rsidRPr="00AB2293" w:rsidRDefault="001C4F13" w:rsidP="000C57AD">
      <w:pPr>
        <w:pStyle w:val="Textoindependiente"/>
        <w:spacing w:before="120" w:after="120"/>
        <w:ind w:firstLine="357"/>
        <w:rPr>
          <w:rFonts w:ascii="Verdana" w:hAnsi="Verdana"/>
          <w:sz w:val="20"/>
        </w:rPr>
      </w:pPr>
      <w:r w:rsidRPr="00AB2293">
        <w:rPr>
          <w:rFonts w:ascii="Verdana" w:hAnsi="Verdana"/>
          <w:sz w:val="20"/>
        </w:rPr>
        <w:t>En el año 2017 l</w:t>
      </w:r>
      <w:r w:rsidR="000C57AD" w:rsidRPr="00AB2293">
        <w:rPr>
          <w:rFonts w:ascii="Verdana" w:hAnsi="Verdana"/>
          <w:sz w:val="20"/>
        </w:rPr>
        <w:t>a ejecución de sentencias ha tenido un</w:t>
      </w:r>
      <w:r w:rsidR="00F10DEF" w:rsidRPr="00AB2293">
        <w:rPr>
          <w:rFonts w:ascii="Verdana" w:hAnsi="Verdana"/>
          <w:sz w:val="20"/>
        </w:rPr>
        <w:t>a</w:t>
      </w:r>
      <w:r w:rsidR="000C57AD" w:rsidRPr="00AB2293">
        <w:rPr>
          <w:rFonts w:ascii="Verdana" w:hAnsi="Verdana"/>
          <w:sz w:val="20"/>
        </w:rPr>
        <w:t xml:space="preserve"> </w:t>
      </w:r>
      <w:r w:rsidR="00F10DEF" w:rsidRPr="00AB2293">
        <w:rPr>
          <w:rFonts w:ascii="Verdana" w:hAnsi="Verdana"/>
          <w:sz w:val="20"/>
        </w:rPr>
        <w:t xml:space="preserve">disminución </w:t>
      </w:r>
      <w:r w:rsidR="000C57AD" w:rsidRPr="00AB2293">
        <w:rPr>
          <w:rFonts w:ascii="Verdana" w:hAnsi="Verdana"/>
          <w:sz w:val="20"/>
        </w:rPr>
        <w:t xml:space="preserve">en </w:t>
      </w:r>
      <w:r w:rsidR="00F10DEF" w:rsidRPr="00AB2293">
        <w:rPr>
          <w:rFonts w:ascii="Verdana" w:hAnsi="Verdana"/>
          <w:sz w:val="20"/>
        </w:rPr>
        <w:t>el</w:t>
      </w:r>
      <w:r w:rsidR="000C57AD" w:rsidRPr="00AB2293">
        <w:rPr>
          <w:rFonts w:ascii="Verdana" w:hAnsi="Verdana"/>
          <w:sz w:val="20"/>
        </w:rPr>
        <w:t xml:space="preserve"> ingreso del </w:t>
      </w:r>
      <w:r w:rsidRPr="00AB2293">
        <w:rPr>
          <w:rFonts w:ascii="Verdana" w:hAnsi="Verdana"/>
          <w:sz w:val="20"/>
        </w:rPr>
        <w:t>9</w:t>
      </w:r>
      <w:r w:rsidR="00F10DEF" w:rsidRPr="00AB2293">
        <w:rPr>
          <w:rFonts w:ascii="Verdana" w:hAnsi="Verdana"/>
          <w:sz w:val="20"/>
        </w:rPr>
        <w:t>,</w:t>
      </w:r>
      <w:r w:rsidRPr="00AB2293">
        <w:rPr>
          <w:rFonts w:ascii="Verdana" w:hAnsi="Verdana"/>
          <w:sz w:val="20"/>
        </w:rPr>
        <w:t>4</w:t>
      </w:r>
      <w:r w:rsidR="000C57AD" w:rsidRPr="00AB2293">
        <w:rPr>
          <w:rFonts w:ascii="Verdana" w:hAnsi="Verdana"/>
          <w:sz w:val="20"/>
        </w:rPr>
        <w:t>%  en esta jurisdicción</w:t>
      </w:r>
      <w:r w:rsidR="00F10DEF" w:rsidRPr="00AB2293">
        <w:rPr>
          <w:rFonts w:ascii="Verdana" w:hAnsi="Verdana"/>
          <w:sz w:val="20"/>
        </w:rPr>
        <w:t xml:space="preserve">. En los  </w:t>
      </w:r>
      <w:r w:rsidR="009E6C91" w:rsidRPr="00AB2293">
        <w:rPr>
          <w:rFonts w:ascii="Verdana" w:hAnsi="Verdana"/>
          <w:sz w:val="20"/>
        </w:rPr>
        <w:t>j</w:t>
      </w:r>
      <w:r w:rsidR="000C57AD" w:rsidRPr="00AB2293">
        <w:rPr>
          <w:rFonts w:ascii="Verdana" w:hAnsi="Verdana"/>
          <w:sz w:val="20"/>
        </w:rPr>
        <w:t xml:space="preserve">uzgados de lo </w:t>
      </w:r>
      <w:r w:rsidR="009E6C91" w:rsidRPr="00AB2293">
        <w:rPr>
          <w:rFonts w:ascii="Verdana" w:hAnsi="Verdana"/>
          <w:sz w:val="20"/>
        </w:rPr>
        <w:t>s</w:t>
      </w:r>
      <w:r w:rsidR="000C57AD" w:rsidRPr="00AB2293">
        <w:rPr>
          <w:rFonts w:ascii="Verdana" w:hAnsi="Verdana"/>
          <w:sz w:val="20"/>
        </w:rPr>
        <w:t>ocial</w:t>
      </w:r>
      <w:r w:rsidR="00F10DEF" w:rsidRPr="00AB2293">
        <w:rPr>
          <w:rFonts w:ascii="Verdana" w:hAnsi="Verdana"/>
          <w:sz w:val="20"/>
        </w:rPr>
        <w:t xml:space="preserve"> se </w:t>
      </w:r>
      <w:r w:rsidR="00B56826" w:rsidRPr="00AB2293">
        <w:rPr>
          <w:rFonts w:ascii="Verdana" w:hAnsi="Verdana"/>
          <w:sz w:val="20"/>
        </w:rPr>
        <w:t>ha</w:t>
      </w:r>
      <w:r w:rsidR="0016617F" w:rsidRPr="00AB2293">
        <w:rPr>
          <w:rFonts w:ascii="Verdana" w:hAnsi="Verdana"/>
          <w:sz w:val="20"/>
        </w:rPr>
        <w:t xml:space="preserve"> producido una disminución del </w:t>
      </w:r>
      <w:r w:rsidR="00D10BF6" w:rsidRPr="00AB2293">
        <w:rPr>
          <w:rFonts w:ascii="Verdana" w:hAnsi="Verdana"/>
          <w:sz w:val="20"/>
        </w:rPr>
        <w:t>1</w:t>
      </w:r>
      <w:r w:rsidRPr="00AB2293">
        <w:rPr>
          <w:rFonts w:ascii="Verdana" w:hAnsi="Verdana"/>
          <w:sz w:val="20"/>
        </w:rPr>
        <w:t>0</w:t>
      </w:r>
      <w:r w:rsidR="0016617F" w:rsidRPr="00AB2293">
        <w:rPr>
          <w:rFonts w:ascii="Verdana" w:hAnsi="Verdana"/>
          <w:sz w:val="20"/>
        </w:rPr>
        <w:t>,</w:t>
      </w:r>
      <w:r w:rsidR="00D10BF6" w:rsidRPr="00AB2293">
        <w:rPr>
          <w:rFonts w:ascii="Verdana" w:hAnsi="Verdana"/>
          <w:sz w:val="20"/>
        </w:rPr>
        <w:t>3</w:t>
      </w:r>
      <w:r w:rsidR="00F10DEF" w:rsidRPr="00AB2293">
        <w:rPr>
          <w:rFonts w:ascii="Verdana" w:hAnsi="Verdana"/>
          <w:sz w:val="20"/>
        </w:rPr>
        <w:t xml:space="preserve">%, mientras que en los </w:t>
      </w:r>
      <w:r w:rsidR="009E6C91" w:rsidRPr="00AB2293">
        <w:rPr>
          <w:rFonts w:ascii="Verdana" w:hAnsi="Verdana"/>
          <w:sz w:val="20"/>
        </w:rPr>
        <w:t>j</w:t>
      </w:r>
      <w:r w:rsidR="00B8443D" w:rsidRPr="00AB2293">
        <w:rPr>
          <w:rFonts w:ascii="Verdana" w:hAnsi="Verdana"/>
          <w:sz w:val="20"/>
        </w:rPr>
        <w:t>uzgados especializados en</w:t>
      </w:r>
      <w:r w:rsidR="000C57AD" w:rsidRPr="00AB2293">
        <w:rPr>
          <w:rFonts w:ascii="Verdana" w:hAnsi="Verdana"/>
          <w:sz w:val="20"/>
        </w:rPr>
        <w:t xml:space="preserve"> ejecu</w:t>
      </w:r>
      <w:r w:rsidR="009E6C91" w:rsidRPr="00AB2293">
        <w:rPr>
          <w:rFonts w:ascii="Verdana" w:hAnsi="Verdana"/>
          <w:sz w:val="20"/>
        </w:rPr>
        <w:t>ciones</w:t>
      </w:r>
      <w:r w:rsidR="000C57AD" w:rsidRPr="00AB2293">
        <w:rPr>
          <w:rFonts w:ascii="Verdana" w:hAnsi="Verdana"/>
          <w:sz w:val="20"/>
        </w:rPr>
        <w:t xml:space="preserve"> sociales</w:t>
      </w:r>
      <w:r w:rsidR="0003653C" w:rsidRPr="00AB2293">
        <w:rPr>
          <w:rFonts w:ascii="Verdana" w:hAnsi="Verdana"/>
          <w:sz w:val="20"/>
        </w:rPr>
        <w:t xml:space="preserve"> la disminución ha sido </w:t>
      </w:r>
      <w:r w:rsidR="00B56826" w:rsidRPr="00AB2293">
        <w:rPr>
          <w:rFonts w:ascii="Verdana" w:hAnsi="Verdana"/>
          <w:sz w:val="20"/>
        </w:rPr>
        <w:t xml:space="preserve">del </w:t>
      </w:r>
      <w:r w:rsidRPr="00AB2293">
        <w:rPr>
          <w:rFonts w:ascii="Verdana" w:hAnsi="Verdana"/>
          <w:sz w:val="20"/>
        </w:rPr>
        <w:t>1</w:t>
      </w:r>
      <w:r w:rsidR="00D10BF6" w:rsidRPr="00AB2293">
        <w:rPr>
          <w:rFonts w:ascii="Verdana" w:hAnsi="Verdana"/>
          <w:sz w:val="20"/>
        </w:rPr>
        <w:t>,</w:t>
      </w:r>
      <w:r w:rsidRPr="00AB2293">
        <w:rPr>
          <w:rFonts w:ascii="Verdana" w:hAnsi="Verdana"/>
          <w:sz w:val="20"/>
        </w:rPr>
        <w:t>3</w:t>
      </w:r>
      <w:r w:rsidR="00D10BF6" w:rsidRPr="00AB2293">
        <w:rPr>
          <w:rFonts w:ascii="Verdana" w:hAnsi="Verdana"/>
          <w:sz w:val="20"/>
        </w:rPr>
        <w:t>%</w:t>
      </w:r>
      <w:r w:rsidR="00F10DEF" w:rsidRPr="00AB2293">
        <w:rPr>
          <w:rFonts w:ascii="Verdana" w:hAnsi="Verdana"/>
          <w:sz w:val="20"/>
        </w:rPr>
        <w:t xml:space="preserve"> </w:t>
      </w:r>
      <w:r w:rsidR="000C57AD" w:rsidRPr="00AB2293">
        <w:rPr>
          <w:rFonts w:ascii="Verdana" w:hAnsi="Verdana"/>
          <w:sz w:val="20"/>
        </w:rPr>
        <w:t xml:space="preserve"> </w:t>
      </w:r>
      <w:r w:rsidR="000B31FC" w:rsidRPr="00AB2293">
        <w:rPr>
          <w:rFonts w:ascii="Verdana" w:hAnsi="Verdana"/>
          <w:sz w:val="20"/>
        </w:rPr>
        <w:t xml:space="preserve">La resolución ha </w:t>
      </w:r>
      <w:r w:rsidR="0003653C" w:rsidRPr="00AB2293">
        <w:rPr>
          <w:rFonts w:ascii="Verdana" w:hAnsi="Verdana"/>
          <w:sz w:val="20"/>
        </w:rPr>
        <w:t>disminuido</w:t>
      </w:r>
      <w:r w:rsidR="000B31FC" w:rsidRPr="00AB2293">
        <w:rPr>
          <w:rFonts w:ascii="Verdana" w:hAnsi="Verdana"/>
          <w:sz w:val="20"/>
        </w:rPr>
        <w:t xml:space="preserve"> un </w:t>
      </w:r>
      <w:r w:rsidRPr="00AB2293">
        <w:rPr>
          <w:rFonts w:ascii="Verdana" w:hAnsi="Verdana"/>
          <w:sz w:val="20"/>
        </w:rPr>
        <w:t>8</w:t>
      </w:r>
      <w:r w:rsidR="000B31FC" w:rsidRPr="00AB2293">
        <w:rPr>
          <w:rFonts w:ascii="Verdana" w:hAnsi="Verdana"/>
          <w:sz w:val="20"/>
        </w:rPr>
        <w:t>,</w:t>
      </w:r>
      <w:r w:rsidRPr="00AB2293">
        <w:rPr>
          <w:rFonts w:ascii="Verdana" w:hAnsi="Verdana"/>
          <w:sz w:val="20"/>
        </w:rPr>
        <w:t>7</w:t>
      </w:r>
      <w:r w:rsidR="000B31FC" w:rsidRPr="00AB2293">
        <w:rPr>
          <w:rFonts w:ascii="Verdana" w:hAnsi="Verdana"/>
          <w:sz w:val="20"/>
        </w:rPr>
        <w:t>%</w:t>
      </w:r>
      <w:r w:rsidR="00B56826" w:rsidRPr="00AB2293">
        <w:rPr>
          <w:rFonts w:ascii="Verdana" w:hAnsi="Verdana"/>
          <w:sz w:val="20"/>
        </w:rPr>
        <w:t xml:space="preserve"> y las ejecu</w:t>
      </w:r>
      <w:r w:rsidR="009E6C91" w:rsidRPr="00AB2293">
        <w:rPr>
          <w:rFonts w:ascii="Verdana" w:hAnsi="Verdana"/>
          <w:sz w:val="20"/>
        </w:rPr>
        <w:t>ciones</w:t>
      </w:r>
      <w:r w:rsidR="00B56826" w:rsidRPr="00AB2293">
        <w:rPr>
          <w:rFonts w:ascii="Verdana" w:hAnsi="Verdana"/>
          <w:sz w:val="20"/>
        </w:rPr>
        <w:t xml:space="preserve"> en trámite a fin de año un </w:t>
      </w:r>
      <w:r w:rsidRPr="00AB2293">
        <w:rPr>
          <w:rFonts w:ascii="Verdana" w:hAnsi="Verdana"/>
          <w:sz w:val="20"/>
        </w:rPr>
        <w:t>12</w:t>
      </w:r>
      <w:r w:rsidR="0003653C" w:rsidRPr="00AB2293">
        <w:rPr>
          <w:rFonts w:ascii="Verdana" w:hAnsi="Verdana"/>
          <w:sz w:val="20"/>
        </w:rPr>
        <w:t>,</w:t>
      </w:r>
      <w:r w:rsidRPr="00AB2293">
        <w:rPr>
          <w:rFonts w:ascii="Verdana" w:hAnsi="Verdana"/>
          <w:sz w:val="20"/>
        </w:rPr>
        <w:t>7</w:t>
      </w:r>
      <w:r w:rsidR="00B56826" w:rsidRPr="00AB2293">
        <w:rPr>
          <w:rFonts w:ascii="Verdana" w:hAnsi="Verdana"/>
          <w:sz w:val="20"/>
        </w:rPr>
        <w:t>%</w:t>
      </w:r>
      <w:r w:rsidR="006237AD" w:rsidRPr="00AB2293">
        <w:rPr>
          <w:rFonts w:ascii="Verdana" w:hAnsi="Verdana"/>
          <w:sz w:val="20"/>
        </w:rPr>
        <w:t>.</w:t>
      </w:r>
    </w:p>
    <w:tbl>
      <w:tblPr>
        <w:tblW w:w="6840" w:type="dxa"/>
        <w:jc w:val="center"/>
        <w:tblInd w:w="55" w:type="dxa"/>
        <w:tblCellMar>
          <w:left w:w="70" w:type="dxa"/>
          <w:right w:w="70" w:type="dxa"/>
        </w:tblCellMar>
        <w:tblLook w:val="04A0" w:firstRow="1" w:lastRow="0" w:firstColumn="1" w:lastColumn="0" w:noHBand="0" w:noVBand="1"/>
      </w:tblPr>
      <w:tblGrid>
        <w:gridCol w:w="2960"/>
        <w:gridCol w:w="1480"/>
        <w:gridCol w:w="1235"/>
        <w:gridCol w:w="1200"/>
      </w:tblGrid>
      <w:tr w:rsidR="001C4F13" w:rsidRPr="00AB2293" w:rsidTr="001C4F13">
        <w:trPr>
          <w:trHeight w:val="1035"/>
          <w:jc w:val="center"/>
        </w:trPr>
        <w:tc>
          <w:tcPr>
            <w:tcW w:w="2960" w:type="dxa"/>
            <w:tcBorders>
              <w:top w:val="nil"/>
              <w:left w:val="nil"/>
              <w:bottom w:val="single" w:sz="8" w:space="0" w:color="auto"/>
              <w:right w:val="nil"/>
            </w:tcBorders>
            <w:shd w:val="clear" w:color="auto" w:fill="auto"/>
            <w:noWrap/>
            <w:vAlign w:val="center"/>
            <w:hideMark/>
          </w:tcPr>
          <w:p w:rsidR="001C4F13" w:rsidRPr="00AB2293" w:rsidRDefault="001C4F13">
            <w:pPr>
              <w:jc w:val="center"/>
              <w:rPr>
                <w:rFonts w:ascii="Verdana" w:hAnsi="Verdana" w:cs="Calibri"/>
                <w:b/>
                <w:bCs/>
                <w:color w:val="000000"/>
                <w:sz w:val="20"/>
                <w:szCs w:val="20"/>
              </w:rPr>
            </w:pPr>
            <w:r w:rsidRPr="00AB2293">
              <w:rPr>
                <w:rFonts w:ascii="Verdana" w:hAnsi="Verdana" w:cs="Calibri"/>
                <w:b/>
                <w:bCs/>
                <w:color w:val="000000"/>
                <w:sz w:val="20"/>
                <w:szCs w:val="20"/>
              </w:rPr>
              <w:t> </w:t>
            </w:r>
          </w:p>
        </w:tc>
        <w:tc>
          <w:tcPr>
            <w:tcW w:w="1480" w:type="dxa"/>
            <w:tcBorders>
              <w:top w:val="single" w:sz="8" w:space="0" w:color="auto"/>
              <w:left w:val="nil"/>
              <w:bottom w:val="single" w:sz="8" w:space="0" w:color="auto"/>
              <w:right w:val="nil"/>
            </w:tcBorders>
            <w:shd w:val="clear" w:color="auto" w:fill="auto"/>
            <w:vAlign w:val="center"/>
            <w:hideMark/>
          </w:tcPr>
          <w:p w:rsidR="001C4F13" w:rsidRPr="00AB2293" w:rsidRDefault="001C4F13">
            <w:pPr>
              <w:jc w:val="center"/>
              <w:rPr>
                <w:rFonts w:ascii="Verdana" w:hAnsi="Verdana" w:cs="Calibri"/>
                <w:b/>
                <w:bCs/>
                <w:color w:val="000000"/>
                <w:sz w:val="20"/>
                <w:szCs w:val="20"/>
              </w:rPr>
            </w:pPr>
            <w:r w:rsidRPr="00AB2293">
              <w:rPr>
                <w:rFonts w:ascii="Verdana" w:hAnsi="Verdana" w:cs="Calibri"/>
                <w:b/>
                <w:bCs/>
                <w:color w:val="000000"/>
                <w:sz w:val="20"/>
                <w:szCs w:val="20"/>
              </w:rPr>
              <w:t>Registradas</w:t>
            </w:r>
          </w:p>
        </w:tc>
        <w:tc>
          <w:tcPr>
            <w:tcW w:w="1200" w:type="dxa"/>
            <w:tcBorders>
              <w:top w:val="single" w:sz="8" w:space="0" w:color="auto"/>
              <w:left w:val="nil"/>
              <w:bottom w:val="single" w:sz="8" w:space="0" w:color="auto"/>
              <w:right w:val="nil"/>
            </w:tcBorders>
            <w:shd w:val="clear" w:color="auto" w:fill="auto"/>
            <w:vAlign w:val="center"/>
            <w:hideMark/>
          </w:tcPr>
          <w:p w:rsidR="001C4F13" w:rsidRPr="00AB2293" w:rsidRDefault="001C4F13">
            <w:pPr>
              <w:jc w:val="center"/>
              <w:rPr>
                <w:rFonts w:ascii="Verdana" w:hAnsi="Verdana" w:cs="Calibri"/>
                <w:b/>
                <w:bCs/>
                <w:color w:val="000000"/>
                <w:sz w:val="20"/>
                <w:szCs w:val="20"/>
              </w:rPr>
            </w:pPr>
            <w:r w:rsidRPr="00AB2293">
              <w:rPr>
                <w:rFonts w:ascii="Verdana" w:hAnsi="Verdana" w:cs="Calibri"/>
                <w:b/>
                <w:bCs/>
                <w:color w:val="000000"/>
                <w:sz w:val="20"/>
                <w:szCs w:val="20"/>
              </w:rPr>
              <w:t>Resueltas</w:t>
            </w:r>
          </w:p>
        </w:tc>
        <w:tc>
          <w:tcPr>
            <w:tcW w:w="1200" w:type="dxa"/>
            <w:tcBorders>
              <w:top w:val="single" w:sz="8" w:space="0" w:color="auto"/>
              <w:left w:val="nil"/>
              <w:bottom w:val="single" w:sz="8" w:space="0" w:color="auto"/>
              <w:right w:val="nil"/>
            </w:tcBorders>
            <w:shd w:val="clear" w:color="auto" w:fill="auto"/>
            <w:vAlign w:val="center"/>
            <w:hideMark/>
          </w:tcPr>
          <w:p w:rsidR="001C4F13" w:rsidRPr="00AB2293" w:rsidRDefault="001C4F13">
            <w:pPr>
              <w:jc w:val="center"/>
              <w:rPr>
                <w:rFonts w:ascii="Verdana" w:hAnsi="Verdana" w:cs="Calibri"/>
                <w:b/>
                <w:bCs/>
                <w:color w:val="000000"/>
                <w:sz w:val="20"/>
                <w:szCs w:val="20"/>
              </w:rPr>
            </w:pPr>
            <w:r w:rsidRPr="00AB2293">
              <w:rPr>
                <w:rFonts w:ascii="Verdana" w:hAnsi="Verdana" w:cs="Calibri"/>
                <w:b/>
                <w:bCs/>
                <w:color w:val="000000"/>
                <w:sz w:val="20"/>
                <w:szCs w:val="20"/>
              </w:rPr>
              <w:t>En trámite al final del año</w:t>
            </w:r>
          </w:p>
        </w:tc>
      </w:tr>
      <w:tr w:rsidR="001C4F13" w:rsidRPr="00AB2293" w:rsidTr="001C4F13">
        <w:trPr>
          <w:trHeight w:val="300"/>
          <w:jc w:val="center"/>
        </w:trPr>
        <w:tc>
          <w:tcPr>
            <w:tcW w:w="2960" w:type="dxa"/>
            <w:tcBorders>
              <w:top w:val="nil"/>
              <w:left w:val="nil"/>
              <w:bottom w:val="nil"/>
              <w:right w:val="nil"/>
            </w:tcBorders>
            <w:shd w:val="clear" w:color="auto" w:fill="auto"/>
            <w:vAlign w:val="center"/>
            <w:hideMark/>
          </w:tcPr>
          <w:p w:rsidR="001C4F13" w:rsidRPr="00AB2293" w:rsidRDefault="001C4F13">
            <w:pPr>
              <w:rPr>
                <w:rFonts w:ascii="Verdana" w:hAnsi="Verdana" w:cs="Calibri"/>
                <w:color w:val="000000"/>
                <w:sz w:val="20"/>
                <w:szCs w:val="20"/>
              </w:rPr>
            </w:pPr>
            <w:r w:rsidRPr="00AB2293">
              <w:rPr>
                <w:rFonts w:ascii="Verdana" w:hAnsi="Verdana" w:cs="Calibri"/>
                <w:color w:val="000000"/>
                <w:sz w:val="20"/>
                <w:szCs w:val="20"/>
              </w:rPr>
              <w:t>Jdos. de lo Social</w:t>
            </w:r>
          </w:p>
        </w:tc>
        <w:tc>
          <w:tcPr>
            <w:tcW w:w="148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57.730</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70.518</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40.815</w:t>
            </w:r>
          </w:p>
        </w:tc>
      </w:tr>
      <w:tr w:rsidR="001C4F13" w:rsidRPr="00AB2293" w:rsidTr="001C4F13">
        <w:trPr>
          <w:trHeight w:val="300"/>
          <w:jc w:val="center"/>
        </w:trPr>
        <w:tc>
          <w:tcPr>
            <w:tcW w:w="2960" w:type="dxa"/>
            <w:tcBorders>
              <w:top w:val="nil"/>
              <w:left w:val="nil"/>
              <w:bottom w:val="nil"/>
              <w:right w:val="nil"/>
            </w:tcBorders>
            <w:shd w:val="clear" w:color="auto" w:fill="auto"/>
            <w:vAlign w:val="center"/>
            <w:hideMark/>
          </w:tcPr>
          <w:p w:rsidR="001C4F13" w:rsidRPr="00AB2293" w:rsidRDefault="001C4F13">
            <w:pPr>
              <w:rPr>
                <w:rFonts w:ascii="Verdana" w:hAnsi="Verdana" w:cs="Calibri"/>
                <w:color w:val="000000"/>
                <w:sz w:val="20"/>
                <w:szCs w:val="20"/>
              </w:rPr>
            </w:pPr>
            <w:r w:rsidRPr="00AB2293">
              <w:rPr>
                <w:rFonts w:ascii="Verdana" w:hAnsi="Verdana" w:cs="Calibri"/>
                <w:color w:val="000000"/>
                <w:sz w:val="20"/>
                <w:szCs w:val="20"/>
              </w:rPr>
              <w:t>Jdos.  Social de Ejecuciones</w:t>
            </w:r>
          </w:p>
        </w:tc>
        <w:tc>
          <w:tcPr>
            <w:tcW w:w="148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7.087</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10.173</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4.242</w:t>
            </w:r>
          </w:p>
        </w:tc>
      </w:tr>
      <w:tr w:rsidR="001C4F13" w:rsidRPr="00AB2293" w:rsidTr="001C4F13">
        <w:trPr>
          <w:trHeight w:val="420"/>
          <w:jc w:val="center"/>
        </w:trPr>
        <w:tc>
          <w:tcPr>
            <w:tcW w:w="2960" w:type="dxa"/>
            <w:tcBorders>
              <w:top w:val="nil"/>
              <w:left w:val="nil"/>
              <w:bottom w:val="nil"/>
              <w:right w:val="nil"/>
            </w:tcBorders>
            <w:shd w:val="clear" w:color="auto" w:fill="auto"/>
            <w:vAlign w:val="center"/>
            <w:hideMark/>
          </w:tcPr>
          <w:p w:rsidR="001C4F13" w:rsidRPr="00AB2293" w:rsidRDefault="001C4F13">
            <w:pPr>
              <w:rPr>
                <w:rFonts w:ascii="Verdana" w:hAnsi="Verdana" w:cs="Calibri"/>
                <w:color w:val="000000"/>
                <w:sz w:val="20"/>
                <w:szCs w:val="20"/>
              </w:rPr>
            </w:pPr>
            <w:r w:rsidRPr="00AB2293">
              <w:rPr>
                <w:rFonts w:ascii="Verdana" w:hAnsi="Verdana" w:cs="Calibri"/>
                <w:color w:val="000000"/>
                <w:sz w:val="20"/>
                <w:szCs w:val="20"/>
              </w:rPr>
              <w:t xml:space="preserve">T.S.J. Sala Social  </w:t>
            </w:r>
          </w:p>
        </w:tc>
        <w:tc>
          <w:tcPr>
            <w:tcW w:w="148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63</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81</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44</w:t>
            </w:r>
          </w:p>
        </w:tc>
      </w:tr>
      <w:tr w:rsidR="001C4F13" w:rsidRPr="00AB2293" w:rsidTr="001C4F13">
        <w:trPr>
          <w:trHeight w:val="315"/>
          <w:jc w:val="center"/>
        </w:trPr>
        <w:tc>
          <w:tcPr>
            <w:tcW w:w="2960" w:type="dxa"/>
            <w:tcBorders>
              <w:top w:val="nil"/>
              <w:left w:val="nil"/>
              <w:bottom w:val="nil"/>
              <w:right w:val="nil"/>
            </w:tcBorders>
            <w:shd w:val="clear" w:color="auto" w:fill="auto"/>
            <w:vAlign w:val="center"/>
            <w:hideMark/>
          </w:tcPr>
          <w:p w:rsidR="001C4F13" w:rsidRPr="00AB2293" w:rsidRDefault="001C4F13">
            <w:pPr>
              <w:rPr>
                <w:rFonts w:ascii="Verdana" w:hAnsi="Verdana" w:cs="Calibri"/>
                <w:color w:val="000000"/>
                <w:sz w:val="20"/>
                <w:szCs w:val="20"/>
              </w:rPr>
            </w:pPr>
            <w:r w:rsidRPr="00AB2293">
              <w:rPr>
                <w:rFonts w:ascii="Verdana" w:hAnsi="Verdana" w:cs="Calibri"/>
                <w:color w:val="000000"/>
                <w:sz w:val="20"/>
                <w:szCs w:val="20"/>
              </w:rPr>
              <w:t xml:space="preserve">A.N. Sala Social </w:t>
            </w:r>
          </w:p>
        </w:tc>
        <w:tc>
          <w:tcPr>
            <w:tcW w:w="148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38</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43</w:t>
            </w:r>
          </w:p>
        </w:tc>
        <w:tc>
          <w:tcPr>
            <w:tcW w:w="1200" w:type="dxa"/>
            <w:tcBorders>
              <w:top w:val="nil"/>
              <w:left w:val="nil"/>
              <w:bottom w:val="nil"/>
              <w:right w:val="nil"/>
            </w:tcBorders>
            <w:shd w:val="clear" w:color="auto" w:fill="auto"/>
            <w:noWrap/>
            <w:vAlign w:val="center"/>
            <w:hideMark/>
          </w:tcPr>
          <w:p w:rsidR="001C4F13" w:rsidRPr="00AB2293" w:rsidRDefault="001C4F13">
            <w:pPr>
              <w:jc w:val="right"/>
              <w:rPr>
                <w:rFonts w:ascii="Verdana" w:hAnsi="Verdana" w:cs="Calibri"/>
                <w:color w:val="000000"/>
                <w:sz w:val="20"/>
                <w:szCs w:val="20"/>
              </w:rPr>
            </w:pPr>
            <w:r w:rsidRPr="00AB2293">
              <w:rPr>
                <w:rFonts w:ascii="Verdana" w:hAnsi="Verdana" w:cs="Calibri"/>
                <w:color w:val="000000"/>
                <w:sz w:val="20"/>
                <w:szCs w:val="20"/>
              </w:rPr>
              <w:t>11</w:t>
            </w:r>
          </w:p>
        </w:tc>
      </w:tr>
      <w:tr w:rsidR="001C4F13" w:rsidRPr="00AB2293" w:rsidTr="001C4F13">
        <w:trPr>
          <w:trHeight w:val="315"/>
          <w:jc w:val="center"/>
        </w:trPr>
        <w:tc>
          <w:tcPr>
            <w:tcW w:w="2960" w:type="dxa"/>
            <w:tcBorders>
              <w:top w:val="single" w:sz="8" w:space="0" w:color="auto"/>
              <w:left w:val="nil"/>
              <w:bottom w:val="single" w:sz="8" w:space="0" w:color="auto"/>
              <w:right w:val="nil"/>
            </w:tcBorders>
            <w:shd w:val="clear" w:color="auto" w:fill="auto"/>
            <w:vAlign w:val="center"/>
            <w:hideMark/>
          </w:tcPr>
          <w:p w:rsidR="001C4F13" w:rsidRPr="00AB2293" w:rsidRDefault="001C4F13">
            <w:pPr>
              <w:rPr>
                <w:rFonts w:ascii="Verdana" w:hAnsi="Verdana" w:cs="Calibri"/>
                <w:b/>
                <w:bCs/>
                <w:color w:val="000000"/>
                <w:sz w:val="20"/>
                <w:szCs w:val="20"/>
              </w:rPr>
            </w:pPr>
            <w:r w:rsidRPr="00AB2293">
              <w:rPr>
                <w:rFonts w:ascii="Verdana" w:hAnsi="Verdana" w:cs="Calibri"/>
                <w:b/>
                <w:bCs/>
                <w:color w:val="000000"/>
                <w:sz w:val="20"/>
                <w:szCs w:val="20"/>
              </w:rPr>
              <w:t>TOTAL</w:t>
            </w:r>
          </w:p>
        </w:tc>
        <w:tc>
          <w:tcPr>
            <w:tcW w:w="1480" w:type="dxa"/>
            <w:tcBorders>
              <w:top w:val="single" w:sz="8" w:space="0" w:color="auto"/>
              <w:left w:val="nil"/>
              <w:bottom w:val="single" w:sz="8" w:space="0" w:color="auto"/>
              <w:right w:val="nil"/>
            </w:tcBorders>
            <w:shd w:val="clear" w:color="auto" w:fill="auto"/>
            <w:noWrap/>
            <w:vAlign w:val="center"/>
            <w:hideMark/>
          </w:tcPr>
          <w:p w:rsidR="001C4F13" w:rsidRPr="00AB2293" w:rsidRDefault="001C4F13">
            <w:pPr>
              <w:jc w:val="right"/>
              <w:rPr>
                <w:rFonts w:ascii="Verdana" w:hAnsi="Verdana" w:cs="Calibri"/>
                <w:b/>
                <w:bCs/>
                <w:color w:val="000000"/>
                <w:sz w:val="20"/>
                <w:szCs w:val="20"/>
              </w:rPr>
            </w:pPr>
            <w:r w:rsidRPr="00AB2293">
              <w:rPr>
                <w:rFonts w:ascii="Verdana" w:hAnsi="Verdana" w:cs="Calibri"/>
                <w:b/>
                <w:bCs/>
                <w:color w:val="000000"/>
                <w:sz w:val="20"/>
                <w:szCs w:val="20"/>
              </w:rPr>
              <w:t>64.918</w:t>
            </w:r>
          </w:p>
        </w:tc>
        <w:tc>
          <w:tcPr>
            <w:tcW w:w="1200" w:type="dxa"/>
            <w:tcBorders>
              <w:top w:val="single" w:sz="8" w:space="0" w:color="auto"/>
              <w:left w:val="nil"/>
              <w:bottom w:val="single" w:sz="8" w:space="0" w:color="auto"/>
              <w:right w:val="nil"/>
            </w:tcBorders>
            <w:shd w:val="clear" w:color="auto" w:fill="auto"/>
            <w:noWrap/>
            <w:vAlign w:val="center"/>
            <w:hideMark/>
          </w:tcPr>
          <w:p w:rsidR="001C4F13" w:rsidRPr="00AB2293" w:rsidRDefault="001C4F13">
            <w:pPr>
              <w:jc w:val="right"/>
              <w:rPr>
                <w:rFonts w:ascii="Verdana" w:hAnsi="Verdana" w:cs="Calibri"/>
                <w:b/>
                <w:bCs/>
                <w:color w:val="000000"/>
                <w:sz w:val="20"/>
                <w:szCs w:val="20"/>
              </w:rPr>
            </w:pPr>
            <w:r w:rsidRPr="00AB2293">
              <w:rPr>
                <w:rFonts w:ascii="Verdana" w:hAnsi="Verdana" w:cs="Calibri"/>
                <w:b/>
                <w:bCs/>
                <w:color w:val="000000"/>
                <w:sz w:val="20"/>
                <w:szCs w:val="20"/>
              </w:rPr>
              <w:t>80.815</w:t>
            </w:r>
          </w:p>
        </w:tc>
        <w:tc>
          <w:tcPr>
            <w:tcW w:w="1200" w:type="dxa"/>
            <w:tcBorders>
              <w:top w:val="single" w:sz="8" w:space="0" w:color="auto"/>
              <w:left w:val="nil"/>
              <w:bottom w:val="single" w:sz="8" w:space="0" w:color="auto"/>
              <w:right w:val="nil"/>
            </w:tcBorders>
            <w:shd w:val="clear" w:color="auto" w:fill="auto"/>
            <w:noWrap/>
            <w:vAlign w:val="center"/>
            <w:hideMark/>
          </w:tcPr>
          <w:p w:rsidR="001C4F13" w:rsidRPr="00AB2293" w:rsidRDefault="001C4F13">
            <w:pPr>
              <w:jc w:val="right"/>
              <w:rPr>
                <w:rFonts w:ascii="Verdana" w:hAnsi="Verdana" w:cs="Calibri"/>
                <w:b/>
                <w:bCs/>
                <w:color w:val="000000"/>
                <w:sz w:val="20"/>
                <w:szCs w:val="20"/>
              </w:rPr>
            </w:pPr>
            <w:r w:rsidRPr="00AB2293">
              <w:rPr>
                <w:rFonts w:ascii="Verdana" w:hAnsi="Verdana" w:cs="Calibri"/>
                <w:b/>
                <w:bCs/>
                <w:color w:val="000000"/>
                <w:sz w:val="20"/>
                <w:szCs w:val="20"/>
              </w:rPr>
              <w:t>45.112</w:t>
            </w:r>
          </w:p>
        </w:tc>
      </w:tr>
    </w:tbl>
    <w:p w:rsidR="00BB1850" w:rsidRPr="00AB2293" w:rsidRDefault="00BB1850" w:rsidP="00BB1850">
      <w:pPr>
        <w:pStyle w:val="Textoindependiente"/>
        <w:spacing w:before="120" w:after="120"/>
        <w:ind w:firstLine="357"/>
        <w:rPr>
          <w:rFonts w:ascii="Verdana" w:hAnsi="Verdana"/>
          <w:sz w:val="20"/>
        </w:rPr>
      </w:pPr>
    </w:p>
    <w:p w:rsidR="001B4EE3" w:rsidRPr="00AB2293" w:rsidRDefault="001B4EE3" w:rsidP="00292CD9">
      <w:pPr>
        <w:pStyle w:val="Ttulo2"/>
        <w:numPr>
          <w:ilvl w:val="1"/>
          <w:numId w:val="20"/>
        </w:numPr>
        <w:rPr>
          <w:rFonts w:ascii="Verdana" w:hAnsi="Verdana"/>
          <w:color w:val="333399"/>
          <w:sz w:val="20"/>
        </w:rPr>
      </w:pPr>
      <w:r w:rsidRPr="00AB2293">
        <w:rPr>
          <w:rFonts w:ascii="Verdana" w:hAnsi="Verdana"/>
          <w:color w:val="333399"/>
        </w:rPr>
        <w:t>Terminación por Sentencia</w:t>
      </w:r>
    </w:p>
    <w:p w:rsidR="002D1BAB" w:rsidRPr="00AB2293" w:rsidRDefault="001B4EE3">
      <w:pPr>
        <w:pStyle w:val="Textoindependiente"/>
        <w:spacing w:before="120" w:after="120"/>
        <w:ind w:firstLine="357"/>
        <w:rPr>
          <w:rFonts w:ascii="Verdana" w:hAnsi="Verdana"/>
          <w:sz w:val="20"/>
        </w:rPr>
      </w:pPr>
      <w:r w:rsidRPr="00AB2293">
        <w:rPr>
          <w:rFonts w:ascii="Verdana" w:hAnsi="Verdana"/>
          <w:sz w:val="20"/>
        </w:rPr>
        <w:t xml:space="preserve">Se dictaron un total de </w:t>
      </w:r>
      <w:r w:rsidR="00E33FAE" w:rsidRPr="00AB2293">
        <w:rPr>
          <w:rFonts w:ascii="Verdana" w:hAnsi="Verdana"/>
          <w:sz w:val="20"/>
        </w:rPr>
        <w:t>208</w:t>
      </w:r>
      <w:r w:rsidR="006A0885" w:rsidRPr="00AB2293">
        <w:rPr>
          <w:rFonts w:ascii="Verdana" w:hAnsi="Verdana"/>
          <w:sz w:val="20"/>
        </w:rPr>
        <w:t>.</w:t>
      </w:r>
      <w:r w:rsidR="00E33FAE" w:rsidRPr="00AB2293">
        <w:rPr>
          <w:rFonts w:ascii="Verdana" w:hAnsi="Verdana"/>
          <w:sz w:val="20"/>
        </w:rPr>
        <w:t>106</w:t>
      </w:r>
      <w:r w:rsidR="00A24F79" w:rsidRPr="00AB2293">
        <w:rPr>
          <w:rFonts w:ascii="Verdana" w:hAnsi="Verdana"/>
          <w:sz w:val="20"/>
        </w:rPr>
        <w:t xml:space="preserve"> </w:t>
      </w:r>
      <w:r w:rsidRPr="00AB2293">
        <w:rPr>
          <w:rFonts w:ascii="Verdana" w:hAnsi="Verdana"/>
          <w:sz w:val="20"/>
        </w:rPr>
        <w:t xml:space="preserve">sentencias, </w:t>
      </w:r>
      <w:r w:rsidR="000B31FC" w:rsidRPr="00AB2293">
        <w:rPr>
          <w:rFonts w:ascii="Verdana" w:hAnsi="Verdana"/>
          <w:sz w:val="20"/>
        </w:rPr>
        <w:t xml:space="preserve">un </w:t>
      </w:r>
      <w:r w:rsidR="00E33FAE" w:rsidRPr="00AB2293">
        <w:rPr>
          <w:rFonts w:ascii="Verdana" w:hAnsi="Verdana"/>
          <w:sz w:val="20"/>
        </w:rPr>
        <w:t>1,9</w:t>
      </w:r>
      <w:r w:rsidR="000B31FC" w:rsidRPr="00AB2293">
        <w:rPr>
          <w:rFonts w:ascii="Verdana" w:hAnsi="Verdana"/>
          <w:sz w:val="20"/>
        </w:rPr>
        <w:t xml:space="preserve">% </w:t>
      </w:r>
      <w:r w:rsidR="0016617F" w:rsidRPr="00AB2293">
        <w:rPr>
          <w:rFonts w:ascii="Verdana" w:hAnsi="Verdana"/>
          <w:sz w:val="20"/>
        </w:rPr>
        <w:t>m</w:t>
      </w:r>
      <w:r w:rsidR="00FD7123" w:rsidRPr="00AB2293">
        <w:rPr>
          <w:rFonts w:ascii="Verdana" w:hAnsi="Verdana"/>
          <w:sz w:val="20"/>
        </w:rPr>
        <w:t>enos</w:t>
      </w:r>
      <w:r w:rsidR="000B31FC" w:rsidRPr="00AB2293">
        <w:rPr>
          <w:rFonts w:ascii="Verdana" w:hAnsi="Verdana"/>
          <w:sz w:val="20"/>
        </w:rPr>
        <w:t xml:space="preserve"> que en 20</w:t>
      </w:r>
      <w:r w:rsidR="008D54FB" w:rsidRPr="00AB2293">
        <w:rPr>
          <w:rFonts w:ascii="Verdana" w:hAnsi="Verdana"/>
          <w:sz w:val="20"/>
        </w:rPr>
        <w:t>1</w:t>
      </w:r>
      <w:r w:rsidR="00E33FAE" w:rsidRPr="00AB2293">
        <w:rPr>
          <w:rFonts w:ascii="Verdana" w:hAnsi="Verdana"/>
          <w:sz w:val="20"/>
        </w:rPr>
        <w:t>6</w:t>
      </w:r>
      <w:r w:rsidR="000B31FC" w:rsidRPr="00AB2293">
        <w:rPr>
          <w:rFonts w:ascii="Verdana" w:hAnsi="Verdana"/>
          <w:sz w:val="20"/>
        </w:rPr>
        <w:t xml:space="preserve">. </w:t>
      </w:r>
      <w:r w:rsidR="00E558F5" w:rsidRPr="00AB2293">
        <w:rPr>
          <w:rFonts w:ascii="Verdana" w:hAnsi="Verdana"/>
          <w:sz w:val="20"/>
        </w:rPr>
        <w:t xml:space="preserve">Las sentencias dictadas </w:t>
      </w:r>
      <w:r w:rsidR="006A0885" w:rsidRPr="00AB2293">
        <w:rPr>
          <w:rFonts w:ascii="Verdana" w:hAnsi="Verdana"/>
          <w:sz w:val="20"/>
        </w:rPr>
        <w:t>se ha</w:t>
      </w:r>
      <w:r w:rsidR="00E558F5" w:rsidRPr="00AB2293">
        <w:rPr>
          <w:rFonts w:ascii="Verdana" w:hAnsi="Verdana"/>
          <w:sz w:val="20"/>
        </w:rPr>
        <w:t>n</w:t>
      </w:r>
      <w:r w:rsidR="006A0885" w:rsidRPr="00AB2293">
        <w:rPr>
          <w:rFonts w:ascii="Verdana" w:hAnsi="Verdana"/>
          <w:sz w:val="20"/>
        </w:rPr>
        <w:t xml:space="preserve"> repartido de </w:t>
      </w:r>
      <w:r w:rsidR="0028421F" w:rsidRPr="00AB2293">
        <w:rPr>
          <w:rFonts w:ascii="Verdana" w:hAnsi="Verdana"/>
          <w:sz w:val="20"/>
        </w:rPr>
        <w:t xml:space="preserve"> </w:t>
      </w:r>
      <w:r w:rsidRPr="00AB2293">
        <w:rPr>
          <w:rFonts w:ascii="Verdana" w:hAnsi="Verdana"/>
          <w:sz w:val="20"/>
        </w:rPr>
        <w:t>la siguiente forma</w:t>
      </w:r>
      <w:r w:rsidR="006A0885" w:rsidRPr="00AB2293">
        <w:rPr>
          <w:rFonts w:ascii="Verdana" w:hAnsi="Verdana"/>
          <w:sz w:val="20"/>
        </w:rPr>
        <w:t xml:space="preserve"> entre los órganos de la jurisdicción</w:t>
      </w:r>
      <w:r w:rsidRPr="00AB2293">
        <w:rPr>
          <w:rFonts w:ascii="Verdana" w:hAnsi="Verdana"/>
          <w:sz w:val="20"/>
        </w:rPr>
        <w:t>:</w:t>
      </w:r>
    </w:p>
    <w:tbl>
      <w:tblPr>
        <w:tblW w:w="4160" w:type="dxa"/>
        <w:jc w:val="center"/>
        <w:tblInd w:w="55" w:type="dxa"/>
        <w:tblCellMar>
          <w:left w:w="70" w:type="dxa"/>
          <w:right w:w="70" w:type="dxa"/>
        </w:tblCellMar>
        <w:tblLook w:val="04A0" w:firstRow="1" w:lastRow="0" w:firstColumn="1" w:lastColumn="0" w:noHBand="0" w:noVBand="1"/>
      </w:tblPr>
      <w:tblGrid>
        <w:gridCol w:w="2960"/>
        <w:gridCol w:w="1240"/>
      </w:tblGrid>
      <w:tr w:rsidR="00E33FAE" w:rsidRPr="00AB2293" w:rsidTr="00E33FAE">
        <w:trPr>
          <w:trHeight w:val="465"/>
          <w:jc w:val="center"/>
        </w:trPr>
        <w:tc>
          <w:tcPr>
            <w:tcW w:w="2960" w:type="dxa"/>
            <w:tcBorders>
              <w:top w:val="nil"/>
              <w:left w:val="nil"/>
              <w:bottom w:val="single" w:sz="8" w:space="0" w:color="auto"/>
              <w:right w:val="nil"/>
            </w:tcBorders>
            <w:shd w:val="clear" w:color="auto" w:fill="auto"/>
            <w:noWrap/>
            <w:vAlign w:val="center"/>
            <w:hideMark/>
          </w:tcPr>
          <w:p w:rsidR="00E33FAE" w:rsidRPr="00AB2293" w:rsidRDefault="00E33FAE">
            <w:pPr>
              <w:jc w:val="center"/>
              <w:rPr>
                <w:rFonts w:ascii="Verdana" w:hAnsi="Verdana" w:cs="Calibri"/>
                <w:b/>
                <w:bCs/>
                <w:color w:val="000080"/>
                <w:sz w:val="20"/>
                <w:szCs w:val="20"/>
              </w:rPr>
            </w:pPr>
            <w:r w:rsidRPr="00AB2293">
              <w:rPr>
                <w:rFonts w:ascii="Verdana" w:hAnsi="Verdana" w:cs="Arial"/>
                <w:b/>
                <w:bCs/>
                <w:color w:val="00008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E33FAE" w:rsidRPr="00AB2293" w:rsidRDefault="00E33FAE">
            <w:pPr>
              <w:jc w:val="center"/>
              <w:rPr>
                <w:rFonts w:ascii="Verdana" w:hAnsi="Verdana" w:cs="Calibri"/>
                <w:b/>
                <w:bCs/>
                <w:color w:val="000080"/>
                <w:sz w:val="18"/>
                <w:szCs w:val="18"/>
              </w:rPr>
            </w:pPr>
            <w:r w:rsidRPr="00AB2293">
              <w:rPr>
                <w:rFonts w:ascii="Verdana" w:hAnsi="Verdana" w:cs="Arial"/>
                <w:b/>
                <w:bCs/>
                <w:color w:val="000080"/>
                <w:sz w:val="18"/>
                <w:szCs w:val="18"/>
              </w:rPr>
              <w:t>Sentencias</w:t>
            </w:r>
          </w:p>
        </w:tc>
      </w:tr>
      <w:tr w:rsidR="00E33FAE" w:rsidRPr="00AB2293" w:rsidTr="00E33FAE">
        <w:trPr>
          <w:trHeight w:val="300"/>
          <w:jc w:val="center"/>
        </w:trPr>
        <w:tc>
          <w:tcPr>
            <w:tcW w:w="2960" w:type="dxa"/>
            <w:tcBorders>
              <w:top w:val="nil"/>
              <w:left w:val="nil"/>
              <w:bottom w:val="nil"/>
              <w:right w:val="nil"/>
            </w:tcBorders>
            <w:shd w:val="clear" w:color="auto" w:fill="auto"/>
            <w:vAlign w:val="center"/>
            <w:hideMark/>
          </w:tcPr>
          <w:p w:rsidR="00E33FAE" w:rsidRPr="00AB2293" w:rsidRDefault="00E33FAE">
            <w:pPr>
              <w:jc w:val="both"/>
              <w:rPr>
                <w:rFonts w:ascii="Verdana" w:hAnsi="Verdana" w:cs="Calibri"/>
                <w:color w:val="000000"/>
                <w:sz w:val="20"/>
                <w:szCs w:val="20"/>
              </w:rPr>
            </w:pPr>
            <w:r w:rsidRPr="00AB2293">
              <w:rPr>
                <w:rFonts w:ascii="Verdana" w:hAnsi="Verdana" w:cs="Arial"/>
                <w:color w:val="000000"/>
                <w:sz w:val="20"/>
                <w:szCs w:val="20"/>
              </w:rPr>
              <w:t xml:space="preserve">Jdos. de lo Social                              </w:t>
            </w:r>
          </w:p>
        </w:tc>
        <w:tc>
          <w:tcPr>
            <w:tcW w:w="1200" w:type="dxa"/>
            <w:tcBorders>
              <w:top w:val="nil"/>
              <w:left w:val="nil"/>
              <w:bottom w:val="nil"/>
              <w:right w:val="nil"/>
            </w:tcBorders>
            <w:shd w:val="clear" w:color="auto" w:fill="auto"/>
            <w:vAlign w:val="center"/>
            <w:hideMark/>
          </w:tcPr>
          <w:p w:rsidR="00E33FAE" w:rsidRPr="00AB2293" w:rsidRDefault="00E33FAE">
            <w:pPr>
              <w:jc w:val="right"/>
              <w:rPr>
                <w:rFonts w:ascii="Verdana" w:hAnsi="Verdana" w:cs="Calibri"/>
                <w:color w:val="000000"/>
                <w:sz w:val="20"/>
                <w:szCs w:val="20"/>
              </w:rPr>
            </w:pPr>
            <w:r w:rsidRPr="00AB2293">
              <w:rPr>
                <w:rFonts w:ascii="Verdana" w:hAnsi="Verdana" w:cs="Calibri"/>
                <w:color w:val="000000"/>
                <w:sz w:val="20"/>
                <w:szCs w:val="20"/>
              </w:rPr>
              <w:t>156.390</w:t>
            </w:r>
          </w:p>
        </w:tc>
      </w:tr>
      <w:tr w:rsidR="00E33FAE" w:rsidRPr="00AB2293" w:rsidTr="00E33FAE">
        <w:trPr>
          <w:trHeight w:val="405"/>
          <w:jc w:val="center"/>
        </w:trPr>
        <w:tc>
          <w:tcPr>
            <w:tcW w:w="2960" w:type="dxa"/>
            <w:tcBorders>
              <w:top w:val="nil"/>
              <w:left w:val="nil"/>
              <w:bottom w:val="nil"/>
              <w:right w:val="nil"/>
            </w:tcBorders>
            <w:shd w:val="clear" w:color="auto" w:fill="auto"/>
            <w:vAlign w:val="center"/>
            <w:hideMark/>
          </w:tcPr>
          <w:p w:rsidR="00E33FAE" w:rsidRPr="00AB2293" w:rsidRDefault="00E33FAE">
            <w:pPr>
              <w:jc w:val="both"/>
              <w:rPr>
                <w:rFonts w:ascii="Verdana" w:hAnsi="Verdana" w:cs="Calibri"/>
                <w:color w:val="000000"/>
                <w:sz w:val="20"/>
                <w:szCs w:val="20"/>
              </w:rPr>
            </w:pPr>
            <w:r w:rsidRPr="00AB2293">
              <w:rPr>
                <w:rFonts w:ascii="Verdana" w:hAnsi="Verdana" w:cs="Arial"/>
                <w:color w:val="000000"/>
                <w:sz w:val="20"/>
                <w:szCs w:val="20"/>
              </w:rPr>
              <w:t xml:space="preserve">T.S.J. Sala Social         </w:t>
            </w:r>
          </w:p>
        </w:tc>
        <w:tc>
          <w:tcPr>
            <w:tcW w:w="1200" w:type="dxa"/>
            <w:tcBorders>
              <w:top w:val="nil"/>
              <w:left w:val="nil"/>
              <w:bottom w:val="nil"/>
              <w:right w:val="nil"/>
            </w:tcBorders>
            <w:shd w:val="clear" w:color="auto" w:fill="auto"/>
            <w:vAlign w:val="center"/>
            <w:hideMark/>
          </w:tcPr>
          <w:p w:rsidR="00E33FAE" w:rsidRPr="00AB2293" w:rsidRDefault="00E33FAE">
            <w:pPr>
              <w:jc w:val="right"/>
              <w:rPr>
                <w:rFonts w:ascii="Verdana" w:hAnsi="Verdana" w:cs="Calibri"/>
                <w:color w:val="000000"/>
                <w:sz w:val="20"/>
                <w:szCs w:val="20"/>
              </w:rPr>
            </w:pPr>
            <w:r w:rsidRPr="00AB2293">
              <w:rPr>
                <w:rFonts w:ascii="Verdana" w:hAnsi="Verdana" w:cs="Calibri"/>
                <w:color w:val="000000"/>
                <w:sz w:val="20"/>
                <w:szCs w:val="20"/>
              </w:rPr>
              <w:t>50.457</w:t>
            </w:r>
          </w:p>
        </w:tc>
      </w:tr>
      <w:tr w:rsidR="00E33FAE" w:rsidRPr="00AB2293" w:rsidTr="00E33FAE">
        <w:trPr>
          <w:trHeight w:val="315"/>
          <w:jc w:val="center"/>
        </w:trPr>
        <w:tc>
          <w:tcPr>
            <w:tcW w:w="2960" w:type="dxa"/>
            <w:tcBorders>
              <w:top w:val="nil"/>
              <w:left w:val="nil"/>
              <w:bottom w:val="nil"/>
              <w:right w:val="nil"/>
            </w:tcBorders>
            <w:shd w:val="clear" w:color="auto" w:fill="auto"/>
            <w:vAlign w:val="center"/>
            <w:hideMark/>
          </w:tcPr>
          <w:p w:rsidR="00E33FAE" w:rsidRPr="00AB2293" w:rsidRDefault="00E33FAE">
            <w:pPr>
              <w:jc w:val="both"/>
              <w:rPr>
                <w:rFonts w:ascii="Verdana" w:hAnsi="Verdana" w:cs="Calibri"/>
                <w:color w:val="000000"/>
                <w:sz w:val="20"/>
                <w:szCs w:val="20"/>
              </w:rPr>
            </w:pPr>
            <w:r w:rsidRPr="00AB2293">
              <w:rPr>
                <w:rFonts w:ascii="Verdana" w:hAnsi="Verdana" w:cs="Arial"/>
                <w:color w:val="000000"/>
                <w:sz w:val="20"/>
                <w:szCs w:val="20"/>
              </w:rPr>
              <w:t xml:space="preserve">A.N. Sala Social           </w:t>
            </w:r>
          </w:p>
        </w:tc>
        <w:tc>
          <w:tcPr>
            <w:tcW w:w="1200" w:type="dxa"/>
            <w:tcBorders>
              <w:top w:val="nil"/>
              <w:left w:val="nil"/>
              <w:bottom w:val="nil"/>
              <w:right w:val="nil"/>
            </w:tcBorders>
            <w:shd w:val="clear" w:color="auto" w:fill="auto"/>
            <w:vAlign w:val="center"/>
            <w:hideMark/>
          </w:tcPr>
          <w:p w:rsidR="00E33FAE" w:rsidRPr="00AB2293" w:rsidRDefault="00E33FAE">
            <w:pPr>
              <w:jc w:val="right"/>
              <w:rPr>
                <w:rFonts w:ascii="Verdana" w:hAnsi="Verdana" w:cs="Calibri"/>
                <w:color w:val="000000"/>
                <w:sz w:val="20"/>
                <w:szCs w:val="20"/>
              </w:rPr>
            </w:pPr>
            <w:r w:rsidRPr="00AB2293">
              <w:rPr>
                <w:rFonts w:ascii="Verdana" w:hAnsi="Verdana" w:cs="Calibri"/>
                <w:color w:val="000000"/>
                <w:sz w:val="20"/>
                <w:szCs w:val="20"/>
              </w:rPr>
              <w:t>188</w:t>
            </w:r>
          </w:p>
        </w:tc>
      </w:tr>
      <w:tr w:rsidR="00E33FAE" w:rsidRPr="00AB2293" w:rsidTr="00E33FAE">
        <w:trPr>
          <w:trHeight w:val="330"/>
          <w:jc w:val="center"/>
        </w:trPr>
        <w:tc>
          <w:tcPr>
            <w:tcW w:w="2960" w:type="dxa"/>
            <w:tcBorders>
              <w:top w:val="nil"/>
              <w:left w:val="nil"/>
              <w:bottom w:val="nil"/>
              <w:right w:val="nil"/>
            </w:tcBorders>
            <w:shd w:val="clear" w:color="auto" w:fill="auto"/>
            <w:vAlign w:val="center"/>
            <w:hideMark/>
          </w:tcPr>
          <w:p w:rsidR="00E33FAE" w:rsidRPr="00AB2293" w:rsidRDefault="00E33FAE">
            <w:pPr>
              <w:jc w:val="both"/>
              <w:rPr>
                <w:rFonts w:ascii="Verdana" w:hAnsi="Verdana" w:cs="Calibri"/>
                <w:color w:val="000000"/>
                <w:sz w:val="20"/>
                <w:szCs w:val="20"/>
              </w:rPr>
            </w:pPr>
            <w:r w:rsidRPr="00AB2293">
              <w:rPr>
                <w:rFonts w:ascii="Verdana" w:hAnsi="Verdana" w:cs="Arial"/>
                <w:color w:val="000000"/>
                <w:sz w:val="20"/>
                <w:szCs w:val="20"/>
              </w:rPr>
              <w:t xml:space="preserve">Tribunal Supremo: Sala 4ª  </w:t>
            </w:r>
          </w:p>
        </w:tc>
        <w:tc>
          <w:tcPr>
            <w:tcW w:w="1200" w:type="dxa"/>
            <w:tcBorders>
              <w:top w:val="nil"/>
              <w:left w:val="nil"/>
              <w:bottom w:val="nil"/>
              <w:right w:val="nil"/>
            </w:tcBorders>
            <w:shd w:val="clear" w:color="auto" w:fill="auto"/>
            <w:vAlign w:val="center"/>
            <w:hideMark/>
          </w:tcPr>
          <w:p w:rsidR="00E33FAE" w:rsidRPr="00AB2293" w:rsidRDefault="00E33FAE">
            <w:pPr>
              <w:jc w:val="right"/>
              <w:rPr>
                <w:rFonts w:ascii="Verdana" w:hAnsi="Verdana" w:cs="Calibri"/>
                <w:color w:val="000000"/>
                <w:sz w:val="20"/>
                <w:szCs w:val="20"/>
              </w:rPr>
            </w:pPr>
            <w:r w:rsidRPr="00AB2293">
              <w:rPr>
                <w:rFonts w:ascii="Verdana" w:hAnsi="Verdana" w:cs="Calibri"/>
                <w:color w:val="000000"/>
                <w:sz w:val="20"/>
                <w:szCs w:val="20"/>
              </w:rPr>
              <w:t>1.071</w:t>
            </w:r>
          </w:p>
        </w:tc>
      </w:tr>
      <w:tr w:rsidR="00E33FAE" w:rsidRPr="00AB2293" w:rsidTr="00E33FAE">
        <w:trPr>
          <w:trHeight w:val="345"/>
          <w:jc w:val="center"/>
        </w:trPr>
        <w:tc>
          <w:tcPr>
            <w:tcW w:w="2960" w:type="dxa"/>
            <w:tcBorders>
              <w:top w:val="single" w:sz="8" w:space="0" w:color="auto"/>
              <w:left w:val="nil"/>
              <w:bottom w:val="single" w:sz="8" w:space="0" w:color="auto"/>
              <w:right w:val="nil"/>
            </w:tcBorders>
            <w:shd w:val="clear" w:color="auto" w:fill="auto"/>
            <w:vAlign w:val="center"/>
            <w:hideMark/>
          </w:tcPr>
          <w:p w:rsidR="00E33FAE" w:rsidRPr="00AB2293" w:rsidRDefault="00E33FAE">
            <w:pPr>
              <w:rPr>
                <w:rFonts w:ascii="Verdana" w:hAnsi="Verdana" w:cs="Calibri"/>
                <w:b/>
                <w:bCs/>
                <w:color w:val="000080"/>
                <w:sz w:val="20"/>
                <w:szCs w:val="20"/>
              </w:rPr>
            </w:pPr>
            <w:r w:rsidRPr="00AB2293">
              <w:rPr>
                <w:rFonts w:ascii="Verdana" w:hAnsi="Verdana" w:cs="Arial"/>
                <w:b/>
                <w:bCs/>
                <w:color w:val="000080"/>
                <w:sz w:val="20"/>
                <w:szCs w:val="20"/>
              </w:rPr>
              <w:t>TOTAL</w:t>
            </w:r>
          </w:p>
        </w:tc>
        <w:tc>
          <w:tcPr>
            <w:tcW w:w="1200" w:type="dxa"/>
            <w:tcBorders>
              <w:top w:val="single" w:sz="8" w:space="0" w:color="auto"/>
              <w:left w:val="nil"/>
              <w:bottom w:val="single" w:sz="8" w:space="0" w:color="auto"/>
              <w:right w:val="nil"/>
            </w:tcBorders>
            <w:shd w:val="clear" w:color="auto" w:fill="auto"/>
            <w:vAlign w:val="center"/>
            <w:hideMark/>
          </w:tcPr>
          <w:p w:rsidR="00E33FAE" w:rsidRPr="00AB2293" w:rsidRDefault="00E33FAE">
            <w:pPr>
              <w:jc w:val="right"/>
              <w:rPr>
                <w:rFonts w:ascii="Verdana" w:hAnsi="Verdana" w:cs="Calibri"/>
                <w:b/>
                <w:bCs/>
                <w:color w:val="000000"/>
                <w:sz w:val="20"/>
                <w:szCs w:val="20"/>
              </w:rPr>
            </w:pPr>
            <w:r w:rsidRPr="00AB2293">
              <w:rPr>
                <w:rFonts w:ascii="Verdana" w:hAnsi="Verdana" w:cs="Calibri"/>
                <w:b/>
                <w:bCs/>
                <w:color w:val="000000"/>
                <w:sz w:val="20"/>
                <w:szCs w:val="20"/>
              </w:rPr>
              <w:t>208.106</w:t>
            </w:r>
          </w:p>
        </w:tc>
      </w:tr>
    </w:tbl>
    <w:p w:rsidR="0072530D" w:rsidRPr="00AB2293" w:rsidRDefault="0072530D">
      <w:pPr>
        <w:pStyle w:val="Textoindependiente"/>
        <w:spacing w:before="120" w:after="120"/>
        <w:ind w:firstLine="357"/>
        <w:rPr>
          <w:rFonts w:ascii="Verdana" w:hAnsi="Verdana"/>
          <w:sz w:val="20"/>
        </w:rPr>
      </w:pPr>
    </w:p>
    <w:p w:rsidR="008A602B" w:rsidRPr="00AB2293" w:rsidRDefault="008A602B">
      <w:pPr>
        <w:pStyle w:val="Textoindependiente"/>
        <w:spacing w:before="120" w:after="120"/>
        <w:ind w:firstLine="357"/>
        <w:rPr>
          <w:rFonts w:ascii="Verdana" w:hAnsi="Verdana"/>
          <w:sz w:val="20"/>
        </w:rPr>
      </w:pPr>
      <w:r w:rsidRPr="00AB2293">
        <w:rPr>
          <w:rFonts w:ascii="Verdana" w:hAnsi="Verdana"/>
          <w:sz w:val="20"/>
        </w:rPr>
        <w:t>La evolución en los últimos años  la muestra el siguiente gráfico:</w:t>
      </w:r>
    </w:p>
    <w:p w:rsidR="008A602B" w:rsidRPr="00AB2293" w:rsidRDefault="00C25DB3">
      <w:pPr>
        <w:pStyle w:val="Textoindependiente"/>
        <w:spacing w:before="120" w:after="120"/>
        <w:ind w:firstLine="357"/>
        <w:rPr>
          <w:rFonts w:ascii="Verdana" w:hAnsi="Verdana"/>
        </w:rPr>
      </w:pPr>
      <w:r w:rsidRPr="00AB2293">
        <w:rPr>
          <w:noProof/>
        </w:rPr>
        <w:lastRenderedPageBreak/>
        <w:drawing>
          <wp:inline distT="0" distB="0" distL="0" distR="0" wp14:anchorId="29B0719C" wp14:editId="71034483">
            <wp:extent cx="5153025" cy="3333750"/>
            <wp:effectExtent l="0" t="0" r="9525" b="19050"/>
            <wp:docPr id="1076" name="Gráfico 10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8443D" w:rsidRPr="00AB2293" w:rsidRDefault="00B8443D" w:rsidP="00B8443D">
      <w:pPr>
        <w:pStyle w:val="Textoindependiente"/>
        <w:spacing w:before="120" w:after="120"/>
        <w:ind w:firstLine="357"/>
        <w:rPr>
          <w:rFonts w:ascii="Verdana" w:hAnsi="Verdana"/>
          <w:sz w:val="20"/>
        </w:rPr>
      </w:pPr>
      <w:r w:rsidRPr="00AB2293">
        <w:rPr>
          <w:rFonts w:ascii="Verdana" w:hAnsi="Verdana"/>
          <w:sz w:val="20"/>
        </w:rPr>
        <w:t xml:space="preserve">El número de sentencias ha </w:t>
      </w:r>
      <w:r w:rsidR="009D53CD" w:rsidRPr="00AB2293">
        <w:rPr>
          <w:rFonts w:ascii="Verdana" w:hAnsi="Verdana"/>
          <w:sz w:val="20"/>
        </w:rPr>
        <w:t xml:space="preserve">disminuido un </w:t>
      </w:r>
      <w:r w:rsidR="00E33FAE" w:rsidRPr="00AB2293">
        <w:rPr>
          <w:rFonts w:ascii="Verdana" w:hAnsi="Verdana"/>
          <w:sz w:val="20"/>
        </w:rPr>
        <w:t>2</w:t>
      </w:r>
      <w:r w:rsidR="009D53CD" w:rsidRPr="00AB2293">
        <w:rPr>
          <w:rFonts w:ascii="Verdana" w:hAnsi="Verdana"/>
          <w:sz w:val="20"/>
        </w:rPr>
        <w:t>,8</w:t>
      </w:r>
      <w:r w:rsidRPr="00AB2293">
        <w:rPr>
          <w:rFonts w:ascii="Verdana" w:hAnsi="Verdana"/>
          <w:sz w:val="20"/>
        </w:rPr>
        <w:t xml:space="preserve">%  en los </w:t>
      </w:r>
      <w:r w:rsidR="009E6C91" w:rsidRPr="00AB2293">
        <w:rPr>
          <w:rFonts w:ascii="Verdana" w:hAnsi="Verdana"/>
          <w:sz w:val="20"/>
        </w:rPr>
        <w:t>j</w:t>
      </w:r>
      <w:r w:rsidRPr="00AB2293">
        <w:rPr>
          <w:rFonts w:ascii="Verdana" w:hAnsi="Verdana"/>
          <w:sz w:val="20"/>
        </w:rPr>
        <w:t>u</w:t>
      </w:r>
      <w:r w:rsidR="009E6C91" w:rsidRPr="00AB2293">
        <w:rPr>
          <w:rFonts w:ascii="Verdana" w:hAnsi="Verdana"/>
          <w:sz w:val="20"/>
        </w:rPr>
        <w:t>zgados de lo s</w:t>
      </w:r>
      <w:r w:rsidR="00E33FAE" w:rsidRPr="00AB2293">
        <w:rPr>
          <w:rFonts w:ascii="Verdana" w:hAnsi="Verdana"/>
          <w:sz w:val="20"/>
        </w:rPr>
        <w:t>ocial y un 6</w:t>
      </w:r>
      <w:r w:rsidRPr="00AB2293">
        <w:rPr>
          <w:rFonts w:ascii="Verdana" w:hAnsi="Verdana"/>
          <w:sz w:val="20"/>
        </w:rPr>
        <w:t>% en  la Sala</w:t>
      </w:r>
      <w:r w:rsidR="00B81A45" w:rsidRPr="00AB2293">
        <w:rPr>
          <w:rFonts w:ascii="Verdana" w:hAnsi="Verdana"/>
          <w:sz w:val="20"/>
        </w:rPr>
        <w:t xml:space="preserve"> </w:t>
      </w:r>
      <w:r w:rsidR="009E6C91" w:rsidRPr="00AB2293">
        <w:rPr>
          <w:rFonts w:ascii="Verdana" w:hAnsi="Verdana"/>
          <w:sz w:val="20"/>
        </w:rPr>
        <w:t xml:space="preserve">de lo Social </w:t>
      </w:r>
      <w:r w:rsidR="00B81A45" w:rsidRPr="00AB2293">
        <w:rPr>
          <w:rFonts w:ascii="Verdana" w:hAnsi="Verdana"/>
          <w:sz w:val="20"/>
        </w:rPr>
        <w:t>d</w:t>
      </w:r>
      <w:r w:rsidR="00F239B7" w:rsidRPr="00AB2293">
        <w:rPr>
          <w:rFonts w:ascii="Verdana" w:hAnsi="Verdana"/>
          <w:sz w:val="20"/>
        </w:rPr>
        <w:t>e la Audiencia Nacional</w:t>
      </w:r>
      <w:r w:rsidR="00B81A45" w:rsidRPr="00AB2293">
        <w:rPr>
          <w:rFonts w:ascii="Verdana" w:hAnsi="Verdana"/>
          <w:sz w:val="20"/>
        </w:rPr>
        <w:t>, mientras q</w:t>
      </w:r>
      <w:r w:rsidR="009E6C91" w:rsidRPr="00AB2293">
        <w:rPr>
          <w:rFonts w:ascii="Verdana" w:hAnsi="Verdana"/>
          <w:sz w:val="20"/>
        </w:rPr>
        <w:t xml:space="preserve">ue ha </w:t>
      </w:r>
      <w:r w:rsidR="009D53CD" w:rsidRPr="00AB2293">
        <w:rPr>
          <w:rFonts w:ascii="Verdana" w:hAnsi="Verdana"/>
          <w:sz w:val="20"/>
        </w:rPr>
        <w:t xml:space="preserve">aumentado </w:t>
      </w:r>
      <w:r w:rsidR="00C67D4E" w:rsidRPr="00AB2293">
        <w:rPr>
          <w:rFonts w:ascii="Verdana" w:hAnsi="Verdana"/>
          <w:sz w:val="20"/>
        </w:rPr>
        <w:t xml:space="preserve"> un </w:t>
      </w:r>
      <w:r w:rsidR="00E33FAE" w:rsidRPr="00AB2293">
        <w:rPr>
          <w:rFonts w:ascii="Verdana" w:hAnsi="Verdana"/>
          <w:sz w:val="20"/>
        </w:rPr>
        <w:t>1</w:t>
      </w:r>
      <w:r w:rsidR="009E6C91" w:rsidRPr="00AB2293">
        <w:rPr>
          <w:rFonts w:ascii="Verdana" w:hAnsi="Verdana"/>
          <w:sz w:val="20"/>
        </w:rPr>
        <w:t>,</w:t>
      </w:r>
      <w:r w:rsidR="009D53CD" w:rsidRPr="00AB2293">
        <w:rPr>
          <w:rFonts w:ascii="Verdana" w:hAnsi="Verdana"/>
          <w:sz w:val="20"/>
        </w:rPr>
        <w:t>7</w:t>
      </w:r>
      <w:r w:rsidR="009E6C91" w:rsidRPr="00AB2293">
        <w:rPr>
          <w:rFonts w:ascii="Verdana" w:hAnsi="Verdana"/>
          <w:sz w:val="20"/>
        </w:rPr>
        <w:t>% en las s</w:t>
      </w:r>
      <w:r w:rsidR="00B81A45" w:rsidRPr="00AB2293">
        <w:rPr>
          <w:rFonts w:ascii="Verdana" w:hAnsi="Verdana"/>
          <w:sz w:val="20"/>
        </w:rPr>
        <w:t>alas</w:t>
      </w:r>
      <w:r w:rsidR="009E6C91" w:rsidRPr="00AB2293">
        <w:rPr>
          <w:rFonts w:ascii="Verdana" w:hAnsi="Verdana"/>
          <w:sz w:val="20"/>
        </w:rPr>
        <w:t xml:space="preserve"> de lo social de los tribunales superiores de justicia</w:t>
      </w:r>
      <w:r w:rsidR="00F239B7" w:rsidRPr="00AB2293">
        <w:rPr>
          <w:rFonts w:ascii="Verdana" w:hAnsi="Verdana"/>
          <w:sz w:val="20"/>
        </w:rPr>
        <w:t xml:space="preserve"> y el </w:t>
      </w:r>
      <w:r w:rsidR="00E33FAE" w:rsidRPr="00AB2293">
        <w:rPr>
          <w:rFonts w:ascii="Verdana" w:hAnsi="Verdana"/>
          <w:sz w:val="20"/>
        </w:rPr>
        <w:t>19</w:t>
      </w:r>
      <w:r w:rsidR="00F239B7" w:rsidRPr="00AB2293">
        <w:rPr>
          <w:rFonts w:ascii="Verdana" w:hAnsi="Verdana"/>
          <w:sz w:val="20"/>
        </w:rPr>
        <w:t>,</w:t>
      </w:r>
      <w:r w:rsidR="00E33FAE" w:rsidRPr="00AB2293">
        <w:rPr>
          <w:rFonts w:ascii="Verdana" w:hAnsi="Verdana"/>
          <w:sz w:val="20"/>
        </w:rPr>
        <w:t>8</w:t>
      </w:r>
      <w:r w:rsidR="00F239B7" w:rsidRPr="00AB2293">
        <w:rPr>
          <w:rFonts w:ascii="Verdana" w:hAnsi="Verdana"/>
          <w:sz w:val="20"/>
        </w:rPr>
        <w:t>% en la Sala de lo Social del Tribunal Supremo</w:t>
      </w:r>
      <w:r w:rsidRPr="00AB2293">
        <w:rPr>
          <w:rFonts w:ascii="Verdana" w:hAnsi="Verdana"/>
          <w:sz w:val="20"/>
        </w:rPr>
        <w:t xml:space="preserve">.  </w:t>
      </w:r>
    </w:p>
    <w:p w:rsidR="006D7731" w:rsidRPr="00AB2293" w:rsidRDefault="006D7731" w:rsidP="00B8443D">
      <w:pPr>
        <w:pStyle w:val="Textoindependiente"/>
        <w:spacing w:before="120" w:after="120"/>
        <w:ind w:firstLine="357"/>
        <w:rPr>
          <w:rFonts w:ascii="Verdana" w:hAnsi="Verdana"/>
          <w:sz w:val="20"/>
        </w:rPr>
      </w:pPr>
      <w:r w:rsidRPr="00AB2293">
        <w:rPr>
          <w:rFonts w:ascii="Verdana" w:hAnsi="Verdana"/>
          <w:sz w:val="20"/>
        </w:rPr>
        <w:t>Respecto al sentido de las sentencias, en los juzgados de lo social, el 6</w:t>
      </w:r>
      <w:r w:rsidR="008B677C" w:rsidRPr="00AB2293">
        <w:rPr>
          <w:rFonts w:ascii="Verdana" w:hAnsi="Verdana"/>
          <w:sz w:val="20"/>
        </w:rPr>
        <w:t>1</w:t>
      </w:r>
      <w:r w:rsidRPr="00AB2293">
        <w:rPr>
          <w:rFonts w:ascii="Verdana" w:hAnsi="Verdana"/>
          <w:sz w:val="20"/>
        </w:rPr>
        <w:t>,</w:t>
      </w:r>
      <w:r w:rsidR="002470BF" w:rsidRPr="00AB2293">
        <w:rPr>
          <w:rFonts w:ascii="Verdana" w:hAnsi="Verdana"/>
          <w:sz w:val="20"/>
        </w:rPr>
        <w:t>6</w:t>
      </w:r>
      <w:r w:rsidRPr="00AB2293">
        <w:rPr>
          <w:rFonts w:ascii="Verdana" w:hAnsi="Verdana"/>
          <w:sz w:val="20"/>
        </w:rPr>
        <w:t xml:space="preserve">% han sido estimatorias, con el siguiente </w:t>
      </w:r>
      <w:r w:rsidR="00F239B7" w:rsidRPr="00AB2293">
        <w:rPr>
          <w:rFonts w:ascii="Verdana" w:hAnsi="Verdana"/>
          <w:sz w:val="20"/>
        </w:rPr>
        <w:t xml:space="preserve">detalle </w:t>
      </w:r>
      <w:r w:rsidRPr="00AB2293">
        <w:rPr>
          <w:rFonts w:ascii="Verdana" w:hAnsi="Verdana"/>
          <w:sz w:val="20"/>
        </w:rPr>
        <w:t xml:space="preserve">por materias: </w:t>
      </w:r>
    </w:p>
    <w:tbl>
      <w:tblPr>
        <w:tblW w:w="9636" w:type="dxa"/>
        <w:jc w:val="center"/>
        <w:tblInd w:w="1895" w:type="dxa"/>
        <w:tblCellMar>
          <w:left w:w="70" w:type="dxa"/>
          <w:right w:w="70" w:type="dxa"/>
        </w:tblCellMar>
        <w:tblLook w:val="04A0" w:firstRow="1" w:lastRow="0" w:firstColumn="1" w:lastColumn="0" w:noHBand="0" w:noVBand="1"/>
      </w:tblPr>
      <w:tblGrid>
        <w:gridCol w:w="6860"/>
        <w:gridCol w:w="1202"/>
        <w:gridCol w:w="1574"/>
      </w:tblGrid>
      <w:tr w:rsidR="002470BF" w:rsidTr="002470BF">
        <w:trPr>
          <w:trHeight w:val="465"/>
          <w:jc w:val="center"/>
        </w:trPr>
        <w:tc>
          <w:tcPr>
            <w:tcW w:w="6860" w:type="dxa"/>
            <w:tcBorders>
              <w:top w:val="nil"/>
              <w:left w:val="nil"/>
              <w:bottom w:val="nil"/>
              <w:right w:val="nil"/>
            </w:tcBorders>
            <w:shd w:val="clear" w:color="auto" w:fill="auto"/>
            <w:noWrap/>
            <w:vAlign w:val="bottom"/>
            <w:hideMark/>
          </w:tcPr>
          <w:p w:rsidR="002470BF" w:rsidRDefault="002470BF">
            <w:pPr>
              <w:rPr>
                <w:color w:val="000000"/>
                <w:sz w:val="20"/>
                <w:szCs w:val="20"/>
              </w:rPr>
            </w:pPr>
          </w:p>
        </w:tc>
        <w:tc>
          <w:tcPr>
            <w:tcW w:w="1202" w:type="dxa"/>
            <w:tcBorders>
              <w:top w:val="single" w:sz="8" w:space="0" w:color="auto"/>
              <w:left w:val="nil"/>
              <w:bottom w:val="single" w:sz="8" w:space="0" w:color="auto"/>
              <w:right w:val="nil"/>
            </w:tcBorders>
            <w:shd w:val="clear" w:color="auto" w:fill="auto"/>
            <w:vAlign w:val="center"/>
            <w:hideMark/>
          </w:tcPr>
          <w:p w:rsidR="002470BF" w:rsidRDefault="002470BF">
            <w:pPr>
              <w:jc w:val="center"/>
              <w:rPr>
                <w:rFonts w:ascii="Verdana" w:hAnsi="Verdana" w:cs="Calibri"/>
                <w:b/>
                <w:bCs/>
                <w:color w:val="16365C"/>
                <w:sz w:val="18"/>
                <w:szCs w:val="18"/>
              </w:rPr>
            </w:pPr>
            <w:r>
              <w:rPr>
                <w:rFonts w:ascii="Verdana" w:hAnsi="Verdana" w:cs="Calibri"/>
                <w:b/>
                <w:bCs/>
                <w:color w:val="16365C"/>
                <w:sz w:val="18"/>
                <w:szCs w:val="18"/>
              </w:rPr>
              <w:t>Estimando</w:t>
            </w:r>
          </w:p>
        </w:tc>
        <w:tc>
          <w:tcPr>
            <w:tcW w:w="1574" w:type="dxa"/>
            <w:tcBorders>
              <w:top w:val="single" w:sz="8" w:space="0" w:color="auto"/>
              <w:left w:val="nil"/>
              <w:bottom w:val="single" w:sz="8" w:space="0" w:color="auto"/>
              <w:right w:val="nil"/>
            </w:tcBorders>
            <w:shd w:val="clear" w:color="auto" w:fill="auto"/>
            <w:vAlign w:val="center"/>
            <w:hideMark/>
          </w:tcPr>
          <w:p w:rsidR="002470BF" w:rsidRDefault="002470BF">
            <w:pPr>
              <w:jc w:val="center"/>
              <w:rPr>
                <w:rFonts w:ascii="Verdana" w:hAnsi="Verdana" w:cs="Calibri"/>
                <w:b/>
                <w:bCs/>
                <w:color w:val="16365C"/>
                <w:sz w:val="18"/>
                <w:szCs w:val="18"/>
              </w:rPr>
            </w:pPr>
            <w:r>
              <w:rPr>
                <w:rFonts w:ascii="Verdana" w:hAnsi="Verdana" w:cs="Calibri"/>
                <w:b/>
                <w:bCs/>
                <w:color w:val="16365C"/>
                <w:sz w:val="18"/>
                <w:szCs w:val="18"/>
              </w:rPr>
              <w:t>Desestimando</w:t>
            </w:r>
          </w:p>
        </w:tc>
      </w:tr>
      <w:tr w:rsidR="002470BF" w:rsidTr="002470BF">
        <w:trPr>
          <w:trHeight w:val="300"/>
          <w:jc w:val="center"/>
        </w:trPr>
        <w:tc>
          <w:tcPr>
            <w:tcW w:w="6860" w:type="dxa"/>
            <w:tcBorders>
              <w:top w:val="single" w:sz="8" w:space="0" w:color="auto"/>
              <w:left w:val="nil"/>
              <w:bottom w:val="nil"/>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Conflictos colectivos</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47,6%</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52,4%</w:t>
            </w:r>
          </w:p>
        </w:tc>
      </w:tr>
      <w:tr w:rsidR="002470BF" w:rsidTr="002470BF">
        <w:trPr>
          <w:trHeight w:val="300"/>
          <w:jc w:val="center"/>
        </w:trPr>
        <w:tc>
          <w:tcPr>
            <w:tcW w:w="6860" w:type="dxa"/>
            <w:tcBorders>
              <w:top w:val="nil"/>
              <w:left w:val="nil"/>
              <w:bottom w:val="nil"/>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Despidos</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78,2%</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21,8%</w:t>
            </w:r>
          </w:p>
        </w:tc>
      </w:tr>
      <w:tr w:rsidR="002470BF" w:rsidTr="002470BF">
        <w:trPr>
          <w:trHeight w:val="300"/>
          <w:jc w:val="center"/>
        </w:trPr>
        <w:tc>
          <w:tcPr>
            <w:tcW w:w="6860" w:type="dxa"/>
            <w:tcBorders>
              <w:top w:val="nil"/>
              <w:left w:val="nil"/>
              <w:bottom w:val="nil"/>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Cantidades</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79,8%</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20,2%</w:t>
            </w:r>
          </w:p>
        </w:tc>
      </w:tr>
      <w:tr w:rsidR="002470BF" w:rsidTr="002470BF">
        <w:trPr>
          <w:trHeight w:val="300"/>
          <w:jc w:val="center"/>
        </w:trPr>
        <w:tc>
          <w:tcPr>
            <w:tcW w:w="6860" w:type="dxa"/>
            <w:tcBorders>
              <w:top w:val="nil"/>
              <w:left w:val="nil"/>
              <w:bottom w:val="nil"/>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Seguridad Social</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40,3%</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59,7%</w:t>
            </w:r>
          </w:p>
        </w:tc>
      </w:tr>
      <w:tr w:rsidR="002470BF" w:rsidTr="002470BF">
        <w:trPr>
          <w:trHeight w:val="510"/>
          <w:jc w:val="center"/>
        </w:trPr>
        <w:tc>
          <w:tcPr>
            <w:tcW w:w="6860" w:type="dxa"/>
            <w:tcBorders>
              <w:top w:val="nil"/>
              <w:left w:val="nil"/>
              <w:bottom w:val="nil"/>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Accidentes de trabajo, enfermedades profesionales y prevención de riesgos laborales</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41,6%</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58,4%</w:t>
            </w:r>
          </w:p>
        </w:tc>
      </w:tr>
      <w:tr w:rsidR="002470BF" w:rsidTr="002470BF">
        <w:trPr>
          <w:trHeight w:val="300"/>
          <w:jc w:val="center"/>
        </w:trPr>
        <w:tc>
          <w:tcPr>
            <w:tcW w:w="6860" w:type="dxa"/>
            <w:tcBorders>
              <w:top w:val="nil"/>
              <w:left w:val="nil"/>
              <w:bottom w:val="nil"/>
              <w:right w:val="nil"/>
            </w:tcBorders>
            <w:shd w:val="clear" w:color="auto" w:fill="auto"/>
            <w:vAlign w:val="center"/>
            <w:hideMark/>
          </w:tcPr>
          <w:p w:rsidR="002470BF" w:rsidRDefault="002470BF">
            <w:pPr>
              <w:rPr>
                <w:rFonts w:ascii="Calibri" w:hAnsi="Calibri" w:cs="Calibri"/>
                <w:color w:val="000000"/>
                <w:sz w:val="22"/>
                <w:szCs w:val="22"/>
              </w:rPr>
            </w:pPr>
            <w:r>
              <w:rPr>
                <w:rFonts w:ascii="Calibri" w:hAnsi="Calibri" w:cs="Calibri"/>
                <w:color w:val="000000"/>
                <w:sz w:val="22"/>
                <w:szCs w:val="22"/>
              </w:rPr>
              <w:t xml:space="preserve">Movilidad </w:t>
            </w:r>
            <w:r w:rsidR="00DE0D53">
              <w:rPr>
                <w:rFonts w:ascii="Calibri" w:hAnsi="Calibri" w:cs="Calibri"/>
                <w:color w:val="000000"/>
                <w:sz w:val="22"/>
                <w:szCs w:val="22"/>
              </w:rPr>
              <w:t>geográfica</w:t>
            </w:r>
            <w:r>
              <w:rPr>
                <w:rFonts w:ascii="Calibri" w:hAnsi="Calibri" w:cs="Calibri"/>
                <w:color w:val="000000"/>
                <w:sz w:val="22"/>
                <w:szCs w:val="22"/>
              </w:rPr>
              <w:t xml:space="preserve"> y modificaciones sustanciales condiciones trabajo</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52,6%</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47,4%</w:t>
            </w:r>
          </w:p>
        </w:tc>
      </w:tr>
      <w:tr w:rsidR="002470BF" w:rsidTr="002470BF">
        <w:trPr>
          <w:trHeight w:val="600"/>
          <w:jc w:val="center"/>
        </w:trPr>
        <w:tc>
          <w:tcPr>
            <w:tcW w:w="6860" w:type="dxa"/>
            <w:tcBorders>
              <w:top w:val="nil"/>
              <w:left w:val="nil"/>
              <w:bottom w:val="nil"/>
              <w:right w:val="nil"/>
            </w:tcBorders>
            <w:shd w:val="clear" w:color="auto" w:fill="auto"/>
            <w:vAlign w:val="center"/>
            <w:hideMark/>
          </w:tcPr>
          <w:p w:rsidR="002470BF" w:rsidRDefault="002470BF">
            <w:pPr>
              <w:rPr>
                <w:rFonts w:ascii="Calibri" w:hAnsi="Calibri" w:cs="Calibri"/>
                <w:color w:val="000000"/>
                <w:sz w:val="22"/>
                <w:szCs w:val="22"/>
              </w:rPr>
            </w:pPr>
            <w:r>
              <w:rPr>
                <w:rFonts w:ascii="Calibri" w:hAnsi="Calibri" w:cs="Calibri"/>
                <w:color w:val="000000"/>
                <w:sz w:val="22"/>
                <w:szCs w:val="22"/>
              </w:rPr>
              <w:t>Procedimientos impugnación actos administrativos en materia laboral y Seguridad Social, excluidos los prestacionales</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41,8%</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58,2%</w:t>
            </w:r>
          </w:p>
        </w:tc>
      </w:tr>
      <w:tr w:rsidR="002470BF" w:rsidTr="002470BF">
        <w:trPr>
          <w:trHeight w:val="300"/>
          <w:jc w:val="center"/>
        </w:trPr>
        <w:tc>
          <w:tcPr>
            <w:tcW w:w="6860" w:type="dxa"/>
            <w:tcBorders>
              <w:top w:val="nil"/>
              <w:left w:val="nil"/>
              <w:bottom w:val="nil"/>
              <w:right w:val="nil"/>
            </w:tcBorders>
            <w:shd w:val="clear" w:color="auto" w:fill="auto"/>
            <w:vAlign w:val="center"/>
            <w:hideMark/>
          </w:tcPr>
          <w:p w:rsidR="002470BF" w:rsidRDefault="002470BF">
            <w:pPr>
              <w:rPr>
                <w:rFonts w:ascii="Calibri" w:hAnsi="Calibri" w:cs="Calibri"/>
                <w:color w:val="000000"/>
                <w:sz w:val="22"/>
                <w:szCs w:val="22"/>
              </w:rPr>
            </w:pPr>
            <w:r>
              <w:rPr>
                <w:rFonts w:ascii="Calibri" w:hAnsi="Calibri" w:cs="Calibri"/>
                <w:color w:val="000000"/>
                <w:sz w:val="22"/>
                <w:szCs w:val="22"/>
              </w:rPr>
              <w:t>Derechos fundamentales y libertades publica</w:t>
            </w:r>
          </w:p>
        </w:tc>
        <w:tc>
          <w:tcPr>
            <w:tcW w:w="1202"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37,8%</w:t>
            </w:r>
          </w:p>
        </w:tc>
        <w:tc>
          <w:tcPr>
            <w:tcW w:w="1574" w:type="dxa"/>
            <w:tcBorders>
              <w:top w:val="nil"/>
              <w:left w:val="nil"/>
              <w:bottom w:val="nil"/>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62,2%</w:t>
            </w:r>
          </w:p>
        </w:tc>
      </w:tr>
      <w:tr w:rsidR="002470BF" w:rsidTr="002470BF">
        <w:trPr>
          <w:trHeight w:val="315"/>
          <w:jc w:val="center"/>
        </w:trPr>
        <w:tc>
          <w:tcPr>
            <w:tcW w:w="6860" w:type="dxa"/>
            <w:tcBorders>
              <w:top w:val="nil"/>
              <w:left w:val="nil"/>
              <w:bottom w:val="single" w:sz="8" w:space="0" w:color="auto"/>
              <w:right w:val="nil"/>
            </w:tcBorders>
            <w:shd w:val="clear" w:color="auto" w:fill="auto"/>
            <w:vAlign w:val="center"/>
            <w:hideMark/>
          </w:tcPr>
          <w:p w:rsidR="002470BF" w:rsidRDefault="002470BF">
            <w:pPr>
              <w:rPr>
                <w:rFonts w:ascii="Verdana" w:hAnsi="Verdana" w:cs="Calibri"/>
                <w:color w:val="000000"/>
                <w:sz w:val="20"/>
                <w:szCs w:val="20"/>
              </w:rPr>
            </w:pPr>
            <w:r>
              <w:rPr>
                <w:rFonts w:ascii="Verdana" w:hAnsi="Verdana" w:cs="Calibri"/>
                <w:color w:val="000000"/>
                <w:sz w:val="20"/>
                <w:szCs w:val="20"/>
              </w:rPr>
              <w:t>Materia electoral</w:t>
            </w:r>
          </w:p>
        </w:tc>
        <w:tc>
          <w:tcPr>
            <w:tcW w:w="1202" w:type="dxa"/>
            <w:tcBorders>
              <w:top w:val="nil"/>
              <w:left w:val="nil"/>
              <w:bottom w:val="single" w:sz="8" w:space="0" w:color="auto"/>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22,6%</w:t>
            </w:r>
          </w:p>
        </w:tc>
        <w:tc>
          <w:tcPr>
            <w:tcW w:w="1574" w:type="dxa"/>
            <w:tcBorders>
              <w:top w:val="nil"/>
              <w:left w:val="nil"/>
              <w:bottom w:val="single" w:sz="8" w:space="0" w:color="auto"/>
              <w:right w:val="nil"/>
            </w:tcBorders>
            <w:shd w:val="clear" w:color="auto" w:fill="auto"/>
            <w:vAlign w:val="center"/>
            <w:hideMark/>
          </w:tcPr>
          <w:p w:rsidR="002470BF" w:rsidRDefault="002470BF">
            <w:pPr>
              <w:jc w:val="right"/>
              <w:rPr>
                <w:rFonts w:ascii="Verdana" w:hAnsi="Verdana" w:cs="Calibri"/>
                <w:color w:val="000000"/>
                <w:sz w:val="20"/>
                <w:szCs w:val="20"/>
              </w:rPr>
            </w:pPr>
            <w:r>
              <w:rPr>
                <w:rFonts w:ascii="Verdana" w:hAnsi="Verdana" w:cs="Calibri"/>
                <w:color w:val="000000"/>
                <w:sz w:val="20"/>
                <w:szCs w:val="20"/>
              </w:rPr>
              <w:t>77,4%</w:t>
            </w:r>
          </w:p>
        </w:tc>
      </w:tr>
    </w:tbl>
    <w:p w:rsidR="006D7731" w:rsidRDefault="006D7731" w:rsidP="00B8443D">
      <w:pPr>
        <w:pStyle w:val="Textoindependiente"/>
        <w:spacing w:before="120" w:after="120"/>
        <w:ind w:firstLine="357"/>
        <w:rPr>
          <w:rFonts w:ascii="Verdana" w:hAnsi="Verdana"/>
          <w:sz w:val="20"/>
          <w:highlight w:val="yellow"/>
        </w:rPr>
      </w:pPr>
    </w:p>
    <w:p w:rsidR="006D7731" w:rsidRPr="00AB2293" w:rsidRDefault="006D7731" w:rsidP="00B8443D">
      <w:pPr>
        <w:pStyle w:val="Textoindependiente"/>
        <w:spacing w:before="120" w:after="120"/>
        <w:ind w:firstLine="357"/>
        <w:rPr>
          <w:rFonts w:ascii="Verdana" w:hAnsi="Verdana"/>
          <w:sz w:val="20"/>
        </w:rPr>
      </w:pPr>
      <w:r w:rsidRPr="00AB2293">
        <w:rPr>
          <w:rFonts w:ascii="Verdana" w:hAnsi="Verdana"/>
          <w:sz w:val="20"/>
        </w:rPr>
        <w:t>En las Salas de</w:t>
      </w:r>
      <w:r w:rsidR="007413D4" w:rsidRPr="00AB2293">
        <w:rPr>
          <w:rFonts w:ascii="Verdana" w:hAnsi="Verdana"/>
          <w:sz w:val="20"/>
        </w:rPr>
        <w:t xml:space="preserve"> </w:t>
      </w:r>
      <w:r w:rsidRPr="00AB2293">
        <w:rPr>
          <w:rFonts w:ascii="Verdana" w:hAnsi="Verdana"/>
          <w:sz w:val="20"/>
        </w:rPr>
        <w:t>los Tribunales Superiores de Justicia, el 4</w:t>
      </w:r>
      <w:r w:rsidR="00A561B6" w:rsidRPr="00AB2293">
        <w:rPr>
          <w:rFonts w:ascii="Verdana" w:hAnsi="Verdana"/>
          <w:sz w:val="20"/>
        </w:rPr>
        <w:t>6</w:t>
      </w:r>
      <w:r w:rsidRPr="00AB2293">
        <w:rPr>
          <w:rFonts w:ascii="Verdana" w:hAnsi="Verdana"/>
          <w:sz w:val="20"/>
        </w:rPr>
        <w:t>,</w:t>
      </w:r>
      <w:r w:rsidR="00FE5054" w:rsidRPr="00AB2293">
        <w:rPr>
          <w:rFonts w:ascii="Verdana" w:hAnsi="Verdana"/>
          <w:sz w:val="20"/>
        </w:rPr>
        <w:t>7</w:t>
      </w:r>
      <w:r w:rsidRPr="00AB2293">
        <w:rPr>
          <w:rFonts w:ascii="Verdana" w:hAnsi="Verdana"/>
          <w:sz w:val="20"/>
        </w:rPr>
        <w:t>% de las sentencias en única instancia han sido estimatorias:</w:t>
      </w:r>
    </w:p>
    <w:p w:rsidR="006D7731" w:rsidRPr="00AB2293" w:rsidRDefault="006D7731" w:rsidP="00B8443D">
      <w:pPr>
        <w:pStyle w:val="Textoindependiente"/>
        <w:spacing w:before="120" w:after="120"/>
        <w:ind w:firstLine="357"/>
        <w:rPr>
          <w:rFonts w:ascii="Verdana" w:hAnsi="Verdana"/>
          <w:sz w:val="20"/>
        </w:rPr>
      </w:pPr>
    </w:p>
    <w:tbl>
      <w:tblPr>
        <w:tblW w:w="7600" w:type="dxa"/>
        <w:tblInd w:w="55" w:type="dxa"/>
        <w:tblCellMar>
          <w:left w:w="70" w:type="dxa"/>
          <w:right w:w="70" w:type="dxa"/>
        </w:tblCellMar>
        <w:tblLook w:val="04A0" w:firstRow="1" w:lastRow="0" w:firstColumn="1" w:lastColumn="0" w:noHBand="0" w:noVBand="1"/>
      </w:tblPr>
      <w:tblGrid>
        <w:gridCol w:w="4180"/>
        <w:gridCol w:w="1560"/>
        <w:gridCol w:w="1893"/>
      </w:tblGrid>
      <w:tr w:rsidR="00FE5054" w:rsidRPr="00AB2293" w:rsidTr="00FE5054">
        <w:trPr>
          <w:trHeight w:val="315"/>
        </w:trPr>
        <w:tc>
          <w:tcPr>
            <w:tcW w:w="4180" w:type="dxa"/>
            <w:tcBorders>
              <w:top w:val="nil"/>
              <w:left w:val="nil"/>
              <w:bottom w:val="single" w:sz="8" w:space="0" w:color="auto"/>
              <w:right w:val="nil"/>
            </w:tcBorders>
            <w:shd w:val="clear" w:color="auto" w:fill="auto"/>
            <w:noWrap/>
            <w:vAlign w:val="bottom"/>
            <w:hideMark/>
          </w:tcPr>
          <w:p w:rsidR="00FE5054" w:rsidRPr="00AB2293" w:rsidRDefault="00FE5054">
            <w:pPr>
              <w:rPr>
                <w:color w:val="000000"/>
                <w:sz w:val="20"/>
                <w:szCs w:val="20"/>
              </w:rPr>
            </w:pPr>
            <w:r w:rsidRPr="00AB2293">
              <w:rPr>
                <w:color w:val="000000"/>
                <w:sz w:val="20"/>
                <w:szCs w:val="20"/>
              </w:rPr>
              <w:t> </w:t>
            </w:r>
          </w:p>
        </w:tc>
        <w:tc>
          <w:tcPr>
            <w:tcW w:w="1560" w:type="dxa"/>
            <w:tcBorders>
              <w:top w:val="single" w:sz="8" w:space="0" w:color="auto"/>
              <w:left w:val="nil"/>
              <w:bottom w:val="single" w:sz="8" w:space="0" w:color="auto"/>
              <w:right w:val="nil"/>
            </w:tcBorders>
            <w:shd w:val="clear" w:color="auto" w:fill="auto"/>
            <w:noWrap/>
            <w:vAlign w:val="center"/>
            <w:hideMark/>
          </w:tcPr>
          <w:p w:rsidR="00FE5054" w:rsidRPr="00AB2293" w:rsidRDefault="00FE5054">
            <w:pPr>
              <w:rPr>
                <w:rFonts w:ascii="Verdana" w:hAnsi="Verdana" w:cs="Calibri"/>
                <w:b/>
                <w:bCs/>
                <w:color w:val="000000"/>
                <w:sz w:val="22"/>
                <w:szCs w:val="22"/>
              </w:rPr>
            </w:pPr>
            <w:r w:rsidRPr="00AB2293">
              <w:rPr>
                <w:rFonts w:ascii="Verdana" w:hAnsi="Verdana" w:cs="Calibri"/>
                <w:b/>
                <w:bCs/>
                <w:color w:val="000000"/>
                <w:sz w:val="22"/>
                <w:szCs w:val="22"/>
              </w:rPr>
              <w:t>Estimando</w:t>
            </w:r>
          </w:p>
        </w:tc>
        <w:tc>
          <w:tcPr>
            <w:tcW w:w="1860" w:type="dxa"/>
            <w:tcBorders>
              <w:top w:val="single" w:sz="8" w:space="0" w:color="auto"/>
              <w:left w:val="nil"/>
              <w:bottom w:val="single" w:sz="8" w:space="0" w:color="auto"/>
              <w:right w:val="nil"/>
            </w:tcBorders>
            <w:shd w:val="clear" w:color="auto" w:fill="auto"/>
            <w:noWrap/>
            <w:vAlign w:val="center"/>
            <w:hideMark/>
          </w:tcPr>
          <w:p w:rsidR="00FE5054" w:rsidRPr="00AB2293" w:rsidRDefault="00FE5054">
            <w:pPr>
              <w:rPr>
                <w:rFonts w:ascii="Verdana" w:hAnsi="Verdana" w:cs="Calibri"/>
                <w:b/>
                <w:bCs/>
                <w:color w:val="000000"/>
                <w:sz w:val="22"/>
                <w:szCs w:val="22"/>
              </w:rPr>
            </w:pPr>
            <w:r w:rsidRPr="00AB2293">
              <w:rPr>
                <w:rFonts w:ascii="Verdana" w:hAnsi="Verdana" w:cs="Calibri"/>
                <w:b/>
                <w:bCs/>
                <w:color w:val="000000"/>
                <w:sz w:val="22"/>
                <w:szCs w:val="22"/>
              </w:rPr>
              <w:t>Desestimando</w:t>
            </w:r>
          </w:p>
        </w:tc>
      </w:tr>
      <w:tr w:rsidR="00FE5054" w:rsidRPr="00AB2293" w:rsidTr="00FE5054">
        <w:trPr>
          <w:trHeight w:val="300"/>
        </w:trPr>
        <w:tc>
          <w:tcPr>
            <w:tcW w:w="4180" w:type="dxa"/>
            <w:tcBorders>
              <w:top w:val="nil"/>
              <w:left w:val="nil"/>
              <w:bottom w:val="nil"/>
              <w:right w:val="nil"/>
            </w:tcBorders>
            <w:shd w:val="clear" w:color="auto" w:fill="auto"/>
            <w:noWrap/>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Conflictos Colectivos</w:t>
            </w:r>
          </w:p>
        </w:tc>
        <w:tc>
          <w:tcPr>
            <w:tcW w:w="15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50,7%</w:t>
            </w:r>
          </w:p>
        </w:tc>
        <w:tc>
          <w:tcPr>
            <w:tcW w:w="18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49,3%</w:t>
            </w:r>
          </w:p>
        </w:tc>
      </w:tr>
      <w:tr w:rsidR="00FE5054" w:rsidRPr="00AB2293" w:rsidTr="00FE5054">
        <w:trPr>
          <w:trHeight w:val="300"/>
        </w:trPr>
        <w:tc>
          <w:tcPr>
            <w:tcW w:w="4180" w:type="dxa"/>
            <w:tcBorders>
              <w:top w:val="nil"/>
              <w:left w:val="nil"/>
              <w:bottom w:val="nil"/>
              <w:right w:val="nil"/>
            </w:tcBorders>
            <w:shd w:val="clear" w:color="auto" w:fill="auto"/>
            <w:noWrap/>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Impugnación convenios</w:t>
            </w:r>
          </w:p>
        </w:tc>
        <w:tc>
          <w:tcPr>
            <w:tcW w:w="15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47,4%</w:t>
            </w:r>
          </w:p>
        </w:tc>
        <w:tc>
          <w:tcPr>
            <w:tcW w:w="18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52,6%</w:t>
            </w:r>
          </w:p>
        </w:tc>
      </w:tr>
      <w:tr w:rsidR="00FE5054" w:rsidRPr="00AB2293" w:rsidTr="00FE5054">
        <w:trPr>
          <w:trHeight w:val="300"/>
        </w:trPr>
        <w:tc>
          <w:tcPr>
            <w:tcW w:w="4180" w:type="dxa"/>
            <w:tcBorders>
              <w:top w:val="nil"/>
              <w:left w:val="nil"/>
              <w:bottom w:val="nil"/>
              <w:right w:val="nil"/>
            </w:tcBorders>
            <w:shd w:val="clear" w:color="auto" w:fill="auto"/>
            <w:noWrap/>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Despidos Colectivos</w:t>
            </w:r>
          </w:p>
        </w:tc>
        <w:tc>
          <w:tcPr>
            <w:tcW w:w="15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52,0%</w:t>
            </w:r>
          </w:p>
        </w:tc>
        <w:tc>
          <w:tcPr>
            <w:tcW w:w="18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48,0%</w:t>
            </w:r>
          </w:p>
        </w:tc>
      </w:tr>
      <w:tr w:rsidR="00FE5054" w:rsidRPr="00AB2293" w:rsidTr="00FE5054">
        <w:trPr>
          <w:trHeight w:val="765"/>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Impugnación Resol. Administ. en materia laboral y seguridad social excluidos los prestacionales</w:t>
            </w:r>
          </w:p>
        </w:tc>
        <w:tc>
          <w:tcPr>
            <w:tcW w:w="15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20,0%</w:t>
            </w:r>
          </w:p>
        </w:tc>
        <w:tc>
          <w:tcPr>
            <w:tcW w:w="186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80,0%</w:t>
            </w:r>
          </w:p>
        </w:tc>
      </w:tr>
      <w:tr w:rsidR="00FE5054" w:rsidRPr="00AB2293" w:rsidTr="00FE5054">
        <w:trPr>
          <w:trHeight w:val="315"/>
        </w:trPr>
        <w:tc>
          <w:tcPr>
            <w:tcW w:w="4180" w:type="dxa"/>
            <w:tcBorders>
              <w:top w:val="nil"/>
              <w:left w:val="nil"/>
              <w:bottom w:val="single" w:sz="8" w:space="0" w:color="auto"/>
              <w:right w:val="nil"/>
            </w:tcBorders>
            <w:shd w:val="clear" w:color="auto" w:fill="auto"/>
            <w:noWrap/>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lastRenderedPageBreak/>
              <w:t>Tutela de Derechos fundamentales</w:t>
            </w:r>
          </w:p>
        </w:tc>
        <w:tc>
          <w:tcPr>
            <w:tcW w:w="1560" w:type="dxa"/>
            <w:tcBorders>
              <w:top w:val="nil"/>
              <w:left w:val="nil"/>
              <w:bottom w:val="single" w:sz="8" w:space="0" w:color="auto"/>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6,7%</w:t>
            </w:r>
          </w:p>
        </w:tc>
        <w:tc>
          <w:tcPr>
            <w:tcW w:w="1860" w:type="dxa"/>
            <w:tcBorders>
              <w:top w:val="nil"/>
              <w:left w:val="nil"/>
              <w:bottom w:val="single" w:sz="8" w:space="0" w:color="auto"/>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93,3%</w:t>
            </w:r>
          </w:p>
        </w:tc>
      </w:tr>
    </w:tbl>
    <w:p w:rsidR="00B349AD" w:rsidRPr="00AB2293" w:rsidRDefault="00B349AD" w:rsidP="00B8443D">
      <w:pPr>
        <w:pStyle w:val="Textoindependiente"/>
        <w:spacing w:before="120" w:after="120"/>
        <w:ind w:firstLine="357"/>
        <w:rPr>
          <w:rFonts w:ascii="Verdana" w:hAnsi="Verdana"/>
          <w:sz w:val="20"/>
        </w:rPr>
      </w:pPr>
    </w:p>
    <w:p w:rsidR="006D7731" w:rsidRPr="00AB2293" w:rsidRDefault="006D7731" w:rsidP="00B8443D">
      <w:pPr>
        <w:pStyle w:val="Textoindependiente"/>
        <w:spacing w:before="120" w:after="120"/>
        <w:ind w:firstLine="357"/>
        <w:rPr>
          <w:rFonts w:ascii="Verdana" w:hAnsi="Verdana"/>
          <w:sz w:val="20"/>
        </w:rPr>
      </w:pPr>
      <w:r w:rsidRPr="00AB2293">
        <w:rPr>
          <w:rFonts w:ascii="Verdana" w:hAnsi="Verdana"/>
          <w:sz w:val="20"/>
        </w:rPr>
        <w:t>Respecto a los recursos, el 2</w:t>
      </w:r>
      <w:r w:rsidR="00FE5054" w:rsidRPr="00AB2293">
        <w:rPr>
          <w:rFonts w:ascii="Verdana" w:hAnsi="Verdana"/>
          <w:sz w:val="20"/>
        </w:rPr>
        <w:t>1</w:t>
      </w:r>
      <w:r w:rsidR="00B349AD" w:rsidRPr="00AB2293">
        <w:rPr>
          <w:rFonts w:ascii="Verdana" w:hAnsi="Verdana"/>
          <w:sz w:val="20"/>
        </w:rPr>
        <w:t>,</w:t>
      </w:r>
      <w:r w:rsidR="00FE5054" w:rsidRPr="00AB2293">
        <w:rPr>
          <w:rFonts w:ascii="Verdana" w:hAnsi="Verdana"/>
          <w:sz w:val="20"/>
        </w:rPr>
        <w:t>5</w:t>
      </w:r>
      <w:r w:rsidRPr="00AB2293">
        <w:rPr>
          <w:rFonts w:ascii="Verdana" w:hAnsi="Verdana"/>
          <w:sz w:val="20"/>
        </w:rPr>
        <w:t xml:space="preserve">% </w:t>
      </w:r>
      <w:r w:rsidR="00672588" w:rsidRPr="00AB2293">
        <w:rPr>
          <w:rFonts w:ascii="Verdana" w:hAnsi="Verdana"/>
          <w:sz w:val="20"/>
        </w:rPr>
        <w:t xml:space="preserve">de las sentencias </w:t>
      </w:r>
      <w:r w:rsidRPr="00AB2293">
        <w:rPr>
          <w:rFonts w:ascii="Verdana" w:hAnsi="Verdana"/>
          <w:sz w:val="20"/>
        </w:rPr>
        <w:t>han sido estimatorias, el 7</w:t>
      </w:r>
      <w:r w:rsidR="00FE5054" w:rsidRPr="00AB2293">
        <w:rPr>
          <w:rFonts w:ascii="Verdana" w:hAnsi="Verdana"/>
          <w:sz w:val="20"/>
        </w:rPr>
        <w:t>7</w:t>
      </w:r>
      <w:r w:rsidRPr="00AB2293">
        <w:rPr>
          <w:rFonts w:ascii="Verdana" w:hAnsi="Verdana"/>
          <w:sz w:val="20"/>
        </w:rPr>
        <w:t>,</w:t>
      </w:r>
      <w:r w:rsidR="00FE5054" w:rsidRPr="00AB2293">
        <w:rPr>
          <w:rFonts w:ascii="Verdana" w:hAnsi="Verdana"/>
          <w:sz w:val="20"/>
        </w:rPr>
        <w:t>4</w:t>
      </w:r>
      <w:r w:rsidRPr="00AB2293">
        <w:rPr>
          <w:rFonts w:ascii="Verdana" w:hAnsi="Verdana"/>
          <w:sz w:val="20"/>
        </w:rPr>
        <w:t>% desestimatorias y el 1,</w:t>
      </w:r>
      <w:r w:rsidR="00B349AD" w:rsidRPr="00AB2293">
        <w:rPr>
          <w:rFonts w:ascii="Verdana" w:hAnsi="Verdana"/>
          <w:sz w:val="20"/>
        </w:rPr>
        <w:t>1</w:t>
      </w:r>
      <w:r w:rsidRPr="00AB2293">
        <w:rPr>
          <w:rFonts w:ascii="Verdana" w:hAnsi="Verdana"/>
          <w:sz w:val="20"/>
        </w:rPr>
        <w:t>% anulatorias.</w:t>
      </w:r>
    </w:p>
    <w:p w:rsidR="00FE5054" w:rsidRPr="00AB2293" w:rsidRDefault="00FE5054" w:rsidP="00B8443D">
      <w:pPr>
        <w:pStyle w:val="Textoindependiente"/>
        <w:spacing w:before="120" w:after="120"/>
        <w:ind w:firstLine="357"/>
        <w:rPr>
          <w:rFonts w:ascii="Verdana" w:hAnsi="Verdana"/>
          <w:sz w:val="20"/>
        </w:rPr>
      </w:pPr>
    </w:p>
    <w:tbl>
      <w:tblPr>
        <w:tblW w:w="8120" w:type="dxa"/>
        <w:tblInd w:w="55" w:type="dxa"/>
        <w:tblCellMar>
          <w:left w:w="70" w:type="dxa"/>
          <w:right w:w="70" w:type="dxa"/>
        </w:tblCellMar>
        <w:tblLook w:val="04A0" w:firstRow="1" w:lastRow="0" w:firstColumn="1" w:lastColumn="0" w:noHBand="0" w:noVBand="1"/>
      </w:tblPr>
      <w:tblGrid>
        <w:gridCol w:w="4180"/>
        <w:gridCol w:w="1202"/>
        <w:gridCol w:w="1574"/>
        <w:gridCol w:w="1200"/>
      </w:tblGrid>
      <w:tr w:rsidR="00FE5054" w:rsidRPr="00AB2293" w:rsidTr="00FE5054">
        <w:trPr>
          <w:trHeight w:val="465"/>
        </w:trPr>
        <w:tc>
          <w:tcPr>
            <w:tcW w:w="4180" w:type="dxa"/>
            <w:tcBorders>
              <w:top w:val="nil"/>
              <w:left w:val="nil"/>
              <w:bottom w:val="nil"/>
              <w:right w:val="nil"/>
            </w:tcBorders>
            <w:shd w:val="clear" w:color="auto" w:fill="auto"/>
            <w:noWrap/>
            <w:vAlign w:val="bottom"/>
            <w:hideMark/>
          </w:tcPr>
          <w:p w:rsidR="00FE5054" w:rsidRPr="00AB2293" w:rsidRDefault="00FE5054">
            <w:pPr>
              <w:rPr>
                <w:color w:val="000000"/>
                <w:sz w:val="20"/>
                <w:szCs w:val="20"/>
              </w:rPr>
            </w:pPr>
          </w:p>
        </w:tc>
        <w:tc>
          <w:tcPr>
            <w:tcW w:w="1200" w:type="dxa"/>
            <w:tcBorders>
              <w:top w:val="single" w:sz="8" w:space="0" w:color="auto"/>
              <w:left w:val="nil"/>
              <w:bottom w:val="single" w:sz="8" w:space="0" w:color="auto"/>
              <w:right w:val="nil"/>
            </w:tcBorders>
            <w:shd w:val="clear" w:color="auto" w:fill="auto"/>
            <w:vAlign w:val="center"/>
            <w:hideMark/>
          </w:tcPr>
          <w:p w:rsidR="00FE5054" w:rsidRPr="00AB2293" w:rsidRDefault="00FE5054">
            <w:pPr>
              <w:jc w:val="center"/>
              <w:rPr>
                <w:rFonts w:ascii="Verdana" w:hAnsi="Verdana" w:cs="Calibri"/>
                <w:b/>
                <w:bCs/>
                <w:color w:val="000000"/>
                <w:sz w:val="18"/>
                <w:szCs w:val="18"/>
              </w:rPr>
            </w:pPr>
            <w:r w:rsidRPr="00AB2293">
              <w:rPr>
                <w:rFonts w:ascii="Verdana" w:hAnsi="Verdana" w:cs="Calibri"/>
                <w:b/>
                <w:bCs/>
                <w:color w:val="000000"/>
                <w:sz w:val="18"/>
                <w:szCs w:val="18"/>
              </w:rPr>
              <w:t>Estimando</w:t>
            </w:r>
          </w:p>
        </w:tc>
        <w:tc>
          <w:tcPr>
            <w:tcW w:w="1540" w:type="dxa"/>
            <w:tcBorders>
              <w:top w:val="single" w:sz="8" w:space="0" w:color="auto"/>
              <w:left w:val="nil"/>
              <w:bottom w:val="single" w:sz="8" w:space="0" w:color="auto"/>
              <w:right w:val="nil"/>
            </w:tcBorders>
            <w:shd w:val="clear" w:color="auto" w:fill="auto"/>
            <w:vAlign w:val="center"/>
            <w:hideMark/>
          </w:tcPr>
          <w:p w:rsidR="00FE5054" w:rsidRPr="00AB2293" w:rsidRDefault="00FE5054">
            <w:pPr>
              <w:jc w:val="center"/>
              <w:rPr>
                <w:rFonts w:ascii="Verdana" w:hAnsi="Verdana" w:cs="Calibri"/>
                <w:b/>
                <w:bCs/>
                <w:color w:val="000000"/>
                <w:sz w:val="18"/>
                <w:szCs w:val="18"/>
              </w:rPr>
            </w:pPr>
            <w:r w:rsidRPr="00AB2293">
              <w:rPr>
                <w:rFonts w:ascii="Verdana" w:hAnsi="Verdana" w:cs="Calibri"/>
                <w:b/>
                <w:bCs/>
                <w:color w:val="000000"/>
                <w:sz w:val="18"/>
                <w:szCs w:val="18"/>
              </w:rPr>
              <w:t>Desestimando</w:t>
            </w:r>
          </w:p>
        </w:tc>
        <w:tc>
          <w:tcPr>
            <w:tcW w:w="1200" w:type="dxa"/>
            <w:tcBorders>
              <w:top w:val="single" w:sz="8" w:space="0" w:color="auto"/>
              <w:left w:val="nil"/>
              <w:bottom w:val="single" w:sz="8" w:space="0" w:color="auto"/>
              <w:right w:val="nil"/>
            </w:tcBorders>
            <w:shd w:val="clear" w:color="auto" w:fill="auto"/>
            <w:vAlign w:val="center"/>
            <w:hideMark/>
          </w:tcPr>
          <w:p w:rsidR="00FE5054" w:rsidRPr="00AB2293" w:rsidRDefault="00FE5054">
            <w:pPr>
              <w:jc w:val="center"/>
              <w:rPr>
                <w:rFonts w:ascii="Verdana" w:hAnsi="Verdana" w:cs="Calibri"/>
                <w:b/>
                <w:bCs/>
                <w:color w:val="000000"/>
                <w:sz w:val="18"/>
                <w:szCs w:val="18"/>
              </w:rPr>
            </w:pPr>
            <w:r w:rsidRPr="00AB2293">
              <w:rPr>
                <w:rFonts w:ascii="Verdana" w:hAnsi="Verdana" w:cs="Calibri"/>
                <w:b/>
                <w:bCs/>
                <w:color w:val="000000"/>
                <w:sz w:val="18"/>
                <w:szCs w:val="18"/>
              </w:rPr>
              <w:t>Anulando</w:t>
            </w:r>
          </w:p>
        </w:tc>
      </w:tr>
      <w:tr w:rsidR="00FE5054" w:rsidRPr="00AB2293" w:rsidTr="00FE5054">
        <w:trPr>
          <w:trHeight w:val="300"/>
        </w:trPr>
        <w:tc>
          <w:tcPr>
            <w:tcW w:w="4180" w:type="dxa"/>
            <w:tcBorders>
              <w:top w:val="single" w:sz="8" w:space="0" w:color="auto"/>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Conflictos Colectivo</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29,3%</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69,3%</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1,4%</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Impugnación convenios</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46,2%</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53,8%</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0,0%</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Despidos</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27,2%</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71,8%</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1,0%</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Extinciones Contratos</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31,4%</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67,9%</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0,7%</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Contrato Trabajo</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26,2%</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71,5%</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2,3%</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 xml:space="preserve">Seguridad Social </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20,5%</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78,3%</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1,2%</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Desempleo</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27,3%</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71,8%</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0,8%</w:t>
            </w:r>
          </w:p>
        </w:tc>
      </w:tr>
      <w:tr w:rsidR="00FE5054" w:rsidRPr="00AB2293" w:rsidTr="00FE5054">
        <w:trPr>
          <w:trHeight w:val="300"/>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 xml:space="preserve">Invalidez (Solo Grado) y Altas Medicas </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15,1%</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84,6%</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0,2%</w:t>
            </w:r>
          </w:p>
        </w:tc>
      </w:tr>
      <w:tr w:rsidR="00FE5054" w:rsidRPr="00AB2293" w:rsidTr="00FE5054">
        <w:trPr>
          <w:trHeight w:val="765"/>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Accidentes de Trabajo Enfermedades profesionales y prevención de riesgos laborales</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18,9%</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79,9%</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1,2%</w:t>
            </w:r>
          </w:p>
        </w:tc>
      </w:tr>
      <w:tr w:rsidR="00FE5054" w:rsidRPr="00AB2293" w:rsidTr="00FE5054">
        <w:trPr>
          <w:trHeight w:val="765"/>
        </w:trPr>
        <w:tc>
          <w:tcPr>
            <w:tcW w:w="4180" w:type="dxa"/>
            <w:tcBorders>
              <w:top w:val="nil"/>
              <w:left w:val="nil"/>
              <w:bottom w:val="nil"/>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Impugnación Resol. Administ. en materia laboral y seguridad social excluidos los prestacionales</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19,2%</w:t>
            </w:r>
          </w:p>
        </w:tc>
        <w:tc>
          <w:tcPr>
            <w:tcW w:w="154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75,0%</w:t>
            </w:r>
          </w:p>
        </w:tc>
        <w:tc>
          <w:tcPr>
            <w:tcW w:w="1200" w:type="dxa"/>
            <w:tcBorders>
              <w:top w:val="nil"/>
              <w:left w:val="nil"/>
              <w:bottom w:val="nil"/>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5,8%</w:t>
            </w:r>
          </w:p>
        </w:tc>
      </w:tr>
      <w:tr w:rsidR="00FE5054" w:rsidRPr="00AB2293" w:rsidTr="00FE5054">
        <w:trPr>
          <w:trHeight w:val="315"/>
        </w:trPr>
        <w:tc>
          <w:tcPr>
            <w:tcW w:w="4180" w:type="dxa"/>
            <w:tcBorders>
              <w:top w:val="nil"/>
              <w:left w:val="nil"/>
              <w:bottom w:val="single" w:sz="8" w:space="0" w:color="auto"/>
              <w:right w:val="nil"/>
            </w:tcBorders>
            <w:shd w:val="clear" w:color="auto" w:fill="auto"/>
            <w:vAlign w:val="center"/>
            <w:hideMark/>
          </w:tcPr>
          <w:p w:rsidR="00FE5054" w:rsidRPr="00AB2293" w:rsidRDefault="00FE5054">
            <w:pPr>
              <w:rPr>
                <w:rFonts w:ascii="Verdana" w:hAnsi="Verdana" w:cs="Calibri"/>
                <w:color w:val="000000"/>
                <w:sz w:val="20"/>
                <w:szCs w:val="20"/>
              </w:rPr>
            </w:pPr>
            <w:r w:rsidRPr="00AB2293">
              <w:rPr>
                <w:rFonts w:ascii="Verdana" w:hAnsi="Verdana" w:cs="Calibri"/>
                <w:color w:val="000000"/>
                <w:sz w:val="20"/>
                <w:szCs w:val="20"/>
              </w:rPr>
              <w:t>Tutela de Derechos fundamentales</w:t>
            </w:r>
          </w:p>
        </w:tc>
        <w:tc>
          <w:tcPr>
            <w:tcW w:w="1200" w:type="dxa"/>
            <w:tcBorders>
              <w:top w:val="nil"/>
              <w:left w:val="nil"/>
              <w:bottom w:val="single" w:sz="8" w:space="0" w:color="auto"/>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23,7%</w:t>
            </w:r>
          </w:p>
        </w:tc>
        <w:tc>
          <w:tcPr>
            <w:tcW w:w="1540" w:type="dxa"/>
            <w:tcBorders>
              <w:top w:val="nil"/>
              <w:left w:val="nil"/>
              <w:bottom w:val="single" w:sz="8" w:space="0" w:color="auto"/>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75,6%</w:t>
            </w:r>
          </w:p>
        </w:tc>
        <w:tc>
          <w:tcPr>
            <w:tcW w:w="1200" w:type="dxa"/>
            <w:tcBorders>
              <w:top w:val="nil"/>
              <w:left w:val="nil"/>
              <w:bottom w:val="single" w:sz="8" w:space="0" w:color="auto"/>
              <w:right w:val="nil"/>
            </w:tcBorders>
            <w:shd w:val="clear" w:color="auto" w:fill="auto"/>
            <w:noWrap/>
            <w:vAlign w:val="center"/>
            <w:hideMark/>
          </w:tcPr>
          <w:p w:rsidR="00FE5054" w:rsidRPr="00AB2293" w:rsidRDefault="00FE5054">
            <w:pPr>
              <w:jc w:val="right"/>
              <w:rPr>
                <w:rFonts w:ascii="Verdana" w:hAnsi="Verdana" w:cs="Calibri"/>
                <w:color w:val="000000"/>
                <w:sz w:val="20"/>
                <w:szCs w:val="20"/>
              </w:rPr>
            </w:pPr>
            <w:r w:rsidRPr="00AB2293">
              <w:rPr>
                <w:rFonts w:ascii="Verdana" w:hAnsi="Verdana" w:cs="Calibri"/>
                <w:color w:val="000000"/>
                <w:sz w:val="20"/>
                <w:szCs w:val="20"/>
              </w:rPr>
              <w:t>0,7%</w:t>
            </w:r>
          </w:p>
        </w:tc>
      </w:tr>
    </w:tbl>
    <w:p w:rsidR="00FE5054" w:rsidRPr="00AB2293" w:rsidRDefault="00FE5054" w:rsidP="00B8443D">
      <w:pPr>
        <w:pStyle w:val="Textoindependiente"/>
        <w:spacing w:before="120" w:after="120"/>
        <w:ind w:firstLine="357"/>
        <w:rPr>
          <w:rFonts w:ascii="Verdana" w:hAnsi="Verdana"/>
          <w:sz w:val="20"/>
        </w:rPr>
      </w:pPr>
    </w:p>
    <w:p w:rsidR="006D7731" w:rsidRPr="00AB2293" w:rsidRDefault="006D7731" w:rsidP="00B8443D">
      <w:pPr>
        <w:pStyle w:val="Textoindependiente"/>
        <w:spacing w:before="120" w:after="120"/>
        <w:ind w:firstLine="357"/>
        <w:rPr>
          <w:rFonts w:ascii="Verdana" w:hAnsi="Verdana"/>
          <w:sz w:val="20"/>
        </w:rPr>
      </w:pPr>
    </w:p>
    <w:p w:rsidR="006D7731" w:rsidRPr="00AB2293" w:rsidRDefault="006D7731" w:rsidP="00B8443D">
      <w:pPr>
        <w:pStyle w:val="Textoindependiente"/>
        <w:spacing w:before="120" w:after="120"/>
        <w:ind w:firstLine="357"/>
        <w:rPr>
          <w:rFonts w:ascii="Verdana" w:hAnsi="Verdana"/>
          <w:sz w:val="20"/>
        </w:rPr>
      </w:pPr>
    </w:p>
    <w:p w:rsidR="006D7731" w:rsidRPr="000E7EFC" w:rsidRDefault="004002F4" w:rsidP="00B8443D">
      <w:pPr>
        <w:pStyle w:val="Textoindependiente"/>
        <w:spacing w:before="120" w:after="120"/>
        <w:ind w:firstLine="357"/>
        <w:rPr>
          <w:rFonts w:ascii="Verdana" w:hAnsi="Verdana"/>
          <w:sz w:val="20"/>
        </w:rPr>
      </w:pPr>
      <w:r w:rsidRPr="00AB2293">
        <w:rPr>
          <w:rFonts w:ascii="Verdana" w:hAnsi="Verdana"/>
          <w:sz w:val="20"/>
        </w:rPr>
        <w:t>E</w:t>
      </w:r>
      <w:r w:rsidR="007413D4" w:rsidRPr="00AB2293">
        <w:rPr>
          <w:rFonts w:ascii="Verdana" w:hAnsi="Verdana"/>
          <w:sz w:val="20"/>
        </w:rPr>
        <w:t>n la Audiencia Nacional, el 4</w:t>
      </w:r>
      <w:r w:rsidR="00BC52FC" w:rsidRPr="00AB2293">
        <w:rPr>
          <w:rFonts w:ascii="Verdana" w:hAnsi="Verdana"/>
          <w:sz w:val="20"/>
        </w:rPr>
        <w:t>5</w:t>
      </w:r>
      <w:r w:rsidR="007413D4" w:rsidRPr="00AB2293">
        <w:rPr>
          <w:rFonts w:ascii="Verdana" w:hAnsi="Verdana"/>
          <w:sz w:val="20"/>
        </w:rPr>
        <w:t>,</w:t>
      </w:r>
      <w:r w:rsidRPr="00AB2293">
        <w:rPr>
          <w:rFonts w:ascii="Verdana" w:hAnsi="Verdana"/>
          <w:sz w:val="20"/>
        </w:rPr>
        <w:t>2</w:t>
      </w:r>
      <w:r w:rsidR="007413D4" w:rsidRPr="00AB2293">
        <w:rPr>
          <w:rFonts w:ascii="Verdana" w:hAnsi="Verdana"/>
          <w:sz w:val="20"/>
        </w:rPr>
        <w:t>% de las sentencias han sido estimatorias.</w:t>
      </w:r>
    </w:p>
    <w:p w:rsidR="007413D4" w:rsidRPr="000E7EFC" w:rsidRDefault="007413D4" w:rsidP="00B8443D">
      <w:pPr>
        <w:pStyle w:val="Textoindependiente"/>
        <w:spacing w:before="120" w:after="120"/>
        <w:ind w:firstLine="357"/>
        <w:rPr>
          <w:rFonts w:ascii="Verdana" w:hAnsi="Verdana"/>
          <w:sz w:val="20"/>
        </w:rPr>
      </w:pPr>
    </w:p>
    <w:tbl>
      <w:tblPr>
        <w:tblW w:w="7500" w:type="dxa"/>
        <w:jc w:val="center"/>
        <w:tblInd w:w="55" w:type="dxa"/>
        <w:tblCellMar>
          <w:left w:w="70" w:type="dxa"/>
          <w:right w:w="70" w:type="dxa"/>
        </w:tblCellMar>
        <w:tblLook w:val="04A0" w:firstRow="1" w:lastRow="0" w:firstColumn="1" w:lastColumn="0" w:noHBand="0" w:noVBand="1"/>
      </w:tblPr>
      <w:tblGrid>
        <w:gridCol w:w="4640"/>
        <w:gridCol w:w="1202"/>
        <w:gridCol w:w="1660"/>
      </w:tblGrid>
      <w:tr w:rsidR="004002F4" w:rsidTr="004002F4">
        <w:trPr>
          <w:trHeight w:val="465"/>
          <w:jc w:val="center"/>
        </w:trPr>
        <w:tc>
          <w:tcPr>
            <w:tcW w:w="4640" w:type="dxa"/>
            <w:tcBorders>
              <w:top w:val="nil"/>
              <w:left w:val="nil"/>
              <w:bottom w:val="nil"/>
              <w:right w:val="nil"/>
            </w:tcBorders>
            <w:shd w:val="clear" w:color="auto" w:fill="auto"/>
            <w:noWrap/>
            <w:vAlign w:val="bottom"/>
            <w:hideMark/>
          </w:tcPr>
          <w:p w:rsidR="004002F4" w:rsidRDefault="004002F4">
            <w:pPr>
              <w:rPr>
                <w:color w:val="000000"/>
                <w:sz w:val="20"/>
                <w:szCs w:val="20"/>
              </w:rPr>
            </w:pPr>
          </w:p>
        </w:tc>
        <w:tc>
          <w:tcPr>
            <w:tcW w:w="1200" w:type="dxa"/>
            <w:tcBorders>
              <w:top w:val="single" w:sz="8" w:space="0" w:color="auto"/>
              <w:left w:val="nil"/>
              <w:bottom w:val="single" w:sz="8" w:space="0" w:color="auto"/>
              <w:right w:val="nil"/>
            </w:tcBorders>
            <w:shd w:val="clear" w:color="auto" w:fill="auto"/>
            <w:vAlign w:val="center"/>
            <w:hideMark/>
          </w:tcPr>
          <w:p w:rsidR="004002F4" w:rsidRDefault="004002F4">
            <w:pPr>
              <w:jc w:val="center"/>
              <w:rPr>
                <w:rFonts w:ascii="Verdana" w:hAnsi="Verdana" w:cs="Calibri"/>
                <w:b/>
                <w:bCs/>
                <w:color w:val="000000"/>
                <w:sz w:val="18"/>
                <w:szCs w:val="18"/>
              </w:rPr>
            </w:pPr>
            <w:r>
              <w:rPr>
                <w:rFonts w:ascii="Verdana" w:hAnsi="Verdana" w:cs="Calibri"/>
                <w:b/>
                <w:bCs/>
                <w:color w:val="000000"/>
                <w:sz w:val="18"/>
                <w:szCs w:val="18"/>
              </w:rPr>
              <w:t>Estimando</w:t>
            </w:r>
          </w:p>
        </w:tc>
        <w:tc>
          <w:tcPr>
            <w:tcW w:w="1660" w:type="dxa"/>
            <w:tcBorders>
              <w:top w:val="single" w:sz="8" w:space="0" w:color="auto"/>
              <w:left w:val="nil"/>
              <w:bottom w:val="single" w:sz="8" w:space="0" w:color="auto"/>
              <w:right w:val="nil"/>
            </w:tcBorders>
            <w:shd w:val="clear" w:color="auto" w:fill="auto"/>
            <w:vAlign w:val="center"/>
            <w:hideMark/>
          </w:tcPr>
          <w:p w:rsidR="004002F4" w:rsidRDefault="004002F4">
            <w:pPr>
              <w:jc w:val="center"/>
              <w:rPr>
                <w:rFonts w:ascii="Verdana" w:hAnsi="Verdana" w:cs="Calibri"/>
                <w:b/>
                <w:bCs/>
                <w:color w:val="000000"/>
                <w:sz w:val="18"/>
                <w:szCs w:val="18"/>
              </w:rPr>
            </w:pPr>
            <w:r>
              <w:rPr>
                <w:rFonts w:ascii="Verdana" w:hAnsi="Verdana" w:cs="Calibri"/>
                <w:b/>
                <w:bCs/>
                <w:color w:val="000000"/>
                <w:sz w:val="18"/>
                <w:szCs w:val="18"/>
              </w:rPr>
              <w:t>Desestimando</w:t>
            </w:r>
          </w:p>
        </w:tc>
      </w:tr>
      <w:tr w:rsidR="004002F4" w:rsidTr="004002F4">
        <w:trPr>
          <w:trHeight w:val="300"/>
          <w:jc w:val="center"/>
        </w:trPr>
        <w:tc>
          <w:tcPr>
            <w:tcW w:w="4640" w:type="dxa"/>
            <w:tcBorders>
              <w:top w:val="single" w:sz="8" w:space="0" w:color="auto"/>
              <w:left w:val="nil"/>
              <w:bottom w:val="nil"/>
              <w:right w:val="nil"/>
            </w:tcBorders>
            <w:shd w:val="clear" w:color="auto" w:fill="auto"/>
            <w:vAlign w:val="center"/>
            <w:hideMark/>
          </w:tcPr>
          <w:p w:rsidR="004002F4" w:rsidRDefault="004002F4">
            <w:pPr>
              <w:rPr>
                <w:rFonts w:ascii="Verdana" w:hAnsi="Verdana" w:cs="Calibri"/>
                <w:color w:val="000000"/>
                <w:sz w:val="20"/>
                <w:szCs w:val="20"/>
              </w:rPr>
            </w:pPr>
            <w:r>
              <w:rPr>
                <w:rFonts w:ascii="Verdana" w:hAnsi="Verdana" w:cs="Calibri"/>
                <w:color w:val="000000"/>
                <w:sz w:val="20"/>
                <w:szCs w:val="20"/>
              </w:rPr>
              <w:t>Procesos Impugnación Convenios Colectivos</w:t>
            </w:r>
          </w:p>
        </w:tc>
        <w:tc>
          <w:tcPr>
            <w:tcW w:w="1200" w:type="dxa"/>
            <w:tcBorders>
              <w:top w:val="nil"/>
              <w:left w:val="nil"/>
              <w:bottom w:val="nil"/>
              <w:right w:val="nil"/>
            </w:tcBorders>
            <w:shd w:val="clear" w:color="auto" w:fill="auto"/>
            <w:noWrap/>
            <w:vAlign w:val="center"/>
            <w:hideMark/>
          </w:tcPr>
          <w:p w:rsidR="004002F4" w:rsidRDefault="004002F4">
            <w:pPr>
              <w:jc w:val="right"/>
              <w:rPr>
                <w:rFonts w:ascii="Verdana" w:hAnsi="Verdana" w:cs="Calibri"/>
                <w:color w:val="000000"/>
                <w:sz w:val="20"/>
                <w:szCs w:val="20"/>
              </w:rPr>
            </w:pPr>
            <w:r>
              <w:rPr>
                <w:rFonts w:ascii="Verdana" w:hAnsi="Verdana" w:cs="Calibri"/>
                <w:color w:val="000000"/>
                <w:sz w:val="20"/>
                <w:szCs w:val="20"/>
              </w:rPr>
              <w:t>32,1%</w:t>
            </w:r>
          </w:p>
        </w:tc>
        <w:tc>
          <w:tcPr>
            <w:tcW w:w="1660" w:type="dxa"/>
            <w:tcBorders>
              <w:top w:val="nil"/>
              <w:left w:val="nil"/>
              <w:bottom w:val="nil"/>
              <w:right w:val="nil"/>
            </w:tcBorders>
            <w:shd w:val="clear" w:color="auto" w:fill="auto"/>
            <w:noWrap/>
            <w:vAlign w:val="center"/>
            <w:hideMark/>
          </w:tcPr>
          <w:p w:rsidR="004002F4" w:rsidRDefault="004002F4">
            <w:pPr>
              <w:jc w:val="right"/>
              <w:rPr>
                <w:rFonts w:ascii="Verdana" w:hAnsi="Verdana" w:cs="Calibri"/>
                <w:color w:val="000000"/>
                <w:sz w:val="20"/>
                <w:szCs w:val="20"/>
              </w:rPr>
            </w:pPr>
            <w:r>
              <w:rPr>
                <w:rFonts w:ascii="Verdana" w:hAnsi="Verdana" w:cs="Calibri"/>
                <w:color w:val="000000"/>
                <w:sz w:val="20"/>
                <w:szCs w:val="20"/>
              </w:rPr>
              <w:t>67,9%</w:t>
            </w:r>
          </w:p>
        </w:tc>
      </w:tr>
      <w:tr w:rsidR="004002F4" w:rsidTr="004002F4">
        <w:trPr>
          <w:trHeight w:val="315"/>
          <w:jc w:val="center"/>
        </w:trPr>
        <w:tc>
          <w:tcPr>
            <w:tcW w:w="4640" w:type="dxa"/>
            <w:tcBorders>
              <w:top w:val="nil"/>
              <w:left w:val="nil"/>
              <w:bottom w:val="single" w:sz="8" w:space="0" w:color="auto"/>
              <w:right w:val="nil"/>
            </w:tcBorders>
            <w:shd w:val="clear" w:color="auto" w:fill="auto"/>
            <w:vAlign w:val="center"/>
            <w:hideMark/>
          </w:tcPr>
          <w:p w:rsidR="004002F4" w:rsidRDefault="004002F4">
            <w:pPr>
              <w:rPr>
                <w:rFonts w:ascii="Verdana" w:hAnsi="Verdana" w:cs="Calibri"/>
                <w:color w:val="000000"/>
                <w:sz w:val="20"/>
                <w:szCs w:val="20"/>
              </w:rPr>
            </w:pPr>
            <w:r>
              <w:rPr>
                <w:rFonts w:ascii="Verdana" w:hAnsi="Verdana" w:cs="Calibri"/>
                <w:color w:val="000000"/>
                <w:sz w:val="20"/>
                <w:szCs w:val="20"/>
              </w:rPr>
              <w:t>Procesos sobre Conflictos Colectivos</w:t>
            </w:r>
          </w:p>
        </w:tc>
        <w:tc>
          <w:tcPr>
            <w:tcW w:w="1200" w:type="dxa"/>
            <w:tcBorders>
              <w:top w:val="nil"/>
              <w:left w:val="nil"/>
              <w:bottom w:val="single" w:sz="8" w:space="0" w:color="auto"/>
              <w:right w:val="nil"/>
            </w:tcBorders>
            <w:shd w:val="clear" w:color="auto" w:fill="auto"/>
            <w:noWrap/>
            <w:vAlign w:val="center"/>
            <w:hideMark/>
          </w:tcPr>
          <w:p w:rsidR="004002F4" w:rsidRDefault="004002F4">
            <w:pPr>
              <w:jc w:val="right"/>
              <w:rPr>
                <w:rFonts w:ascii="Verdana" w:hAnsi="Verdana" w:cs="Calibri"/>
                <w:color w:val="000000"/>
                <w:sz w:val="20"/>
                <w:szCs w:val="20"/>
              </w:rPr>
            </w:pPr>
            <w:r>
              <w:rPr>
                <w:rFonts w:ascii="Verdana" w:hAnsi="Verdana" w:cs="Calibri"/>
                <w:color w:val="000000"/>
                <w:sz w:val="20"/>
                <w:szCs w:val="20"/>
              </w:rPr>
              <w:t>48,1%</w:t>
            </w:r>
          </w:p>
        </w:tc>
        <w:tc>
          <w:tcPr>
            <w:tcW w:w="1660" w:type="dxa"/>
            <w:tcBorders>
              <w:top w:val="nil"/>
              <w:left w:val="nil"/>
              <w:bottom w:val="single" w:sz="8" w:space="0" w:color="auto"/>
              <w:right w:val="nil"/>
            </w:tcBorders>
            <w:shd w:val="clear" w:color="auto" w:fill="auto"/>
            <w:noWrap/>
            <w:vAlign w:val="center"/>
            <w:hideMark/>
          </w:tcPr>
          <w:p w:rsidR="004002F4" w:rsidRDefault="004002F4">
            <w:pPr>
              <w:jc w:val="right"/>
              <w:rPr>
                <w:rFonts w:ascii="Verdana" w:hAnsi="Verdana" w:cs="Calibri"/>
                <w:color w:val="000000"/>
                <w:sz w:val="20"/>
                <w:szCs w:val="20"/>
              </w:rPr>
            </w:pPr>
            <w:r>
              <w:rPr>
                <w:rFonts w:ascii="Verdana" w:hAnsi="Verdana" w:cs="Calibri"/>
                <w:color w:val="000000"/>
                <w:sz w:val="20"/>
                <w:szCs w:val="20"/>
              </w:rPr>
              <w:t>51,9%</w:t>
            </w:r>
          </w:p>
        </w:tc>
      </w:tr>
    </w:tbl>
    <w:p w:rsidR="007413D4" w:rsidRPr="007413D4" w:rsidRDefault="007413D4" w:rsidP="00B8443D">
      <w:pPr>
        <w:pStyle w:val="Textoindependiente"/>
        <w:spacing w:before="120" w:after="120"/>
        <w:ind w:firstLine="357"/>
        <w:rPr>
          <w:rFonts w:ascii="Verdana" w:hAnsi="Verdana"/>
          <w:sz w:val="20"/>
        </w:rPr>
      </w:pPr>
    </w:p>
    <w:p w:rsidR="00E1308D" w:rsidRPr="00E17ED4" w:rsidRDefault="00B56517" w:rsidP="00720400">
      <w:pPr>
        <w:pStyle w:val="Textoindependiente"/>
        <w:spacing w:before="120" w:after="120"/>
        <w:ind w:firstLine="357"/>
        <w:rPr>
          <w:rFonts w:ascii="Verdana" w:hAnsi="Verdana"/>
          <w:sz w:val="20"/>
        </w:rPr>
      </w:pPr>
      <w:r w:rsidRPr="00E17ED4">
        <w:rPr>
          <w:rFonts w:ascii="Verdana" w:hAnsi="Verdana"/>
          <w:sz w:val="20"/>
        </w:rPr>
        <w:t xml:space="preserve">El </w:t>
      </w:r>
      <w:r w:rsidR="007D7DE4" w:rsidRPr="00E17ED4">
        <w:rPr>
          <w:rFonts w:ascii="Verdana" w:hAnsi="Verdana"/>
          <w:sz w:val="20"/>
        </w:rPr>
        <w:t>7</w:t>
      </w:r>
      <w:r w:rsidR="000E2714" w:rsidRPr="00E17ED4">
        <w:rPr>
          <w:rFonts w:ascii="Verdana" w:hAnsi="Verdana"/>
          <w:sz w:val="20"/>
        </w:rPr>
        <w:t>9</w:t>
      </w:r>
      <w:r w:rsidR="00196A91" w:rsidRPr="00E17ED4">
        <w:rPr>
          <w:rFonts w:ascii="Verdana" w:hAnsi="Verdana"/>
          <w:sz w:val="20"/>
        </w:rPr>
        <w:t>,</w:t>
      </w:r>
      <w:r w:rsidR="000E2714" w:rsidRPr="00E17ED4">
        <w:rPr>
          <w:rFonts w:ascii="Verdana" w:hAnsi="Verdana"/>
          <w:sz w:val="20"/>
        </w:rPr>
        <w:t>7</w:t>
      </w:r>
      <w:r w:rsidR="0000784B" w:rsidRPr="00E17ED4">
        <w:rPr>
          <w:rFonts w:ascii="Verdana" w:hAnsi="Verdana"/>
          <w:sz w:val="20"/>
        </w:rPr>
        <w:t>%</w:t>
      </w:r>
      <w:r w:rsidR="00FB12C7" w:rsidRPr="00E17ED4">
        <w:rPr>
          <w:rFonts w:ascii="Verdana" w:hAnsi="Verdana"/>
          <w:sz w:val="20"/>
        </w:rPr>
        <w:t xml:space="preserve"> d</w:t>
      </w:r>
      <w:r w:rsidR="00720400" w:rsidRPr="00E17ED4">
        <w:rPr>
          <w:rFonts w:ascii="Verdana" w:hAnsi="Verdana"/>
          <w:sz w:val="20"/>
        </w:rPr>
        <w:t xml:space="preserve">e las sentencias </w:t>
      </w:r>
      <w:r w:rsidR="009E6C91" w:rsidRPr="00E17ED4">
        <w:rPr>
          <w:rFonts w:ascii="Verdana" w:hAnsi="Verdana"/>
          <w:sz w:val="20"/>
        </w:rPr>
        <w:t>dictadas en los juzgados de lo s</w:t>
      </w:r>
      <w:r w:rsidR="00720400" w:rsidRPr="00E17ED4">
        <w:rPr>
          <w:rFonts w:ascii="Verdana" w:hAnsi="Verdana"/>
          <w:sz w:val="20"/>
        </w:rPr>
        <w:t xml:space="preserve">ocial lo fueron por </w:t>
      </w:r>
      <w:r w:rsidR="00782D70" w:rsidRPr="00E17ED4">
        <w:rPr>
          <w:rFonts w:ascii="Verdana" w:hAnsi="Verdana"/>
          <w:sz w:val="20"/>
        </w:rPr>
        <w:t>los</w:t>
      </w:r>
      <w:r w:rsidR="00720400" w:rsidRPr="00E17ED4">
        <w:rPr>
          <w:rFonts w:ascii="Verdana" w:hAnsi="Verdana"/>
          <w:sz w:val="20"/>
        </w:rPr>
        <w:t xml:space="preserve"> titulares</w:t>
      </w:r>
      <w:r w:rsidR="00782D70" w:rsidRPr="00E17ED4">
        <w:rPr>
          <w:rFonts w:ascii="Verdana" w:hAnsi="Verdana"/>
          <w:sz w:val="20"/>
        </w:rPr>
        <w:t xml:space="preserve"> del órgano</w:t>
      </w:r>
      <w:r w:rsidR="007D7DE4" w:rsidRPr="00E17ED4">
        <w:rPr>
          <w:rFonts w:ascii="Verdana" w:hAnsi="Verdana"/>
          <w:sz w:val="20"/>
        </w:rPr>
        <w:t>. D</w:t>
      </w:r>
      <w:r w:rsidR="00741008" w:rsidRPr="00E17ED4">
        <w:rPr>
          <w:rFonts w:ascii="Verdana" w:hAnsi="Verdana"/>
          <w:sz w:val="20"/>
        </w:rPr>
        <w:t>estacan</w:t>
      </w:r>
      <w:r w:rsidR="00FB12C7" w:rsidRPr="00E17ED4">
        <w:rPr>
          <w:rFonts w:ascii="Verdana" w:hAnsi="Verdana"/>
          <w:sz w:val="20"/>
        </w:rPr>
        <w:t xml:space="preserve"> </w:t>
      </w:r>
      <w:r w:rsidR="000E2714" w:rsidRPr="00E17ED4">
        <w:rPr>
          <w:rFonts w:ascii="Verdana" w:hAnsi="Verdana"/>
          <w:sz w:val="20"/>
        </w:rPr>
        <w:t>La Rioja, 99,8%; Cantabria, 98,4%; Aragón, 94,5%; Castilla y León, 90,3%; País Vasco, 88,6%; Cataluña, 88,1</w:t>
      </w:r>
      <w:r w:rsidR="00E1308D" w:rsidRPr="00E17ED4">
        <w:rPr>
          <w:rFonts w:ascii="Verdana" w:hAnsi="Verdana"/>
          <w:sz w:val="20"/>
        </w:rPr>
        <w:t>%; Murcia, 85%.</w:t>
      </w:r>
      <w:r w:rsidR="00FB12C7" w:rsidRPr="00E17ED4">
        <w:rPr>
          <w:rFonts w:ascii="Verdana" w:hAnsi="Verdana"/>
          <w:sz w:val="20"/>
        </w:rPr>
        <w:t xml:space="preserve"> </w:t>
      </w:r>
      <w:r w:rsidR="006235A6" w:rsidRPr="00E17ED4">
        <w:rPr>
          <w:rFonts w:ascii="Verdana" w:hAnsi="Verdana"/>
          <w:sz w:val="20"/>
        </w:rPr>
        <w:t>E</w:t>
      </w:r>
      <w:r w:rsidRPr="00E17ED4">
        <w:rPr>
          <w:rFonts w:ascii="Verdana" w:hAnsi="Verdana"/>
          <w:sz w:val="20"/>
        </w:rPr>
        <w:t>l menor porcentaje se ha dado e</w:t>
      </w:r>
      <w:r w:rsidR="006235A6" w:rsidRPr="00E17ED4">
        <w:rPr>
          <w:rFonts w:ascii="Verdana" w:hAnsi="Verdana"/>
          <w:sz w:val="20"/>
        </w:rPr>
        <w:t xml:space="preserve">n </w:t>
      </w:r>
      <w:r w:rsidR="00196A91" w:rsidRPr="00E17ED4">
        <w:rPr>
          <w:rFonts w:ascii="Verdana" w:hAnsi="Verdana"/>
          <w:sz w:val="20"/>
        </w:rPr>
        <w:t>Illes Balears</w:t>
      </w:r>
      <w:r w:rsidR="00782D70" w:rsidRPr="00E17ED4">
        <w:rPr>
          <w:rFonts w:ascii="Verdana" w:hAnsi="Verdana"/>
          <w:sz w:val="20"/>
        </w:rPr>
        <w:t xml:space="preserve">, </w:t>
      </w:r>
      <w:r w:rsidR="00E1308D" w:rsidRPr="00E17ED4">
        <w:rPr>
          <w:rFonts w:ascii="Verdana" w:hAnsi="Verdana"/>
          <w:sz w:val="20"/>
        </w:rPr>
        <w:t>39</w:t>
      </w:r>
      <w:r w:rsidR="00782D70" w:rsidRPr="00E17ED4">
        <w:rPr>
          <w:rFonts w:ascii="Verdana" w:hAnsi="Verdana"/>
          <w:sz w:val="20"/>
        </w:rPr>
        <w:t>,</w:t>
      </w:r>
      <w:r w:rsidR="00196A91" w:rsidRPr="00E17ED4">
        <w:rPr>
          <w:rFonts w:ascii="Verdana" w:hAnsi="Verdana"/>
          <w:sz w:val="20"/>
        </w:rPr>
        <w:t>7</w:t>
      </w:r>
      <w:r w:rsidR="00782D70" w:rsidRPr="00E17ED4">
        <w:rPr>
          <w:rFonts w:ascii="Verdana" w:hAnsi="Verdana"/>
          <w:sz w:val="20"/>
        </w:rPr>
        <w:t>%.</w:t>
      </w:r>
      <w:r w:rsidR="00424328" w:rsidRPr="00E17ED4">
        <w:rPr>
          <w:rFonts w:ascii="Verdana" w:hAnsi="Verdana"/>
          <w:sz w:val="20"/>
        </w:rPr>
        <w:t xml:space="preserve"> Magistrados actuando como refuerzo han dictado el </w:t>
      </w:r>
      <w:r w:rsidR="00E1308D" w:rsidRPr="00E17ED4">
        <w:rPr>
          <w:rFonts w:ascii="Verdana" w:hAnsi="Verdana"/>
          <w:sz w:val="20"/>
        </w:rPr>
        <w:t>9,4</w:t>
      </w:r>
      <w:r w:rsidR="00424328" w:rsidRPr="00E17ED4">
        <w:rPr>
          <w:rFonts w:ascii="Verdana" w:hAnsi="Verdana"/>
          <w:sz w:val="20"/>
        </w:rPr>
        <w:t>% de las sentencias</w:t>
      </w:r>
      <w:r w:rsidR="007D7DE4" w:rsidRPr="00E17ED4">
        <w:rPr>
          <w:rFonts w:ascii="Verdana" w:hAnsi="Verdana"/>
          <w:sz w:val="20"/>
        </w:rPr>
        <w:t xml:space="preserve">. De ellas, </w:t>
      </w:r>
      <w:r w:rsidR="000A4FDB" w:rsidRPr="00E17ED4">
        <w:rPr>
          <w:rFonts w:ascii="Verdana" w:hAnsi="Verdana"/>
          <w:sz w:val="20"/>
        </w:rPr>
        <w:t xml:space="preserve">un </w:t>
      </w:r>
      <w:r w:rsidR="00E1308D" w:rsidRPr="00E17ED4">
        <w:rPr>
          <w:rFonts w:ascii="Verdana" w:hAnsi="Verdana"/>
          <w:sz w:val="20"/>
        </w:rPr>
        <w:t>7</w:t>
      </w:r>
      <w:r w:rsidR="000A4FDB" w:rsidRPr="00E17ED4">
        <w:rPr>
          <w:rFonts w:ascii="Verdana" w:hAnsi="Verdana"/>
          <w:sz w:val="20"/>
        </w:rPr>
        <w:t>,</w:t>
      </w:r>
      <w:r w:rsidR="00E1308D" w:rsidRPr="00E17ED4">
        <w:rPr>
          <w:rFonts w:ascii="Verdana" w:hAnsi="Verdana"/>
          <w:sz w:val="20"/>
        </w:rPr>
        <w:t>6</w:t>
      </w:r>
      <w:r w:rsidR="007D7DE4" w:rsidRPr="00E17ED4">
        <w:rPr>
          <w:rFonts w:ascii="Verdana" w:hAnsi="Verdana"/>
          <w:sz w:val="20"/>
        </w:rPr>
        <w:t xml:space="preserve">% </w:t>
      </w:r>
      <w:r w:rsidR="00E1308D" w:rsidRPr="00E17ED4">
        <w:rPr>
          <w:rFonts w:ascii="Verdana" w:hAnsi="Verdana"/>
          <w:sz w:val="20"/>
        </w:rPr>
        <w:t>han sido dictadas por</w:t>
      </w:r>
      <w:r w:rsidR="007D7DE4" w:rsidRPr="00E17ED4">
        <w:rPr>
          <w:rFonts w:ascii="Verdana" w:hAnsi="Verdana"/>
          <w:sz w:val="20"/>
        </w:rPr>
        <w:t xml:space="preserve"> jueces de adscripción ter</w:t>
      </w:r>
      <w:r w:rsidR="0068546A" w:rsidRPr="00E17ED4">
        <w:rPr>
          <w:rFonts w:ascii="Verdana" w:hAnsi="Verdana"/>
          <w:sz w:val="20"/>
        </w:rPr>
        <w:t xml:space="preserve">ritorial, un </w:t>
      </w:r>
      <w:r w:rsidR="00E1308D" w:rsidRPr="00E17ED4">
        <w:rPr>
          <w:rFonts w:ascii="Verdana" w:hAnsi="Verdana"/>
          <w:sz w:val="20"/>
        </w:rPr>
        <w:t>0</w:t>
      </w:r>
      <w:r w:rsidR="0068546A" w:rsidRPr="00E17ED4">
        <w:rPr>
          <w:rFonts w:ascii="Verdana" w:hAnsi="Verdana"/>
          <w:sz w:val="20"/>
        </w:rPr>
        <w:t>,</w:t>
      </w:r>
      <w:r w:rsidR="00E1308D" w:rsidRPr="00E17ED4">
        <w:rPr>
          <w:rFonts w:ascii="Verdana" w:hAnsi="Verdana"/>
          <w:sz w:val="20"/>
        </w:rPr>
        <w:t>4</w:t>
      </w:r>
      <w:r w:rsidR="0068546A" w:rsidRPr="00E17ED4">
        <w:rPr>
          <w:rFonts w:ascii="Verdana" w:hAnsi="Verdana"/>
          <w:sz w:val="20"/>
        </w:rPr>
        <w:t xml:space="preserve">% </w:t>
      </w:r>
      <w:r w:rsidR="00E1308D" w:rsidRPr="00E17ED4">
        <w:rPr>
          <w:rFonts w:ascii="Verdana" w:hAnsi="Verdana"/>
          <w:sz w:val="20"/>
        </w:rPr>
        <w:t>por</w:t>
      </w:r>
      <w:r w:rsidR="0068546A" w:rsidRPr="00E17ED4">
        <w:rPr>
          <w:rFonts w:ascii="Verdana" w:hAnsi="Verdana"/>
          <w:sz w:val="20"/>
        </w:rPr>
        <w:t xml:space="preserve"> titulares d</w:t>
      </w:r>
      <w:r w:rsidR="007D7DE4" w:rsidRPr="00E17ED4">
        <w:rPr>
          <w:rFonts w:ascii="Verdana" w:hAnsi="Verdana"/>
          <w:sz w:val="20"/>
        </w:rPr>
        <w:t>e</w:t>
      </w:r>
      <w:r w:rsidR="0068546A" w:rsidRPr="00E17ED4">
        <w:rPr>
          <w:rFonts w:ascii="Verdana" w:hAnsi="Verdana"/>
          <w:sz w:val="20"/>
        </w:rPr>
        <w:t xml:space="preserve"> </w:t>
      </w:r>
      <w:r w:rsidR="007D7DE4" w:rsidRPr="00E17ED4">
        <w:rPr>
          <w:rFonts w:ascii="Verdana" w:hAnsi="Verdana"/>
          <w:sz w:val="20"/>
        </w:rPr>
        <w:t xml:space="preserve">otro órgano, y un </w:t>
      </w:r>
      <w:r w:rsidR="00E1308D" w:rsidRPr="00E17ED4">
        <w:rPr>
          <w:rFonts w:ascii="Verdana" w:hAnsi="Verdana"/>
          <w:sz w:val="20"/>
        </w:rPr>
        <w:t>1,4</w:t>
      </w:r>
      <w:r w:rsidR="007D7DE4" w:rsidRPr="00E17ED4">
        <w:rPr>
          <w:rFonts w:ascii="Verdana" w:hAnsi="Verdana"/>
          <w:sz w:val="20"/>
        </w:rPr>
        <w:t xml:space="preserve">% </w:t>
      </w:r>
      <w:r w:rsidR="00E1308D" w:rsidRPr="00E17ED4">
        <w:rPr>
          <w:rFonts w:ascii="Verdana" w:hAnsi="Verdana"/>
          <w:sz w:val="20"/>
        </w:rPr>
        <w:t>por</w:t>
      </w:r>
      <w:r w:rsidR="007D7DE4" w:rsidRPr="00E17ED4">
        <w:rPr>
          <w:rFonts w:ascii="Verdana" w:hAnsi="Verdana"/>
          <w:sz w:val="20"/>
        </w:rPr>
        <w:t xml:space="preserve"> jueces sustitutos. </w:t>
      </w:r>
      <w:r w:rsidR="00E05AE1" w:rsidRPr="00E17ED4">
        <w:rPr>
          <w:rFonts w:ascii="Verdana" w:hAnsi="Verdana"/>
          <w:sz w:val="20"/>
        </w:rPr>
        <w:t xml:space="preserve">Los jueces de adscripción territorial han puesto un </w:t>
      </w:r>
      <w:r w:rsidR="00E1308D" w:rsidRPr="00E17ED4">
        <w:rPr>
          <w:rFonts w:ascii="Verdana" w:hAnsi="Verdana"/>
          <w:sz w:val="20"/>
        </w:rPr>
        <w:t>0</w:t>
      </w:r>
      <w:r w:rsidR="000A4FDB" w:rsidRPr="00E17ED4">
        <w:rPr>
          <w:rFonts w:ascii="Verdana" w:hAnsi="Verdana"/>
          <w:sz w:val="20"/>
        </w:rPr>
        <w:t>,</w:t>
      </w:r>
      <w:r w:rsidR="00E1308D" w:rsidRPr="00E17ED4">
        <w:rPr>
          <w:rFonts w:ascii="Verdana" w:hAnsi="Verdana"/>
          <w:sz w:val="20"/>
        </w:rPr>
        <w:t>8</w:t>
      </w:r>
      <w:r w:rsidR="00E05AE1" w:rsidRPr="00E17ED4">
        <w:rPr>
          <w:rFonts w:ascii="Verdana" w:hAnsi="Verdana"/>
          <w:sz w:val="20"/>
        </w:rPr>
        <w:t>% de las sentencias actuando en funciones de sus</w:t>
      </w:r>
      <w:r w:rsidR="000A4FDB" w:rsidRPr="00E17ED4">
        <w:rPr>
          <w:rFonts w:ascii="Verdana" w:hAnsi="Verdana"/>
          <w:sz w:val="20"/>
        </w:rPr>
        <w:t>titución del titular del órgano</w:t>
      </w:r>
      <w:r w:rsidR="00E05AE1" w:rsidRPr="00E17ED4">
        <w:rPr>
          <w:rFonts w:ascii="Verdana" w:hAnsi="Verdana"/>
          <w:sz w:val="20"/>
        </w:rPr>
        <w:t xml:space="preserve">, aparte del </w:t>
      </w:r>
      <w:r w:rsidR="00E1308D" w:rsidRPr="00E17ED4">
        <w:rPr>
          <w:rFonts w:ascii="Verdana" w:hAnsi="Verdana"/>
          <w:sz w:val="20"/>
        </w:rPr>
        <w:t>7</w:t>
      </w:r>
      <w:r w:rsidR="00E05AE1" w:rsidRPr="00E17ED4">
        <w:rPr>
          <w:rFonts w:ascii="Verdana" w:hAnsi="Verdana"/>
          <w:sz w:val="20"/>
        </w:rPr>
        <w:t>,</w:t>
      </w:r>
      <w:r w:rsidR="00E1308D" w:rsidRPr="00E17ED4">
        <w:rPr>
          <w:rFonts w:ascii="Verdana" w:hAnsi="Verdana"/>
          <w:sz w:val="20"/>
        </w:rPr>
        <w:t>6</w:t>
      </w:r>
      <w:r w:rsidR="00E05AE1" w:rsidRPr="00E17ED4">
        <w:rPr>
          <w:rFonts w:ascii="Verdana" w:hAnsi="Verdana"/>
          <w:sz w:val="20"/>
        </w:rPr>
        <w:t>% de</w:t>
      </w:r>
      <w:r w:rsidR="002737A7" w:rsidRPr="00E17ED4">
        <w:rPr>
          <w:rFonts w:ascii="Verdana" w:hAnsi="Verdana"/>
          <w:sz w:val="20"/>
        </w:rPr>
        <w:t xml:space="preserve"> </w:t>
      </w:r>
      <w:r w:rsidR="00E05AE1" w:rsidRPr="00E17ED4">
        <w:rPr>
          <w:rFonts w:ascii="Verdana" w:hAnsi="Verdana"/>
          <w:sz w:val="20"/>
        </w:rPr>
        <w:t>las sentencias actuando como refuerzo</w:t>
      </w:r>
      <w:r w:rsidR="000A4FDB" w:rsidRPr="00E17ED4">
        <w:rPr>
          <w:rFonts w:ascii="Verdana" w:hAnsi="Verdana"/>
          <w:sz w:val="20"/>
        </w:rPr>
        <w:t xml:space="preserve">. </w:t>
      </w:r>
      <w:r w:rsidR="00E1308D" w:rsidRPr="00E17ED4">
        <w:rPr>
          <w:rFonts w:ascii="Verdana" w:hAnsi="Verdana"/>
          <w:sz w:val="20"/>
        </w:rPr>
        <w:t>Los</w:t>
      </w:r>
      <w:r w:rsidR="00C62519" w:rsidRPr="00E17ED4">
        <w:rPr>
          <w:rFonts w:ascii="Verdana" w:hAnsi="Verdana"/>
          <w:sz w:val="20"/>
        </w:rPr>
        <w:t xml:space="preserve"> JAT han </w:t>
      </w:r>
      <w:r w:rsidR="00E1308D" w:rsidRPr="00E17ED4">
        <w:rPr>
          <w:rFonts w:ascii="Verdana" w:hAnsi="Verdana"/>
          <w:sz w:val="20"/>
        </w:rPr>
        <w:t>superado el 10% de las sentencias dictadas como refuerzo en Extremadura, 15,6%; Madrid, 15,2%; C. Valenciana, 12,5%; y Andalucía, 12,2</w:t>
      </w:r>
      <w:r w:rsidR="00C62519" w:rsidRPr="00E17ED4">
        <w:rPr>
          <w:rFonts w:ascii="Verdana" w:hAnsi="Verdana"/>
          <w:sz w:val="20"/>
        </w:rPr>
        <w:t xml:space="preserve">. </w:t>
      </w:r>
      <w:r w:rsidR="00ED789E" w:rsidRPr="00E17ED4">
        <w:rPr>
          <w:rFonts w:ascii="Verdana" w:hAnsi="Verdana"/>
          <w:sz w:val="20"/>
        </w:rPr>
        <w:t xml:space="preserve">Las sentencias dictadas por jueces sustitutos, tanto en sustitución como </w:t>
      </w:r>
      <w:r w:rsidR="00764C2C" w:rsidRPr="00E17ED4">
        <w:rPr>
          <w:rFonts w:ascii="Verdana" w:hAnsi="Verdana"/>
          <w:sz w:val="20"/>
        </w:rPr>
        <w:t>en refuerzo</w:t>
      </w:r>
      <w:r w:rsidR="00ED789E" w:rsidRPr="00E17ED4">
        <w:rPr>
          <w:rFonts w:ascii="Verdana" w:hAnsi="Verdana"/>
          <w:sz w:val="20"/>
        </w:rPr>
        <w:t xml:space="preserve">, han significado el </w:t>
      </w:r>
      <w:r w:rsidR="00E1308D" w:rsidRPr="00E17ED4">
        <w:rPr>
          <w:rFonts w:ascii="Verdana" w:hAnsi="Verdana"/>
          <w:sz w:val="20"/>
        </w:rPr>
        <w:t>8</w:t>
      </w:r>
      <w:r w:rsidR="00ED789E" w:rsidRPr="00E17ED4">
        <w:rPr>
          <w:rFonts w:ascii="Verdana" w:hAnsi="Verdana"/>
          <w:sz w:val="20"/>
        </w:rPr>
        <w:t>,</w:t>
      </w:r>
      <w:r w:rsidR="00E1308D" w:rsidRPr="00E17ED4">
        <w:rPr>
          <w:rFonts w:ascii="Verdana" w:hAnsi="Verdana"/>
          <w:sz w:val="20"/>
        </w:rPr>
        <w:t>6</w:t>
      </w:r>
      <w:r w:rsidR="00ED789E" w:rsidRPr="00E17ED4">
        <w:rPr>
          <w:rFonts w:ascii="Verdana" w:hAnsi="Verdana"/>
          <w:sz w:val="20"/>
        </w:rPr>
        <w:t xml:space="preserve">% del total, pero en Illes Balears han representado el </w:t>
      </w:r>
      <w:r w:rsidR="00E1308D" w:rsidRPr="00E17ED4">
        <w:rPr>
          <w:rFonts w:ascii="Verdana" w:hAnsi="Verdana"/>
          <w:sz w:val="20"/>
        </w:rPr>
        <w:t xml:space="preserve">57%, en Navarra el 21,2%, en Castilla la Mancha, el 17,5%, en Asturias, el 12,5%, y en Galicia, el 12,1%. </w:t>
      </w:r>
    </w:p>
    <w:p w:rsidR="00D24E35" w:rsidRPr="00E17ED4" w:rsidRDefault="00424328" w:rsidP="00C941EC">
      <w:pPr>
        <w:pStyle w:val="Textoindependiente"/>
        <w:spacing w:before="120" w:after="120"/>
        <w:ind w:firstLine="357"/>
        <w:rPr>
          <w:rFonts w:ascii="Verdana" w:hAnsi="Verdana"/>
          <w:sz w:val="20"/>
        </w:rPr>
      </w:pPr>
      <w:r w:rsidRPr="00E17ED4">
        <w:rPr>
          <w:rFonts w:ascii="Verdana" w:hAnsi="Verdana"/>
          <w:sz w:val="20"/>
        </w:rPr>
        <w:t xml:space="preserve"> </w:t>
      </w:r>
      <w:r w:rsidR="009E6C91" w:rsidRPr="00E17ED4">
        <w:rPr>
          <w:rFonts w:ascii="Verdana" w:hAnsi="Verdana"/>
          <w:sz w:val="20"/>
        </w:rPr>
        <w:t>En las salas de lo social de los tribunales superiores de j</w:t>
      </w:r>
      <w:r w:rsidR="00006F74" w:rsidRPr="00E17ED4">
        <w:rPr>
          <w:rFonts w:ascii="Verdana" w:hAnsi="Verdana"/>
          <w:sz w:val="20"/>
        </w:rPr>
        <w:t xml:space="preserve">usticia el </w:t>
      </w:r>
      <w:r w:rsidR="00135CD2" w:rsidRPr="00E17ED4">
        <w:rPr>
          <w:rFonts w:ascii="Verdana" w:hAnsi="Verdana"/>
          <w:sz w:val="20"/>
        </w:rPr>
        <w:t>9</w:t>
      </w:r>
      <w:r w:rsidR="00E1308D" w:rsidRPr="00E17ED4">
        <w:rPr>
          <w:rFonts w:ascii="Verdana" w:hAnsi="Verdana"/>
          <w:sz w:val="20"/>
        </w:rPr>
        <w:t>5</w:t>
      </w:r>
      <w:r w:rsidR="00B56517" w:rsidRPr="00E17ED4">
        <w:rPr>
          <w:rFonts w:ascii="Verdana" w:hAnsi="Verdana"/>
          <w:sz w:val="20"/>
        </w:rPr>
        <w:t>,</w:t>
      </w:r>
      <w:r w:rsidR="00E1308D" w:rsidRPr="00E17ED4">
        <w:rPr>
          <w:rFonts w:ascii="Verdana" w:hAnsi="Verdana"/>
          <w:sz w:val="20"/>
        </w:rPr>
        <w:t>2</w:t>
      </w:r>
      <w:r w:rsidR="00567FED" w:rsidRPr="00E17ED4">
        <w:rPr>
          <w:rFonts w:ascii="Verdana" w:hAnsi="Verdana"/>
          <w:sz w:val="20"/>
        </w:rPr>
        <w:t>%</w:t>
      </w:r>
      <w:r w:rsidR="00D0787C" w:rsidRPr="00E17ED4">
        <w:rPr>
          <w:rFonts w:ascii="Verdana" w:hAnsi="Verdana"/>
          <w:sz w:val="20"/>
        </w:rPr>
        <w:t xml:space="preserve"> </w:t>
      </w:r>
      <w:r w:rsidR="00006F74" w:rsidRPr="00E17ED4">
        <w:rPr>
          <w:rFonts w:ascii="Verdana" w:hAnsi="Verdana"/>
          <w:sz w:val="20"/>
        </w:rPr>
        <w:t>de las sentencias fueron dictadas por titulares</w:t>
      </w:r>
      <w:r w:rsidR="00AB0828" w:rsidRPr="00E17ED4">
        <w:rPr>
          <w:rFonts w:ascii="Verdana" w:hAnsi="Verdana"/>
          <w:sz w:val="20"/>
        </w:rPr>
        <w:t xml:space="preserve"> en actuación ordinaria</w:t>
      </w:r>
      <w:r w:rsidR="00E1308D" w:rsidRPr="00E17ED4">
        <w:rPr>
          <w:rFonts w:ascii="Verdana" w:hAnsi="Verdana"/>
          <w:sz w:val="20"/>
        </w:rPr>
        <w:t>.</w:t>
      </w:r>
      <w:r w:rsidR="00477BDD" w:rsidRPr="00E17ED4">
        <w:rPr>
          <w:rFonts w:ascii="Verdana" w:hAnsi="Verdana"/>
          <w:sz w:val="20"/>
        </w:rPr>
        <w:t xml:space="preserve"> </w:t>
      </w:r>
      <w:r w:rsidR="006237AD" w:rsidRPr="00E17ED4">
        <w:rPr>
          <w:rFonts w:ascii="Verdana" w:hAnsi="Verdana"/>
          <w:sz w:val="20"/>
        </w:rPr>
        <w:t xml:space="preserve">En </w:t>
      </w:r>
      <w:r w:rsidR="00B87B69" w:rsidRPr="00E17ED4">
        <w:rPr>
          <w:rFonts w:ascii="Verdana" w:hAnsi="Verdana"/>
          <w:sz w:val="20"/>
        </w:rPr>
        <w:t>Aragón,  Ca</w:t>
      </w:r>
      <w:r w:rsidR="00E1308D" w:rsidRPr="00E17ED4">
        <w:rPr>
          <w:rFonts w:ascii="Verdana" w:hAnsi="Verdana"/>
          <w:sz w:val="20"/>
        </w:rPr>
        <w:t xml:space="preserve">taluña, </w:t>
      </w:r>
      <w:r w:rsidR="00E1308D" w:rsidRPr="00E17ED4">
        <w:rPr>
          <w:rFonts w:ascii="Verdana" w:hAnsi="Verdana"/>
          <w:sz w:val="20"/>
        </w:rPr>
        <w:lastRenderedPageBreak/>
        <w:t xml:space="preserve">Galicia y Murcia </w:t>
      </w:r>
      <w:r w:rsidR="00477BDD" w:rsidRPr="00E17ED4">
        <w:rPr>
          <w:rFonts w:ascii="Verdana" w:hAnsi="Verdana"/>
          <w:sz w:val="20"/>
        </w:rPr>
        <w:t xml:space="preserve">el 100% </w:t>
      </w:r>
      <w:r w:rsidR="00075261" w:rsidRPr="00E17ED4">
        <w:rPr>
          <w:rFonts w:ascii="Verdana" w:hAnsi="Verdana"/>
          <w:sz w:val="20"/>
        </w:rPr>
        <w:t>de</w:t>
      </w:r>
      <w:r w:rsidR="00477BDD" w:rsidRPr="00E17ED4">
        <w:rPr>
          <w:rFonts w:ascii="Verdana" w:hAnsi="Verdana"/>
          <w:sz w:val="20"/>
        </w:rPr>
        <w:t xml:space="preserve"> las sentencias las dictaron titulares de los </w:t>
      </w:r>
      <w:r w:rsidR="00075261" w:rsidRPr="00E17ED4">
        <w:rPr>
          <w:rFonts w:ascii="Verdana" w:hAnsi="Verdana"/>
          <w:sz w:val="20"/>
        </w:rPr>
        <w:t>órganos</w:t>
      </w:r>
      <w:r w:rsidR="00477BDD" w:rsidRPr="00E17ED4">
        <w:rPr>
          <w:rFonts w:ascii="Verdana" w:hAnsi="Verdana"/>
          <w:sz w:val="20"/>
        </w:rPr>
        <w:t xml:space="preserve">. </w:t>
      </w:r>
      <w:r w:rsidR="00B87B69" w:rsidRPr="00E17ED4">
        <w:rPr>
          <w:rFonts w:ascii="Verdana" w:hAnsi="Verdana"/>
          <w:sz w:val="20"/>
        </w:rPr>
        <w:t xml:space="preserve">Los porcentajes más bajos se han dado en </w:t>
      </w:r>
      <w:r w:rsidR="00ED1747" w:rsidRPr="00E17ED4">
        <w:rPr>
          <w:rFonts w:ascii="Verdana" w:hAnsi="Verdana"/>
          <w:sz w:val="20"/>
        </w:rPr>
        <w:t>Illes</w:t>
      </w:r>
      <w:r w:rsidR="00B87B69" w:rsidRPr="00E17ED4">
        <w:rPr>
          <w:rFonts w:ascii="Verdana" w:hAnsi="Verdana"/>
          <w:sz w:val="20"/>
        </w:rPr>
        <w:t xml:space="preserve"> </w:t>
      </w:r>
      <w:r w:rsidR="00ED1747" w:rsidRPr="00E17ED4">
        <w:rPr>
          <w:rFonts w:ascii="Verdana" w:hAnsi="Verdana"/>
          <w:sz w:val="20"/>
        </w:rPr>
        <w:t>Balears</w:t>
      </w:r>
      <w:r w:rsidR="00B87B69" w:rsidRPr="00E17ED4">
        <w:rPr>
          <w:rFonts w:ascii="Verdana" w:hAnsi="Verdana"/>
          <w:sz w:val="20"/>
        </w:rPr>
        <w:t xml:space="preserve">, </w:t>
      </w:r>
      <w:r w:rsidR="00AB0828" w:rsidRPr="00E17ED4">
        <w:rPr>
          <w:rFonts w:ascii="Verdana" w:hAnsi="Verdana"/>
          <w:sz w:val="20"/>
        </w:rPr>
        <w:t>6</w:t>
      </w:r>
      <w:r w:rsidR="00E1308D" w:rsidRPr="00E17ED4">
        <w:rPr>
          <w:rFonts w:ascii="Verdana" w:hAnsi="Verdana"/>
          <w:sz w:val="20"/>
        </w:rPr>
        <w:t>8</w:t>
      </w:r>
      <w:r w:rsidR="00B87B69" w:rsidRPr="00E17ED4">
        <w:rPr>
          <w:rFonts w:ascii="Verdana" w:hAnsi="Verdana"/>
          <w:sz w:val="20"/>
        </w:rPr>
        <w:t>,</w:t>
      </w:r>
      <w:r w:rsidR="00E1308D" w:rsidRPr="00E17ED4">
        <w:rPr>
          <w:rFonts w:ascii="Verdana" w:hAnsi="Verdana"/>
          <w:sz w:val="20"/>
        </w:rPr>
        <w:t>3</w:t>
      </w:r>
      <w:r w:rsidR="00B87B69" w:rsidRPr="00E17ED4">
        <w:rPr>
          <w:rFonts w:ascii="Verdana" w:hAnsi="Verdana"/>
          <w:sz w:val="20"/>
        </w:rPr>
        <w:t xml:space="preserve">%, </w:t>
      </w:r>
      <w:r w:rsidR="00AB0828" w:rsidRPr="00E17ED4">
        <w:rPr>
          <w:rFonts w:ascii="Verdana" w:hAnsi="Verdana"/>
          <w:sz w:val="20"/>
        </w:rPr>
        <w:t>Extremadura, 68</w:t>
      </w:r>
      <w:r w:rsidR="00934E4A" w:rsidRPr="00E17ED4">
        <w:rPr>
          <w:rFonts w:ascii="Verdana" w:hAnsi="Verdana"/>
          <w:sz w:val="20"/>
        </w:rPr>
        <w:t>,2</w:t>
      </w:r>
      <w:r w:rsidR="00AB0828" w:rsidRPr="00E17ED4">
        <w:rPr>
          <w:rFonts w:ascii="Verdana" w:hAnsi="Verdana"/>
          <w:sz w:val="20"/>
        </w:rPr>
        <w:t xml:space="preserve">%; y </w:t>
      </w:r>
      <w:r w:rsidR="00B87B69" w:rsidRPr="00E17ED4">
        <w:rPr>
          <w:rFonts w:ascii="Verdana" w:hAnsi="Verdana"/>
          <w:sz w:val="20"/>
        </w:rPr>
        <w:t xml:space="preserve">Canarias, </w:t>
      </w:r>
      <w:r w:rsidR="00AB0828" w:rsidRPr="00E17ED4">
        <w:rPr>
          <w:rFonts w:ascii="Verdana" w:hAnsi="Verdana"/>
          <w:sz w:val="20"/>
        </w:rPr>
        <w:t>73,</w:t>
      </w:r>
      <w:r w:rsidR="00934E4A" w:rsidRPr="00E17ED4">
        <w:rPr>
          <w:rFonts w:ascii="Verdana" w:hAnsi="Verdana"/>
          <w:sz w:val="20"/>
        </w:rPr>
        <w:t>7</w:t>
      </w:r>
      <w:r w:rsidR="00B87B69" w:rsidRPr="00E17ED4">
        <w:rPr>
          <w:rFonts w:ascii="Verdana" w:hAnsi="Verdana"/>
          <w:sz w:val="20"/>
        </w:rPr>
        <w:t xml:space="preserve">%. </w:t>
      </w:r>
      <w:r w:rsidR="00350FBE" w:rsidRPr="00E17ED4">
        <w:rPr>
          <w:rFonts w:ascii="Verdana" w:hAnsi="Verdana"/>
          <w:sz w:val="20"/>
        </w:rPr>
        <w:t xml:space="preserve"> </w:t>
      </w:r>
      <w:r w:rsidR="00D24E35" w:rsidRPr="00E17ED4">
        <w:rPr>
          <w:rFonts w:ascii="Verdana" w:hAnsi="Verdana"/>
          <w:sz w:val="20"/>
        </w:rPr>
        <w:t xml:space="preserve">El 1,4% </w:t>
      </w:r>
      <w:r w:rsidR="00B87B69" w:rsidRPr="00E17ED4">
        <w:rPr>
          <w:rFonts w:ascii="Verdana" w:hAnsi="Verdana"/>
          <w:sz w:val="20"/>
        </w:rPr>
        <w:t xml:space="preserve">de las sentencias </w:t>
      </w:r>
      <w:r w:rsidR="00D24E35" w:rsidRPr="00E17ED4">
        <w:rPr>
          <w:rFonts w:ascii="Verdana" w:hAnsi="Verdana"/>
          <w:sz w:val="20"/>
        </w:rPr>
        <w:t xml:space="preserve">han sido </w:t>
      </w:r>
      <w:r w:rsidR="00AB0828" w:rsidRPr="00E17ED4">
        <w:rPr>
          <w:rFonts w:ascii="Verdana" w:hAnsi="Verdana"/>
          <w:sz w:val="20"/>
        </w:rPr>
        <w:t>dictadas</w:t>
      </w:r>
      <w:r w:rsidR="00B87B69" w:rsidRPr="00E17ED4">
        <w:rPr>
          <w:rFonts w:ascii="Verdana" w:hAnsi="Verdana"/>
          <w:sz w:val="20"/>
        </w:rPr>
        <w:t xml:space="preserve"> por </w:t>
      </w:r>
      <w:r w:rsidR="00ED1747" w:rsidRPr="00E17ED4">
        <w:rPr>
          <w:rFonts w:ascii="Verdana" w:hAnsi="Verdana"/>
          <w:sz w:val="20"/>
        </w:rPr>
        <w:t>magistrados</w:t>
      </w:r>
      <w:r w:rsidR="00B87B69" w:rsidRPr="00E17ED4">
        <w:rPr>
          <w:rFonts w:ascii="Verdana" w:hAnsi="Verdana"/>
          <w:sz w:val="20"/>
        </w:rPr>
        <w:t xml:space="preserve"> actuando como refuerzo</w:t>
      </w:r>
      <w:r w:rsidR="00D24E35" w:rsidRPr="00E17ED4">
        <w:rPr>
          <w:rFonts w:ascii="Verdana" w:hAnsi="Verdana"/>
          <w:sz w:val="20"/>
        </w:rPr>
        <w:t>. D</w:t>
      </w:r>
      <w:r w:rsidR="00AB0828" w:rsidRPr="00E17ED4">
        <w:rPr>
          <w:rFonts w:ascii="Verdana" w:hAnsi="Verdana"/>
          <w:sz w:val="20"/>
        </w:rPr>
        <w:t xml:space="preserve">estacan </w:t>
      </w:r>
      <w:r w:rsidR="00D24E35" w:rsidRPr="00E17ED4">
        <w:rPr>
          <w:rFonts w:ascii="Verdana" w:hAnsi="Verdana"/>
          <w:sz w:val="20"/>
        </w:rPr>
        <w:t>Canarias, con el 16</w:t>
      </w:r>
      <w:r w:rsidR="00AB0828" w:rsidRPr="00E17ED4">
        <w:rPr>
          <w:rFonts w:ascii="Verdana" w:hAnsi="Verdana"/>
          <w:sz w:val="20"/>
        </w:rPr>
        <w:t>,</w:t>
      </w:r>
      <w:r w:rsidR="00D24E35" w:rsidRPr="00E17ED4">
        <w:rPr>
          <w:rFonts w:ascii="Verdana" w:hAnsi="Verdana"/>
          <w:sz w:val="20"/>
        </w:rPr>
        <w:t>7</w:t>
      </w:r>
      <w:r w:rsidR="00AB0828" w:rsidRPr="00E17ED4">
        <w:rPr>
          <w:rFonts w:ascii="Verdana" w:hAnsi="Verdana"/>
          <w:sz w:val="20"/>
        </w:rPr>
        <w:t>%; Navarra, 16</w:t>
      </w:r>
      <w:r w:rsidR="00D24E35" w:rsidRPr="00E17ED4">
        <w:rPr>
          <w:rFonts w:ascii="Verdana" w:hAnsi="Verdana"/>
          <w:sz w:val="20"/>
        </w:rPr>
        <w:t>%</w:t>
      </w:r>
      <w:r w:rsidR="00AB0828" w:rsidRPr="00E17ED4">
        <w:rPr>
          <w:rFonts w:ascii="Verdana" w:hAnsi="Verdana"/>
          <w:sz w:val="20"/>
        </w:rPr>
        <w:t xml:space="preserve">; </w:t>
      </w:r>
      <w:r w:rsidR="00D24E35" w:rsidRPr="00E17ED4">
        <w:rPr>
          <w:rFonts w:ascii="Verdana" w:hAnsi="Verdana"/>
          <w:sz w:val="20"/>
        </w:rPr>
        <w:t>y La Rioja, 10,3%.</w:t>
      </w:r>
      <w:r w:rsidR="00AB0828" w:rsidRPr="00E17ED4">
        <w:rPr>
          <w:rFonts w:ascii="Verdana" w:hAnsi="Verdana"/>
          <w:sz w:val="20"/>
        </w:rPr>
        <w:t xml:space="preserve"> </w:t>
      </w:r>
      <w:r w:rsidR="004B57E0" w:rsidRPr="00E17ED4">
        <w:rPr>
          <w:rFonts w:ascii="Verdana" w:hAnsi="Verdana"/>
          <w:sz w:val="20"/>
        </w:rPr>
        <w:t>M</w:t>
      </w:r>
      <w:r w:rsidR="00B87B69" w:rsidRPr="00E17ED4">
        <w:rPr>
          <w:rFonts w:ascii="Verdana" w:hAnsi="Verdana"/>
          <w:sz w:val="20"/>
        </w:rPr>
        <w:t>agistrados suplentes</w:t>
      </w:r>
      <w:r w:rsidR="004B57E0" w:rsidRPr="00E17ED4">
        <w:rPr>
          <w:rFonts w:ascii="Verdana" w:hAnsi="Verdana"/>
          <w:sz w:val="20"/>
        </w:rPr>
        <w:t xml:space="preserve"> han dictado, el 1,</w:t>
      </w:r>
      <w:r w:rsidR="00D24E35" w:rsidRPr="00E17ED4">
        <w:rPr>
          <w:rFonts w:ascii="Verdana" w:hAnsi="Verdana"/>
          <w:sz w:val="20"/>
        </w:rPr>
        <w:t>1</w:t>
      </w:r>
      <w:r w:rsidR="004B57E0" w:rsidRPr="00E17ED4">
        <w:rPr>
          <w:rFonts w:ascii="Verdana" w:hAnsi="Verdana"/>
          <w:sz w:val="20"/>
        </w:rPr>
        <w:t>%</w:t>
      </w:r>
      <w:r w:rsidR="00B87B69" w:rsidRPr="00E17ED4">
        <w:rPr>
          <w:rFonts w:ascii="Verdana" w:hAnsi="Verdana"/>
          <w:sz w:val="20"/>
        </w:rPr>
        <w:t xml:space="preserve">. </w:t>
      </w:r>
      <w:r w:rsidR="00C941EC" w:rsidRPr="00E17ED4">
        <w:rPr>
          <w:rFonts w:ascii="Verdana" w:hAnsi="Verdana"/>
          <w:sz w:val="20"/>
        </w:rPr>
        <w:t xml:space="preserve">Destacan </w:t>
      </w:r>
      <w:r w:rsidR="00D24E35" w:rsidRPr="00E17ED4">
        <w:rPr>
          <w:rFonts w:ascii="Verdana" w:hAnsi="Verdana"/>
          <w:sz w:val="20"/>
        </w:rPr>
        <w:t>La Rioja, 10,3% (como refuerzo), C. Valenciana, 3,9%; Madrid, 2,7%; y Andalucía, 2,2%, en los tres últimos casos como sustitución de titulares.</w:t>
      </w:r>
    </w:p>
    <w:p w:rsidR="004B57E0" w:rsidRPr="00E17ED4" w:rsidRDefault="004B57E0" w:rsidP="00C941EC">
      <w:pPr>
        <w:pStyle w:val="Textoindependiente"/>
        <w:spacing w:before="120" w:after="120"/>
        <w:ind w:firstLine="357"/>
        <w:rPr>
          <w:rFonts w:ascii="Verdana" w:hAnsi="Verdana"/>
          <w:color w:val="FF0000"/>
          <w:sz w:val="20"/>
        </w:rPr>
      </w:pPr>
    </w:p>
    <w:tbl>
      <w:tblPr>
        <w:tblW w:w="10340" w:type="dxa"/>
        <w:jc w:val="center"/>
        <w:tblInd w:w="55" w:type="dxa"/>
        <w:tblCellMar>
          <w:left w:w="70" w:type="dxa"/>
          <w:right w:w="70" w:type="dxa"/>
        </w:tblCellMar>
        <w:tblLook w:val="04A0" w:firstRow="1" w:lastRow="0" w:firstColumn="1" w:lastColumn="0" w:noHBand="0" w:noVBand="1"/>
      </w:tblPr>
      <w:tblGrid>
        <w:gridCol w:w="2020"/>
        <w:gridCol w:w="1060"/>
        <w:gridCol w:w="960"/>
        <w:gridCol w:w="720"/>
        <w:gridCol w:w="980"/>
        <w:gridCol w:w="720"/>
        <w:gridCol w:w="960"/>
        <w:gridCol w:w="760"/>
        <w:gridCol w:w="890"/>
        <w:gridCol w:w="1280"/>
      </w:tblGrid>
      <w:tr w:rsidR="00AC1FC9" w:rsidRPr="00E17ED4" w:rsidTr="00AC1FC9">
        <w:trPr>
          <w:trHeight w:val="315"/>
          <w:jc w:val="center"/>
        </w:trPr>
        <w:tc>
          <w:tcPr>
            <w:tcW w:w="2020" w:type="dxa"/>
            <w:tcBorders>
              <w:top w:val="nil"/>
              <w:left w:val="nil"/>
              <w:bottom w:val="nil"/>
              <w:right w:val="nil"/>
            </w:tcBorders>
            <w:shd w:val="clear" w:color="auto" w:fill="auto"/>
            <w:noWrap/>
            <w:vAlign w:val="bottom"/>
            <w:hideMark/>
          </w:tcPr>
          <w:p w:rsidR="00AC1FC9" w:rsidRPr="00E17ED4" w:rsidRDefault="00AC1FC9">
            <w:pPr>
              <w:rPr>
                <w:color w:val="000000"/>
                <w:sz w:val="20"/>
                <w:szCs w:val="20"/>
              </w:rPr>
            </w:pPr>
          </w:p>
        </w:tc>
        <w:tc>
          <w:tcPr>
            <w:tcW w:w="2020" w:type="dxa"/>
            <w:gridSpan w:val="2"/>
            <w:tcBorders>
              <w:top w:val="single" w:sz="8" w:space="0" w:color="1F497D"/>
              <w:left w:val="nil"/>
              <w:bottom w:val="single" w:sz="8" w:space="0" w:color="1F497D"/>
              <w:right w:val="nil"/>
            </w:tcBorders>
            <w:shd w:val="clear" w:color="auto" w:fill="auto"/>
            <w:noWrap/>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Titular del órgano</w:t>
            </w:r>
          </w:p>
        </w:tc>
        <w:tc>
          <w:tcPr>
            <w:tcW w:w="1700" w:type="dxa"/>
            <w:gridSpan w:val="2"/>
            <w:tcBorders>
              <w:top w:val="single" w:sz="8" w:space="0" w:color="1F497D"/>
              <w:left w:val="nil"/>
              <w:bottom w:val="single" w:sz="8" w:space="0" w:color="1F497D"/>
              <w:right w:val="nil"/>
            </w:tcBorders>
            <w:shd w:val="clear" w:color="auto" w:fill="auto"/>
            <w:noWrap/>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Suplente</w:t>
            </w:r>
          </w:p>
        </w:tc>
        <w:tc>
          <w:tcPr>
            <w:tcW w:w="1680" w:type="dxa"/>
            <w:gridSpan w:val="2"/>
            <w:tcBorders>
              <w:top w:val="single" w:sz="8" w:space="0" w:color="1F497D"/>
              <w:left w:val="nil"/>
              <w:bottom w:val="single" w:sz="8" w:space="0" w:color="1F497D"/>
              <w:right w:val="nil"/>
            </w:tcBorders>
            <w:shd w:val="clear" w:color="auto" w:fill="auto"/>
            <w:noWrap/>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Sustituto</w:t>
            </w:r>
          </w:p>
        </w:tc>
        <w:tc>
          <w:tcPr>
            <w:tcW w:w="1640" w:type="dxa"/>
            <w:gridSpan w:val="2"/>
            <w:tcBorders>
              <w:top w:val="single" w:sz="8" w:space="0" w:color="1F497D"/>
              <w:left w:val="nil"/>
              <w:bottom w:val="single" w:sz="8" w:space="0" w:color="1F497D"/>
              <w:right w:val="nil"/>
            </w:tcBorders>
            <w:shd w:val="clear" w:color="auto" w:fill="auto"/>
            <w:noWrap/>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JAT</w:t>
            </w:r>
          </w:p>
        </w:tc>
        <w:tc>
          <w:tcPr>
            <w:tcW w:w="1280" w:type="dxa"/>
            <w:vMerge w:val="restart"/>
            <w:tcBorders>
              <w:top w:val="single" w:sz="8" w:space="0" w:color="1F497D"/>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Otros magistrados</w:t>
            </w:r>
          </w:p>
        </w:tc>
      </w:tr>
      <w:tr w:rsidR="00AC1FC9" w:rsidRPr="00E17ED4" w:rsidTr="00AC1FC9">
        <w:trPr>
          <w:trHeight w:val="690"/>
          <w:jc w:val="center"/>
        </w:trPr>
        <w:tc>
          <w:tcPr>
            <w:tcW w:w="2020" w:type="dxa"/>
            <w:tcBorders>
              <w:top w:val="nil"/>
              <w:left w:val="nil"/>
              <w:bottom w:val="nil"/>
              <w:right w:val="nil"/>
            </w:tcBorders>
            <w:shd w:val="clear" w:color="auto" w:fill="auto"/>
            <w:vAlign w:val="center"/>
            <w:hideMark/>
          </w:tcPr>
          <w:p w:rsidR="00AC1FC9" w:rsidRPr="00E17ED4" w:rsidRDefault="00AC1FC9">
            <w:pPr>
              <w:rPr>
                <w:color w:val="000000"/>
                <w:sz w:val="20"/>
                <w:szCs w:val="20"/>
              </w:rPr>
            </w:pPr>
          </w:p>
        </w:tc>
        <w:tc>
          <w:tcPr>
            <w:tcW w:w="106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 xml:space="preserve"> Actuación ordinaria</w:t>
            </w:r>
          </w:p>
        </w:tc>
        <w:tc>
          <w:tcPr>
            <w:tcW w:w="96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Refuerzo</w:t>
            </w:r>
          </w:p>
        </w:tc>
        <w:tc>
          <w:tcPr>
            <w:tcW w:w="72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como titular</w:t>
            </w:r>
          </w:p>
        </w:tc>
        <w:tc>
          <w:tcPr>
            <w:tcW w:w="98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como  refuerzo</w:t>
            </w:r>
          </w:p>
        </w:tc>
        <w:tc>
          <w:tcPr>
            <w:tcW w:w="72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como titular</w:t>
            </w:r>
          </w:p>
        </w:tc>
        <w:tc>
          <w:tcPr>
            <w:tcW w:w="96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como refuerzo</w:t>
            </w:r>
          </w:p>
        </w:tc>
        <w:tc>
          <w:tcPr>
            <w:tcW w:w="76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Como titular</w:t>
            </w:r>
          </w:p>
        </w:tc>
        <w:tc>
          <w:tcPr>
            <w:tcW w:w="880" w:type="dxa"/>
            <w:tcBorders>
              <w:top w:val="nil"/>
              <w:left w:val="nil"/>
              <w:bottom w:val="nil"/>
              <w:right w:val="nil"/>
            </w:tcBorders>
            <w:shd w:val="clear" w:color="auto" w:fill="auto"/>
            <w:vAlign w:val="center"/>
            <w:hideMark/>
          </w:tcPr>
          <w:p w:rsidR="00AC1FC9" w:rsidRPr="00E17ED4" w:rsidRDefault="00AC1FC9">
            <w:pPr>
              <w:jc w:val="center"/>
              <w:rPr>
                <w:rFonts w:ascii="Verdana" w:hAnsi="Verdana" w:cs="Calibri"/>
                <w:color w:val="0F243E"/>
                <w:sz w:val="18"/>
                <w:szCs w:val="18"/>
              </w:rPr>
            </w:pPr>
            <w:r w:rsidRPr="00E17ED4">
              <w:rPr>
                <w:rFonts w:ascii="Verdana" w:hAnsi="Verdana" w:cs="Calibri"/>
                <w:color w:val="0F243E"/>
                <w:sz w:val="18"/>
                <w:szCs w:val="18"/>
              </w:rPr>
              <w:t xml:space="preserve"> Como refuerzo</w:t>
            </w:r>
          </w:p>
        </w:tc>
        <w:tc>
          <w:tcPr>
            <w:tcW w:w="1280" w:type="dxa"/>
            <w:vMerge/>
            <w:tcBorders>
              <w:top w:val="single" w:sz="8" w:space="0" w:color="1F497D"/>
              <w:left w:val="nil"/>
              <w:bottom w:val="nil"/>
              <w:right w:val="nil"/>
            </w:tcBorders>
            <w:vAlign w:val="center"/>
            <w:hideMark/>
          </w:tcPr>
          <w:p w:rsidR="00AC1FC9" w:rsidRPr="00E17ED4" w:rsidRDefault="00AC1FC9">
            <w:pPr>
              <w:rPr>
                <w:rFonts w:ascii="Verdana" w:hAnsi="Verdana" w:cs="Calibri"/>
                <w:color w:val="0F243E"/>
                <w:sz w:val="18"/>
                <w:szCs w:val="18"/>
              </w:rPr>
            </w:pPr>
          </w:p>
        </w:tc>
      </w:tr>
      <w:tr w:rsidR="00AC1FC9" w:rsidRPr="00E17ED4" w:rsidTr="00AC1FC9">
        <w:trPr>
          <w:trHeight w:val="300"/>
          <w:jc w:val="center"/>
        </w:trPr>
        <w:tc>
          <w:tcPr>
            <w:tcW w:w="2020" w:type="dxa"/>
            <w:tcBorders>
              <w:top w:val="single" w:sz="8" w:space="0" w:color="auto"/>
              <w:left w:val="nil"/>
              <w:bottom w:val="nil"/>
              <w:right w:val="nil"/>
            </w:tcBorders>
            <w:shd w:val="clear" w:color="auto" w:fill="auto"/>
            <w:vAlign w:val="center"/>
            <w:hideMark/>
          </w:tcPr>
          <w:p w:rsidR="00AC1FC9" w:rsidRPr="00E17ED4" w:rsidRDefault="00AC1FC9">
            <w:pPr>
              <w:jc w:val="both"/>
              <w:rPr>
                <w:rFonts w:ascii="Verdana" w:hAnsi="Verdana" w:cs="Calibri"/>
                <w:color w:val="000000"/>
                <w:sz w:val="20"/>
                <w:szCs w:val="20"/>
              </w:rPr>
            </w:pPr>
            <w:r w:rsidRPr="00E17ED4">
              <w:rPr>
                <w:rFonts w:ascii="Verdana" w:hAnsi="Verdana" w:cs="Calibri"/>
                <w:color w:val="000000"/>
                <w:sz w:val="20"/>
                <w:szCs w:val="20"/>
              </w:rPr>
              <w:t xml:space="preserve">Jdos. de lo Social  </w:t>
            </w:r>
          </w:p>
        </w:tc>
        <w:tc>
          <w:tcPr>
            <w:tcW w:w="106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79,7</w:t>
            </w:r>
          </w:p>
        </w:tc>
        <w:tc>
          <w:tcPr>
            <w:tcW w:w="96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2,1</w:t>
            </w:r>
          </w:p>
        </w:tc>
        <w:tc>
          <w:tcPr>
            <w:tcW w:w="98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0,4</w:t>
            </w:r>
          </w:p>
        </w:tc>
        <w:tc>
          <w:tcPr>
            <w:tcW w:w="72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7,3</w:t>
            </w:r>
          </w:p>
        </w:tc>
        <w:tc>
          <w:tcPr>
            <w:tcW w:w="96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1,4</w:t>
            </w:r>
          </w:p>
        </w:tc>
        <w:tc>
          <w:tcPr>
            <w:tcW w:w="76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0,8</w:t>
            </w:r>
          </w:p>
        </w:tc>
        <w:tc>
          <w:tcPr>
            <w:tcW w:w="88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7,6</w:t>
            </w:r>
          </w:p>
        </w:tc>
        <w:tc>
          <w:tcPr>
            <w:tcW w:w="1280" w:type="dxa"/>
            <w:tcBorders>
              <w:top w:val="single" w:sz="8" w:space="0" w:color="auto"/>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0,7</w:t>
            </w:r>
          </w:p>
        </w:tc>
      </w:tr>
      <w:tr w:rsidR="00AC1FC9" w:rsidRPr="00E17ED4" w:rsidTr="00AC1FC9">
        <w:trPr>
          <w:trHeight w:val="300"/>
          <w:jc w:val="center"/>
        </w:trPr>
        <w:tc>
          <w:tcPr>
            <w:tcW w:w="2020" w:type="dxa"/>
            <w:tcBorders>
              <w:top w:val="nil"/>
              <w:left w:val="nil"/>
              <w:bottom w:val="nil"/>
              <w:right w:val="nil"/>
            </w:tcBorders>
            <w:shd w:val="clear" w:color="auto" w:fill="auto"/>
            <w:vAlign w:val="center"/>
            <w:hideMark/>
          </w:tcPr>
          <w:p w:rsidR="00AC1FC9" w:rsidRPr="00E17ED4" w:rsidRDefault="00AC1FC9">
            <w:pPr>
              <w:jc w:val="both"/>
              <w:rPr>
                <w:rFonts w:ascii="Verdana" w:hAnsi="Verdana" w:cs="Calibri"/>
                <w:color w:val="000000"/>
                <w:sz w:val="20"/>
                <w:szCs w:val="20"/>
              </w:rPr>
            </w:pPr>
            <w:r w:rsidRPr="00E17ED4">
              <w:rPr>
                <w:rFonts w:ascii="Verdana" w:hAnsi="Verdana" w:cs="Calibri"/>
                <w:color w:val="000000"/>
                <w:sz w:val="20"/>
                <w:szCs w:val="20"/>
              </w:rPr>
              <w:t>T.S.J. Sala Social</w:t>
            </w:r>
          </w:p>
        </w:tc>
        <w:tc>
          <w:tcPr>
            <w:tcW w:w="10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95,2</w:t>
            </w:r>
          </w:p>
        </w:tc>
        <w:tc>
          <w:tcPr>
            <w:tcW w:w="9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0,9</w:t>
            </w:r>
          </w:p>
        </w:tc>
        <w:tc>
          <w:tcPr>
            <w:tcW w:w="9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1,4</w:t>
            </w:r>
          </w:p>
        </w:tc>
        <w:tc>
          <w:tcPr>
            <w:tcW w:w="72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1,0</w:t>
            </w:r>
          </w:p>
        </w:tc>
        <w:tc>
          <w:tcPr>
            <w:tcW w:w="9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0,1</w:t>
            </w:r>
          </w:p>
        </w:tc>
        <w:tc>
          <w:tcPr>
            <w:tcW w:w="7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12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1,4</w:t>
            </w:r>
          </w:p>
        </w:tc>
      </w:tr>
      <w:tr w:rsidR="00AC1FC9" w:rsidRPr="00E17ED4" w:rsidTr="00AC1FC9">
        <w:trPr>
          <w:trHeight w:val="300"/>
          <w:jc w:val="center"/>
        </w:trPr>
        <w:tc>
          <w:tcPr>
            <w:tcW w:w="2020" w:type="dxa"/>
            <w:tcBorders>
              <w:top w:val="nil"/>
              <w:left w:val="nil"/>
              <w:bottom w:val="nil"/>
              <w:right w:val="nil"/>
            </w:tcBorders>
            <w:shd w:val="clear" w:color="auto" w:fill="auto"/>
            <w:vAlign w:val="center"/>
            <w:hideMark/>
          </w:tcPr>
          <w:p w:rsidR="00AC1FC9" w:rsidRPr="00E17ED4" w:rsidRDefault="00AC1FC9">
            <w:pPr>
              <w:rPr>
                <w:rFonts w:ascii="Verdana" w:hAnsi="Verdana" w:cs="Calibri"/>
                <w:color w:val="000000"/>
                <w:sz w:val="20"/>
                <w:szCs w:val="20"/>
              </w:rPr>
            </w:pPr>
            <w:r w:rsidRPr="00E17ED4">
              <w:rPr>
                <w:rFonts w:ascii="Verdana" w:hAnsi="Verdana" w:cs="Calibri"/>
                <w:color w:val="000000"/>
                <w:sz w:val="20"/>
                <w:szCs w:val="20"/>
              </w:rPr>
              <w:t>A.N. Sala Social</w:t>
            </w:r>
          </w:p>
        </w:tc>
        <w:tc>
          <w:tcPr>
            <w:tcW w:w="10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96,8</w:t>
            </w:r>
          </w:p>
        </w:tc>
        <w:tc>
          <w:tcPr>
            <w:tcW w:w="9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9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3,2</w:t>
            </w:r>
          </w:p>
        </w:tc>
        <w:tc>
          <w:tcPr>
            <w:tcW w:w="9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6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8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1280" w:type="dxa"/>
            <w:tcBorders>
              <w:top w:val="nil"/>
              <w:left w:val="nil"/>
              <w:bottom w:val="nil"/>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r>
      <w:tr w:rsidR="00AC1FC9" w:rsidRPr="00E17ED4" w:rsidTr="00AC1FC9">
        <w:trPr>
          <w:trHeight w:val="525"/>
          <w:jc w:val="center"/>
        </w:trPr>
        <w:tc>
          <w:tcPr>
            <w:tcW w:w="2020" w:type="dxa"/>
            <w:tcBorders>
              <w:top w:val="nil"/>
              <w:left w:val="nil"/>
              <w:bottom w:val="single" w:sz="8" w:space="0" w:color="auto"/>
              <w:right w:val="nil"/>
            </w:tcBorders>
            <w:shd w:val="clear" w:color="auto" w:fill="auto"/>
            <w:vAlign w:val="center"/>
            <w:hideMark/>
          </w:tcPr>
          <w:p w:rsidR="00AC1FC9" w:rsidRPr="00E17ED4" w:rsidRDefault="00AC1FC9">
            <w:pPr>
              <w:jc w:val="both"/>
              <w:rPr>
                <w:rFonts w:ascii="Verdana" w:hAnsi="Verdana" w:cs="Calibri"/>
                <w:color w:val="000000"/>
                <w:sz w:val="20"/>
                <w:szCs w:val="20"/>
              </w:rPr>
            </w:pPr>
            <w:r w:rsidRPr="00E17ED4">
              <w:rPr>
                <w:rFonts w:ascii="Verdana" w:hAnsi="Verdana" w:cs="Calibri"/>
                <w:color w:val="000000"/>
                <w:sz w:val="20"/>
                <w:szCs w:val="20"/>
              </w:rPr>
              <w:t>Tribunal Supremo. Sala 4ª</w:t>
            </w:r>
          </w:p>
        </w:tc>
        <w:tc>
          <w:tcPr>
            <w:tcW w:w="106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100,0</w:t>
            </w:r>
          </w:p>
        </w:tc>
        <w:tc>
          <w:tcPr>
            <w:tcW w:w="96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98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2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76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88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c>
          <w:tcPr>
            <w:tcW w:w="1280" w:type="dxa"/>
            <w:tcBorders>
              <w:top w:val="nil"/>
              <w:left w:val="nil"/>
              <w:bottom w:val="single" w:sz="8" w:space="0" w:color="auto"/>
              <w:right w:val="nil"/>
            </w:tcBorders>
            <w:shd w:val="clear" w:color="auto" w:fill="auto"/>
            <w:noWrap/>
            <w:vAlign w:val="bottom"/>
            <w:hideMark/>
          </w:tcPr>
          <w:p w:rsidR="00AC1FC9" w:rsidRPr="00E17ED4" w:rsidRDefault="00AC1FC9">
            <w:pPr>
              <w:jc w:val="right"/>
              <w:rPr>
                <w:rFonts w:ascii="Verdana" w:hAnsi="Verdana" w:cs="Calibri"/>
                <w:color w:val="000000"/>
                <w:sz w:val="20"/>
                <w:szCs w:val="20"/>
              </w:rPr>
            </w:pPr>
            <w:r w:rsidRPr="00E17ED4">
              <w:rPr>
                <w:rFonts w:ascii="Verdana" w:hAnsi="Verdana" w:cs="Calibri"/>
                <w:color w:val="000000"/>
                <w:sz w:val="20"/>
                <w:szCs w:val="20"/>
              </w:rPr>
              <w:t>0,0</w:t>
            </w:r>
          </w:p>
        </w:tc>
      </w:tr>
    </w:tbl>
    <w:p w:rsidR="00DB01D0" w:rsidRPr="00E17ED4" w:rsidRDefault="00DB01D0" w:rsidP="00006F74">
      <w:pPr>
        <w:pStyle w:val="Textoindependiente"/>
        <w:spacing w:before="120" w:after="120"/>
        <w:ind w:firstLine="357"/>
        <w:rPr>
          <w:rFonts w:ascii="Verdana" w:hAnsi="Verdana"/>
          <w:sz w:val="20"/>
        </w:rPr>
      </w:pPr>
    </w:p>
    <w:p w:rsidR="001E5095" w:rsidRPr="00CE214A" w:rsidRDefault="009E6C91" w:rsidP="001E5095">
      <w:pPr>
        <w:pStyle w:val="Textoindependiente"/>
        <w:spacing w:before="120" w:after="120"/>
        <w:ind w:firstLine="357"/>
        <w:rPr>
          <w:rFonts w:ascii="Verdana" w:hAnsi="Verdana"/>
          <w:sz w:val="20"/>
        </w:rPr>
      </w:pPr>
      <w:r w:rsidRPr="00E17ED4">
        <w:rPr>
          <w:rFonts w:ascii="Verdana" w:hAnsi="Verdana"/>
          <w:sz w:val="20"/>
        </w:rPr>
        <w:t>En los juzgados de lo s</w:t>
      </w:r>
      <w:r w:rsidR="001E5095" w:rsidRPr="00E17ED4">
        <w:rPr>
          <w:rFonts w:ascii="Verdana" w:hAnsi="Verdana"/>
          <w:sz w:val="20"/>
        </w:rPr>
        <w:t xml:space="preserve">ocial, los </w:t>
      </w:r>
      <w:r w:rsidR="001E5095" w:rsidRPr="00E17ED4">
        <w:rPr>
          <w:rFonts w:ascii="Verdana" w:hAnsi="Verdana"/>
          <w:b/>
          <w:sz w:val="20"/>
        </w:rPr>
        <w:t>decretos</w:t>
      </w:r>
      <w:r w:rsidR="001E5095" w:rsidRPr="00E17ED4">
        <w:rPr>
          <w:rFonts w:ascii="Verdana" w:hAnsi="Verdana"/>
          <w:sz w:val="20"/>
        </w:rPr>
        <w:t xml:space="preserve"> han </w:t>
      </w:r>
      <w:r w:rsidR="008C1B16" w:rsidRPr="00E17ED4">
        <w:rPr>
          <w:rFonts w:ascii="Verdana" w:hAnsi="Verdana"/>
          <w:sz w:val="20"/>
        </w:rPr>
        <w:t>disminuido</w:t>
      </w:r>
      <w:r w:rsidR="001E5095" w:rsidRPr="00E17ED4">
        <w:rPr>
          <w:rFonts w:ascii="Verdana" w:hAnsi="Verdana"/>
          <w:sz w:val="20"/>
        </w:rPr>
        <w:t xml:space="preserve"> en conjunto un </w:t>
      </w:r>
      <w:r w:rsidR="007B0D39" w:rsidRPr="00E17ED4">
        <w:rPr>
          <w:rFonts w:ascii="Verdana" w:hAnsi="Verdana"/>
          <w:sz w:val="20"/>
        </w:rPr>
        <w:t>3</w:t>
      </w:r>
      <w:r w:rsidR="00E4712E" w:rsidRPr="00E17ED4">
        <w:rPr>
          <w:rFonts w:ascii="Verdana" w:hAnsi="Verdana"/>
          <w:sz w:val="20"/>
        </w:rPr>
        <w:t>,</w:t>
      </w:r>
      <w:r w:rsidR="008C1B16" w:rsidRPr="00E17ED4">
        <w:rPr>
          <w:rFonts w:ascii="Verdana" w:hAnsi="Verdana"/>
          <w:sz w:val="20"/>
        </w:rPr>
        <w:t>7</w:t>
      </w:r>
      <w:r w:rsidR="001E5095" w:rsidRPr="00E17ED4">
        <w:rPr>
          <w:rFonts w:ascii="Verdana" w:hAnsi="Verdana"/>
          <w:sz w:val="20"/>
        </w:rPr>
        <w:t>%</w:t>
      </w:r>
      <w:r w:rsidR="00421B7B" w:rsidRPr="00E17ED4">
        <w:rPr>
          <w:rFonts w:ascii="Verdana" w:hAnsi="Verdana"/>
          <w:sz w:val="20"/>
        </w:rPr>
        <w:t>;</w:t>
      </w:r>
      <w:r w:rsidR="001E5095" w:rsidRPr="00E17ED4">
        <w:rPr>
          <w:rFonts w:ascii="Verdana" w:hAnsi="Verdana"/>
          <w:sz w:val="20"/>
        </w:rPr>
        <w:t xml:space="preserve"> los de actos de conciliación han </w:t>
      </w:r>
      <w:r w:rsidR="008C1B16" w:rsidRPr="00E17ED4">
        <w:rPr>
          <w:rFonts w:ascii="Verdana" w:hAnsi="Verdana"/>
          <w:sz w:val="20"/>
        </w:rPr>
        <w:t>disminuido</w:t>
      </w:r>
      <w:r w:rsidR="001E5095" w:rsidRPr="00E17ED4">
        <w:rPr>
          <w:rFonts w:ascii="Verdana" w:hAnsi="Verdana"/>
          <w:sz w:val="20"/>
        </w:rPr>
        <w:t xml:space="preserve"> un </w:t>
      </w:r>
      <w:r w:rsidR="007B0D39" w:rsidRPr="00E17ED4">
        <w:rPr>
          <w:rFonts w:ascii="Verdana" w:hAnsi="Verdana"/>
          <w:sz w:val="20"/>
        </w:rPr>
        <w:t>1,3</w:t>
      </w:r>
      <w:r w:rsidR="001E5095" w:rsidRPr="00E17ED4">
        <w:rPr>
          <w:rFonts w:ascii="Verdana" w:hAnsi="Verdana"/>
          <w:sz w:val="20"/>
        </w:rPr>
        <w:t>%, los de fase declara</w:t>
      </w:r>
      <w:r w:rsidR="00D22841" w:rsidRPr="00E17ED4">
        <w:rPr>
          <w:rFonts w:ascii="Verdana" w:hAnsi="Verdana"/>
          <w:sz w:val="20"/>
        </w:rPr>
        <w:t xml:space="preserve">tiva un </w:t>
      </w:r>
      <w:r w:rsidR="007B0D39" w:rsidRPr="00E17ED4">
        <w:rPr>
          <w:rFonts w:ascii="Verdana" w:hAnsi="Verdana"/>
          <w:sz w:val="20"/>
        </w:rPr>
        <w:t>3</w:t>
      </w:r>
      <w:r w:rsidR="008C1B16" w:rsidRPr="00E17ED4">
        <w:rPr>
          <w:rFonts w:ascii="Verdana" w:hAnsi="Verdana"/>
          <w:sz w:val="20"/>
        </w:rPr>
        <w:t>,</w:t>
      </w:r>
      <w:r w:rsidR="007B0D39" w:rsidRPr="00E17ED4">
        <w:rPr>
          <w:rFonts w:ascii="Verdana" w:hAnsi="Verdana"/>
          <w:sz w:val="20"/>
        </w:rPr>
        <w:t>3</w:t>
      </w:r>
      <w:r w:rsidR="001E5095" w:rsidRPr="00E17ED4">
        <w:rPr>
          <w:rFonts w:ascii="Verdana" w:hAnsi="Verdana"/>
          <w:sz w:val="20"/>
        </w:rPr>
        <w:t xml:space="preserve">% y los de fase ejecutiva </w:t>
      </w:r>
      <w:r w:rsidR="00D22841" w:rsidRPr="00E17ED4">
        <w:rPr>
          <w:rFonts w:ascii="Verdana" w:hAnsi="Verdana"/>
          <w:sz w:val="20"/>
        </w:rPr>
        <w:t xml:space="preserve">un </w:t>
      </w:r>
      <w:r w:rsidR="007B0D39" w:rsidRPr="00E17ED4">
        <w:rPr>
          <w:rFonts w:ascii="Verdana" w:hAnsi="Verdana"/>
          <w:sz w:val="20"/>
        </w:rPr>
        <w:t>6</w:t>
      </w:r>
      <w:r w:rsidR="00D22841" w:rsidRPr="00E17ED4">
        <w:rPr>
          <w:rFonts w:ascii="Verdana" w:hAnsi="Verdana"/>
          <w:sz w:val="20"/>
        </w:rPr>
        <w:t>,</w:t>
      </w:r>
      <w:r w:rsidR="007B0D39" w:rsidRPr="00E17ED4">
        <w:rPr>
          <w:rFonts w:ascii="Verdana" w:hAnsi="Verdana"/>
          <w:sz w:val="20"/>
        </w:rPr>
        <w:t>8</w:t>
      </w:r>
      <w:r w:rsidR="00D22841" w:rsidRPr="00E17ED4">
        <w:rPr>
          <w:rFonts w:ascii="Verdana" w:hAnsi="Verdana"/>
          <w:sz w:val="20"/>
        </w:rPr>
        <w:t>%</w:t>
      </w:r>
      <w:r w:rsidRPr="00E17ED4">
        <w:rPr>
          <w:rFonts w:ascii="Verdana" w:hAnsi="Verdana"/>
          <w:sz w:val="20"/>
        </w:rPr>
        <w:t>.  En las s</w:t>
      </w:r>
      <w:r w:rsidR="001E5095" w:rsidRPr="00E17ED4">
        <w:rPr>
          <w:rFonts w:ascii="Verdana" w:hAnsi="Verdana"/>
          <w:sz w:val="20"/>
        </w:rPr>
        <w:t xml:space="preserve">alas </w:t>
      </w:r>
      <w:r w:rsidRPr="00E17ED4">
        <w:rPr>
          <w:rFonts w:ascii="Verdana" w:hAnsi="Verdana"/>
          <w:sz w:val="20"/>
        </w:rPr>
        <w:t xml:space="preserve"> de lo social de los tribunales superiores de justicia</w:t>
      </w:r>
      <w:r w:rsidR="001E5095" w:rsidRPr="00E17ED4">
        <w:rPr>
          <w:rFonts w:ascii="Verdana" w:hAnsi="Verdana"/>
          <w:sz w:val="20"/>
        </w:rPr>
        <w:t xml:space="preserve"> han </w:t>
      </w:r>
      <w:r w:rsidR="00E4712E" w:rsidRPr="00E17ED4">
        <w:rPr>
          <w:rFonts w:ascii="Verdana" w:hAnsi="Verdana"/>
          <w:sz w:val="20"/>
        </w:rPr>
        <w:t>aumentado</w:t>
      </w:r>
      <w:r w:rsidR="001E5095" w:rsidRPr="00E17ED4">
        <w:rPr>
          <w:rFonts w:ascii="Verdana" w:hAnsi="Verdana"/>
          <w:sz w:val="20"/>
        </w:rPr>
        <w:t xml:space="preserve"> un </w:t>
      </w:r>
      <w:r w:rsidR="007B0D39" w:rsidRPr="00E17ED4">
        <w:rPr>
          <w:rFonts w:ascii="Verdana" w:hAnsi="Verdana"/>
          <w:sz w:val="20"/>
        </w:rPr>
        <w:t>13</w:t>
      </w:r>
      <w:r w:rsidR="009746B4" w:rsidRPr="00E17ED4">
        <w:rPr>
          <w:rFonts w:ascii="Verdana" w:hAnsi="Verdana"/>
          <w:sz w:val="20"/>
        </w:rPr>
        <w:t>,</w:t>
      </w:r>
      <w:r w:rsidR="007B0D39" w:rsidRPr="00E17ED4">
        <w:rPr>
          <w:rFonts w:ascii="Verdana" w:hAnsi="Verdana"/>
          <w:sz w:val="20"/>
        </w:rPr>
        <w:t>9</w:t>
      </w:r>
      <w:r w:rsidR="001E5095" w:rsidRPr="00E17ED4">
        <w:rPr>
          <w:rFonts w:ascii="Verdana" w:hAnsi="Verdana"/>
          <w:sz w:val="20"/>
        </w:rPr>
        <w:t xml:space="preserve">%, mientras que en la Sala Social de la Audiencia Nacional </w:t>
      </w:r>
      <w:r w:rsidR="008C1B16" w:rsidRPr="00E17ED4">
        <w:rPr>
          <w:rFonts w:ascii="Verdana" w:hAnsi="Verdana"/>
          <w:sz w:val="20"/>
        </w:rPr>
        <w:t xml:space="preserve">lo han hecho un </w:t>
      </w:r>
      <w:r w:rsidR="007B0D39" w:rsidRPr="00E17ED4">
        <w:rPr>
          <w:rFonts w:ascii="Verdana" w:hAnsi="Verdana"/>
          <w:sz w:val="20"/>
        </w:rPr>
        <w:t>31</w:t>
      </w:r>
      <w:r w:rsidR="008C1B16" w:rsidRPr="00E17ED4">
        <w:rPr>
          <w:rFonts w:ascii="Verdana" w:hAnsi="Verdana"/>
          <w:sz w:val="20"/>
        </w:rPr>
        <w:t>,</w:t>
      </w:r>
      <w:r w:rsidR="007B0D39" w:rsidRPr="00E17ED4">
        <w:rPr>
          <w:rFonts w:ascii="Verdana" w:hAnsi="Verdana"/>
          <w:sz w:val="20"/>
        </w:rPr>
        <w:t>3</w:t>
      </w:r>
      <w:r w:rsidR="008C1B16" w:rsidRPr="00E17ED4">
        <w:rPr>
          <w:rFonts w:ascii="Verdana" w:hAnsi="Verdana"/>
          <w:sz w:val="20"/>
        </w:rPr>
        <w:t>%.</w:t>
      </w:r>
    </w:p>
    <w:p w:rsidR="00183DFD" w:rsidRPr="00CE214A" w:rsidRDefault="00183DFD" w:rsidP="00006F74">
      <w:pPr>
        <w:pStyle w:val="Textoindependiente"/>
        <w:spacing w:before="120" w:after="120"/>
        <w:ind w:firstLine="357"/>
        <w:rPr>
          <w:rFonts w:ascii="Verdana" w:hAnsi="Verdana"/>
          <w:sz w:val="20"/>
        </w:rPr>
      </w:pPr>
    </w:p>
    <w:tbl>
      <w:tblPr>
        <w:tblW w:w="8460" w:type="dxa"/>
        <w:tblInd w:w="55" w:type="dxa"/>
        <w:tblCellMar>
          <w:left w:w="70" w:type="dxa"/>
          <w:right w:w="70" w:type="dxa"/>
        </w:tblCellMar>
        <w:tblLook w:val="04A0" w:firstRow="1" w:lastRow="0" w:firstColumn="1" w:lastColumn="0" w:noHBand="0" w:noVBand="1"/>
      </w:tblPr>
      <w:tblGrid>
        <w:gridCol w:w="2221"/>
        <w:gridCol w:w="1195"/>
        <w:gridCol w:w="1359"/>
        <w:gridCol w:w="1288"/>
        <w:gridCol w:w="1197"/>
        <w:gridCol w:w="1200"/>
      </w:tblGrid>
      <w:tr w:rsidR="007B0D39" w:rsidTr="007B0D39">
        <w:trPr>
          <w:trHeight w:val="1365"/>
        </w:trPr>
        <w:tc>
          <w:tcPr>
            <w:tcW w:w="2220" w:type="dxa"/>
            <w:tcBorders>
              <w:top w:val="nil"/>
              <w:left w:val="nil"/>
              <w:bottom w:val="nil"/>
              <w:right w:val="nil"/>
            </w:tcBorders>
            <w:shd w:val="clear" w:color="auto" w:fill="auto"/>
            <w:noWrap/>
            <w:vAlign w:val="center"/>
            <w:hideMark/>
          </w:tcPr>
          <w:p w:rsidR="007B0D39" w:rsidRDefault="007B0D39">
            <w:pPr>
              <w:rPr>
                <w:color w:val="000000"/>
                <w:sz w:val="20"/>
                <w:szCs w:val="20"/>
              </w:rPr>
            </w:pPr>
          </w:p>
        </w:tc>
        <w:tc>
          <w:tcPr>
            <w:tcW w:w="1200" w:type="dxa"/>
            <w:tcBorders>
              <w:top w:val="single" w:sz="8" w:space="0" w:color="000080"/>
              <w:left w:val="nil"/>
              <w:bottom w:val="nil"/>
              <w:right w:val="nil"/>
            </w:tcBorders>
            <w:shd w:val="clear" w:color="auto" w:fill="auto"/>
            <w:vAlign w:val="center"/>
            <w:hideMark/>
          </w:tcPr>
          <w:p w:rsidR="007B0D39" w:rsidRDefault="007B0D39">
            <w:pPr>
              <w:jc w:val="center"/>
              <w:rPr>
                <w:rFonts w:ascii="Verdana" w:hAnsi="Verdana" w:cs="Calibri"/>
                <w:b/>
                <w:bCs/>
                <w:color w:val="000080"/>
                <w:sz w:val="18"/>
                <w:szCs w:val="18"/>
              </w:rPr>
            </w:pPr>
            <w:r>
              <w:rPr>
                <w:rFonts w:ascii="Verdana" w:hAnsi="Verdana" w:cs="Calibri"/>
                <w:b/>
                <w:bCs/>
                <w:color w:val="000080"/>
                <w:sz w:val="18"/>
                <w:szCs w:val="18"/>
              </w:rPr>
              <w:t>Total decretos</w:t>
            </w:r>
          </w:p>
        </w:tc>
        <w:tc>
          <w:tcPr>
            <w:tcW w:w="1360" w:type="dxa"/>
            <w:tcBorders>
              <w:top w:val="single" w:sz="8" w:space="0" w:color="000080"/>
              <w:left w:val="nil"/>
              <w:bottom w:val="nil"/>
              <w:right w:val="nil"/>
            </w:tcBorders>
            <w:shd w:val="clear" w:color="auto" w:fill="auto"/>
            <w:vAlign w:val="center"/>
            <w:hideMark/>
          </w:tcPr>
          <w:p w:rsidR="007B0D39" w:rsidRDefault="007B0D39">
            <w:pPr>
              <w:jc w:val="center"/>
              <w:rPr>
                <w:rFonts w:ascii="Verdana" w:hAnsi="Verdana" w:cs="Calibri"/>
                <w:b/>
                <w:bCs/>
                <w:color w:val="000080"/>
                <w:sz w:val="18"/>
                <w:szCs w:val="18"/>
              </w:rPr>
            </w:pPr>
            <w:r>
              <w:rPr>
                <w:rFonts w:ascii="Verdana" w:hAnsi="Verdana" w:cs="Calibri"/>
                <w:b/>
                <w:bCs/>
                <w:color w:val="000080"/>
                <w:sz w:val="18"/>
                <w:szCs w:val="18"/>
              </w:rPr>
              <w:t>Decretos en conciliación</w:t>
            </w:r>
          </w:p>
        </w:tc>
        <w:tc>
          <w:tcPr>
            <w:tcW w:w="1280" w:type="dxa"/>
            <w:tcBorders>
              <w:top w:val="single" w:sz="8" w:space="0" w:color="000080"/>
              <w:left w:val="nil"/>
              <w:bottom w:val="nil"/>
              <w:right w:val="nil"/>
            </w:tcBorders>
            <w:shd w:val="clear" w:color="auto" w:fill="auto"/>
            <w:vAlign w:val="center"/>
            <w:hideMark/>
          </w:tcPr>
          <w:p w:rsidR="007B0D39" w:rsidRDefault="007B0D39">
            <w:pPr>
              <w:jc w:val="center"/>
              <w:rPr>
                <w:rFonts w:ascii="Verdana" w:hAnsi="Verdana" w:cs="Calibri"/>
                <w:b/>
                <w:bCs/>
                <w:color w:val="000080"/>
                <w:sz w:val="18"/>
                <w:szCs w:val="18"/>
              </w:rPr>
            </w:pPr>
            <w:r>
              <w:rPr>
                <w:rFonts w:ascii="Verdana" w:hAnsi="Verdana" w:cs="Calibri"/>
                <w:b/>
                <w:bCs/>
                <w:color w:val="000080"/>
                <w:sz w:val="18"/>
                <w:szCs w:val="18"/>
              </w:rPr>
              <w:t> Decretos en fase Declarativa</w:t>
            </w:r>
          </w:p>
        </w:tc>
        <w:tc>
          <w:tcPr>
            <w:tcW w:w="1200" w:type="dxa"/>
            <w:tcBorders>
              <w:top w:val="single" w:sz="8" w:space="0" w:color="000080"/>
              <w:left w:val="nil"/>
              <w:bottom w:val="nil"/>
              <w:right w:val="nil"/>
            </w:tcBorders>
            <w:shd w:val="clear" w:color="auto" w:fill="auto"/>
            <w:vAlign w:val="center"/>
            <w:hideMark/>
          </w:tcPr>
          <w:p w:rsidR="007B0D39" w:rsidRDefault="007B0D39">
            <w:pPr>
              <w:jc w:val="center"/>
              <w:rPr>
                <w:rFonts w:ascii="Verdana" w:hAnsi="Verdana" w:cs="Calibri"/>
                <w:b/>
                <w:bCs/>
                <w:color w:val="000080"/>
                <w:sz w:val="18"/>
                <w:szCs w:val="18"/>
              </w:rPr>
            </w:pPr>
            <w:r>
              <w:rPr>
                <w:rFonts w:ascii="Verdana" w:hAnsi="Verdana" w:cs="Calibri"/>
                <w:b/>
                <w:bCs/>
                <w:color w:val="000080"/>
                <w:sz w:val="18"/>
                <w:szCs w:val="18"/>
              </w:rPr>
              <w:t> Decretos en fase Ejecutiva</w:t>
            </w:r>
          </w:p>
        </w:tc>
        <w:tc>
          <w:tcPr>
            <w:tcW w:w="1200" w:type="dxa"/>
            <w:tcBorders>
              <w:top w:val="single" w:sz="8" w:space="0" w:color="000080"/>
              <w:left w:val="nil"/>
              <w:bottom w:val="nil"/>
              <w:right w:val="nil"/>
            </w:tcBorders>
            <w:shd w:val="clear" w:color="auto" w:fill="auto"/>
            <w:vAlign w:val="center"/>
            <w:hideMark/>
          </w:tcPr>
          <w:p w:rsidR="007B0D39" w:rsidRDefault="007B0D39">
            <w:pPr>
              <w:jc w:val="center"/>
              <w:rPr>
                <w:rFonts w:ascii="Verdana" w:hAnsi="Verdana" w:cs="Calibri"/>
                <w:b/>
                <w:bCs/>
                <w:color w:val="000080"/>
                <w:sz w:val="18"/>
                <w:szCs w:val="18"/>
              </w:rPr>
            </w:pPr>
            <w:r>
              <w:rPr>
                <w:rFonts w:ascii="Verdana" w:hAnsi="Verdana" w:cs="Calibri"/>
                <w:b/>
                <w:bCs/>
                <w:color w:val="000080"/>
                <w:sz w:val="18"/>
                <w:szCs w:val="18"/>
              </w:rPr>
              <w:t>Evolución total decretos finales respecto a 2016</w:t>
            </w:r>
          </w:p>
        </w:tc>
      </w:tr>
      <w:tr w:rsidR="007B0D39" w:rsidTr="007B0D39">
        <w:trPr>
          <w:trHeight w:val="300"/>
        </w:trPr>
        <w:tc>
          <w:tcPr>
            <w:tcW w:w="2220" w:type="dxa"/>
            <w:tcBorders>
              <w:top w:val="single" w:sz="8" w:space="0" w:color="000080"/>
              <w:left w:val="nil"/>
              <w:bottom w:val="nil"/>
              <w:right w:val="nil"/>
            </w:tcBorders>
            <w:shd w:val="clear" w:color="auto" w:fill="auto"/>
            <w:noWrap/>
            <w:vAlign w:val="center"/>
            <w:hideMark/>
          </w:tcPr>
          <w:p w:rsidR="007B0D39" w:rsidRDefault="007B0D39">
            <w:pPr>
              <w:rPr>
                <w:rFonts w:ascii="Verdana" w:hAnsi="Verdana" w:cs="Calibri"/>
                <w:color w:val="000000"/>
                <w:sz w:val="20"/>
                <w:szCs w:val="20"/>
              </w:rPr>
            </w:pPr>
            <w:r>
              <w:rPr>
                <w:rFonts w:ascii="Verdana" w:hAnsi="Verdana" w:cs="Calibri"/>
                <w:color w:val="000000"/>
                <w:sz w:val="20"/>
                <w:szCs w:val="20"/>
              </w:rPr>
              <w:t xml:space="preserve">Jdos. de lo Social                              </w:t>
            </w:r>
          </w:p>
        </w:tc>
        <w:tc>
          <w:tcPr>
            <w:tcW w:w="1200" w:type="dxa"/>
            <w:tcBorders>
              <w:top w:val="single" w:sz="8" w:space="0" w:color="000080"/>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212.955</w:t>
            </w:r>
          </w:p>
        </w:tc>
        <w:tc>
          <w:tcPr>
            <w:tcW w:w="1360" w:type="dxa"/>
            <w:tcBorders>
              <w:top w:val="single" w:sz="8" w:space="0" w:color="000080"/>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72.268</w:t>
            </w:r>
          </w:p>
        </w:tc>
        <w:tc>
          <w:tcPr>
            <w:tcW w:w="1280" w:type="dxa"/>
            <w:tcBorders>
              <w:top w:val="single" w:sz="8" w:space="0" w:color="000080"/>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80.177</w:t>
            </w:r>
          </w:p>
        </w:tc>
        <w:tc>
          <w:tcPr>
            <w:tcW w:w="1200" w:type="dxa"/>
            <w:tcBorders>
              <w:top w:val="single" w:sz="8" w:space="0" w:color="000080"/>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60.510</w:t>
            </w:r>
          </w:p>
        </w:tc>
        <w:tc>
          <w:tcPr>
            <w:tcW w:w="1200" w:type="dxa"/>
            <w:tcBorders>
              <w:top w:val="single" w:sz="8" w:space="0" w:color="000080"/>
              <w:left w:val="nil"/>
              <w:bottom w:val="nil"/>
              <w:right w:val="nil"/>
            </w:tcBorders>
            <w:shd w:val="clear" w:color="auto" w:fill="auto"/>
            <w:noWrap/>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-3,7%</w:t>
            </w:r>
          </w:p>
        </w:tc>
      </w:tr>
      <w:tr w:rsidR="007B0D39" w:rsidTr="007B0D39">
        <w:trPr>
          <w:trHeight w:val="300"/>
        </w:trPr>
        <w:tc>
          <w:tcPr>
            <w:tcW w:w="2220" w:type="dxa"/>
            <w:tcBorders>
              <w:top w:val="nil"/>
              <w:left w:val="nil"/>
              <w:bottom w:val="nil"/>
              <w:right w:val="nil"/>
            </w:tcBorders>
            <w:shd w:val="clear" w:color="auto" w:fill="auto"/>
            <w:noWrap/>
            <w:vAlign w:val="center"/>
            <w:hideMark/>
          </w:tcPr>
          <w:p w:rsidR="007B0D39" w:rsidRDefault="007B0D39">
            <w:pPr>
              <w:rPr>
                <w:rFonts w:ascii="Verdana" w:hAnsi="Verdana" w:cs="Calibri"/>
                <w:color w:val="000000"/>
                <w:sz w:val="20"/>
                <w:szCs w:val="20"/>
              </w:rPr>
            </w:pPr>
            <w:r>
              <w:rPr>
                <w:rFonts w:ascii="Verdana" w:hAnsi="Verdana" w:cs="Calibri"/>
                <w:color w:val="000000"/>
                <w:sz w:val="20"/>
                <w:szCs w:val="20"/>
              </w:rPr>
              <w:t xml:space="preserve">T.S.J. Sala Social         </w:t>
            </w:r>
          </w:p>
        </w:tc>
        <w:tc>
          <w:tcPr>
            <w:tcW w:w="1200" w:type="dxa"/>
            <w:tcBorders>
              <w:top w:val="nil"/>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646</w:t>
            </w:r>
          </w:p>
        </w:tc>
        <w:tc>
          <w:tcPr>
            <w:tcW w:w="1360" w:type="dxa"/>
            <w:tcBorders>
              <w:top w:val="nil"/>
              <w:left w:val="nil"/>
              <w:bottom w:val="nil"/>
              <w:right w:val="nil"/>
            </w:tcBorders>
            <w:shd w:val="clear" w:color="auto" w:fill="auto"/>
            <w:vAlign w:val="center"/>
            <w:hideMark/>
          </w:tcPr>
          <w:p w:rsidR="007B0D39" w:rsidRDefault="007B0D39">
            <w:pPr>
              <w:jc w:val="center"/>
              <w:rPr>
                <w:rFonts w:ascii="Verdana" w:hAnsi="Verdana" w:cs="Calibri"/>
                <w:color w:val="000000"/>
                <w:sz w:val="20"/>
                <w:szCs w:val="20"/>
              </w:rPr>
            </w:pPr>
            <w:r>
              <w:rPr>
                <w:rFonts w:ascii="Verdana" w:hAnsi="Verdana" w:cs="Calibri"/>
                <w:color w:val="000000"/>
                <w:sz w:val="20"/>
                <w:szCs w:val="20"/>
              </w:rPr>
              <w:t xml:space="preserve">         -</w:t>
            </w:r>
          </w:p>
        </w:tc>
        <w:tc>
          <w:tcPr>
            <w:tcW w:w="1280" w:type="dxa"/>
            <w:tcBorders>
              <w:top w:val="nil"/>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591</w:t>
            </w:r>
          </w:p>
        </w:tc>
        <w:tc>
          <w:tcPr>
            <w:tcW w:w="1200" w:type="dxa"/>
            <w:tcBorders>
              <w:top w:val="nil"/>
              <w:left w:val="nil"/>
              <w:bottom w:val="nil"/>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55</w:t>
            </w:r>
          </w:p>
        </w:tc>
        <w:tc>
          <w:tcPr>
            <w:tcW w:w="1200" w:type="dxa"/>
            <w:tcBorders>
              <w:top w:val="nil"/>
              <w:left w:val="nil"/>
              <w:bottom w:val="nil"/>
              <w:right w:val="nil"/>
            </w:tcBorders>
            <w:shd w:val="clear" w:color="auto" w:fill="auto"/>
            <w:noWrap/>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-13,9%</w:t>
            </w:r>
          </w:p>
        </w:tc>
      </w:tr>
      <w:tr w:rsidR="007B0D39" w:rsidTr="007B0D39">
        <w:trPr>
          <w:trHeight w:val="315"/>
        </w:trPr>
        <w:tc>
          <w:tcPr>
            <w:tcW w:w="2220" w:type="dxa"/>
            <w:tcBorders>
              <w:top w:val="nil"/>
              <w:left w:val="nil"/>
              <w:bottom w:val="single" w:sz="8" w:space="0" w:color="000080"/>
              <w:right w:val="nil"/>
            </w:tcBorders>
            <w:shd w:val="clear" w:color="auto" w:fill="auto"/>
            <w:noWrap/>
            <w:vAlign w:val="center"/>
            <w:hideMark/>
          </w:tcPr>
          <w:p w:rsidR="007B0D39" w:rsidRDefault="007B0D39">
            <w:pPr>
              <w:rPr>
                <w:rFonts w:ascii="Verdana" w:hAnsi="Verdana" w:cs="Calibri"/>
                <w:color w:val="000000"/>
                <w:sz w:val="20"/>
                <w:szCs w:val="20"/>
              </w:rPr>
            </w:pPr>
            <w:r>
              <w:rPr>
                <w:rFonts w:ascii="Verdana" w:hAnsi="Verdana" w:cs="Calibri"/>
                <w:color w:val="000000"/>
                <w:sz w:val="20"/>
                <w:szCs w:val="20"/>
              </w:rPr>
              <w:t xml:space="preserve">A.N. Sala Social           </w:t>
            </w:r>
          </w:p>
        </w:tc>
        <w:tc>
          <w:tcPr>
            <w:tcW w:w="1200" w:type="dxa"/>
            <w:tcBorders>
              <w:top w:val="nil"/>
              <w:left w:val="nil"/>
              <w:bottom w:val="single" w:sz="8" w:space="0" w:color="000080"/>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123</w:t>
            </w:r>
          </w:p>
        </w:tc>
        <w:tc>
          <w:tcPr>
            <w:tcW w:w="1360" w:type="dxa"/>
            <w:tcBorders>
              <w:top w:val="nil"/>
              <w:left w:val="nil"/>
              <w:bottom w:val="single" w:sz="8" w:space="0" w:color="000080"/>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39</w:t>
            </w:r>
          </w:p>
        </w:tc>
        <w:tc>
          <w:tcPr>
            <w:tcW w:w="1280" w:type="dxa"/>
            <w:tcBorders>
              <w:top w:val="nil"/>
              <w:left w:val="nil"/>
              <w:bottom w:val="single" w:sz="8" w:space="0" w:color="000080"/>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71</w:t>
            </w:r>
          </w:p>
        </w:tc>
        <w:tc>
          <w:tcPr>
            <w:tcW w:w="1200" w:type="dxa"/>
            <w:tcBorders>
              <w:top w:val="nil"/>
              <w:left w:val="nil"/>
              <w:bottom w:val="single" w:sz="8" w:space="0" w:color="000080"/>
              <w:right w:val="nil"/>
            </w:tcBorders>
            <w:shd w:val="clear" w:color="auto" w:fill="auto"/>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13</w:t>
            </w:r>
          </w:p>
        </w:tc>
        <w:tc>
          <w:tcPr>
            <w:tcW w:w="1200" w:type="dxa"/>
            <w:tcBorders>
              <w:top w:val="nil"/>
              <w:left w:val="nil"/>
              <w:bottom w:val="single" w:sz="8" w:space="0" w:color="000080"/>
              <w:right w:val="nil"/>
            </w:tcBorders>
            <w:shd w:val="clear" w:color="auto" w:fill="auto"/>
            <w:noWrap/>
            <w:vAlign w:val="center"/>
            <w:hideMark/>
          </w:tcPr>
          <w:p w:rsidR="007B0D39" w:rsidRDefault="007B0D39">
            <w:pPr>
              <w:jc w:val="right"/>
              <w:rPr>
                <w:rFonts w:ascii="Verdana" w:hAnsi="Verdana" w:cs="Calibri"/>
                <w:color w:val="000000"/>
                <w:sz w:val="20"/>
                <w:szCs w:val="20"/>
              </w:rPr>
            </w:pPr>
            <w:r>
              <w:rPr>
                <w:rFonts w:ascii="Verdana" w:hAnsi="Verdana" w:cs="Calibri"/>
                <w:color w:val="000000"/>
                <w:sz w:val="20"/>
                <w:szCs w:val="20"/>
              </w:rPr>
              <w:t>-31,3%</w:t>
            </w:r>
          </w:p>
        </w:tc>
      </w:tr>
    </w:tbl>
    <w:p w:rsidR="00466547" w:rsidRPr="00CE214A" w:rsidRDefault="00466547" w:rsidP="00006F74">
      <w:pPr>
        <w:pStyle w:val="Textoindependiente"/>
        <w:spacing w:before="120" w:after="120"/>
        <w:ind w:firstLine="357"/>
        <w:rPr>
          <w:rFonts w:ascii="Verdana" w:hAnsi="Verdana"/>
          <w:sz w:val="20"/>
        </w:rPr>
      </w:pPr>
    </w:p>
    <w:p w:rsidR="00D3182A" w:rsidRDefault="000618BE" w:rsidP="00E17ED4">
      <w:pPr>
        <w:pStyle w:val="Textoindependiente"/>
        <w:spacing w:before="120" w:after="120"/>
        <w:ind w:firstLine="357"/>
        <w:rPr>
          <w:rFonts w:ascii="Verdana" w:hAnsi="Verdana"/>
          <w:sz w:val="20"/>
        </w:rPr>
      </w:pPr>
      <w:r w:rsidRPr="00E17ED4">
        <w:rPr>
          <w:rFonts w:ascii="Verdana" w:hAnsi="Verdana"/>
          <w:sz w:val="20"/>
        </w:rPr>
        <w:t xml:space="preserve">El número de </w:t>
      </w:r>
      <w:r w:rsidRPr="00E17ED4">
        <w:rPr>
          <w:rFonts w:ascii="Verdana" w:hAnsi="Verdana"/>
          <w:b/>
          <w:sz w:val="20"/>
        </w:rPr>
        <w:t>señalamientos</w:t>
      </w:r>
      <w:r w:rsidRPr="00E17ED4">
        <w:rPr>
          <w:rFonts w:ascii="Verdana" w:hAnsi="Verdana"/>
          <w:sz w:val="20"/>
        </w:rPr>
        <w:t xml:space="preserve"> en los juzgados de lo social, </w:t>
      </w:r>
      <w:r w:rsidR="00AC1FC9" w:rsidRPr="00E17ED4">
        <w:rPr>
          <w:rFonts w:ascii="Verdana" w:hAnsi="Verdana"/>
          <w:sz w:val="20"/>
        </w:rPr>
        <w:t>366</w:t>
      </w:r>
      <w:r w:rsidR="00EE09B6" w:rsidRPr="00E17ED4">
        <w:rPr>
          <w:rFonts w:ascii="Verdana" w:hAnsi="Verdana"/>
          <w:sz w:val="20"/>
        </w:rPr>
        <w:t>.</w:t>
      </w:r>
      <w:r w:rsidR="00AC1FC9" w:rsidRPr="00E17ED4">
        <w:rPr>
          <w:rFonts w:ascii="Verdana" w:hAnsi="Verdana"/>
          <w:sz w:val="20"/>
        </w:rPr>
        <w:t>165</w:t>
      </w:r>
      <w:r w:rsidRPr="00E17ED4">
        <w:rPr>
          <w:rFonts w:ascii="Verdana" w:hAnsi="Verdana"/>
          <w:sz w:val="20"/>
        </w:rPr>
        <w:t xml:space="preserve">, </w:t>
      </w:r>
      <w:r w:rsidR="00AC1FC9" w:rsidRPr="00E17ED4">
        <w:rPr>
          <w:rFonts w:ascii="Verdana" w:hAnsi="Verdana"/>
          <w:sz w:val="20"/>
        </w:rPr>
        <w:t xml:space="preserve">inferior </w:t>
      </w:r>
      <w:r w:rsidR="00761C74" w:rsidRPr="00E17ED4">
        <w:rPr>
          <w:rFonts w:ascii="Verdana" w:hAnsi="Verdana"/>
          <w:sz w:val="20"/>
        </w:rPr>
        <w:t>en un 3%</w:t>
      </w:r>
      <w:r w:rsidR="00EE09B6" w:rsidRPr="00E17ED4">
        <w:rPr>
          <w:rFonts w:ascii="Verdana" w:hAnsi="Verdana"/>
          <w:sz w:val="20"/>
        </w:rPr>
        <w:t xml:space="preserve"> a los </w:t>
      </w:r>
      <w:r w:rsidR="00AC1FC9" w:rsidRPr="00E17ED4">
        <w:rPr>
          <w:rFonts w:ascii="Verdana" w:hAnsi="Verdana"/>
          <w:sz w:val="20"/>
        </w:rPr>
        <w:t>señalados en 2016</w:t>
      </w:r>
      <w:r w:rsidR="0041488A" w:rsidRPr="00E17ED4">
        <w:rPr>
          <w:rFonts w:ascii="Verdana" w:hAnsi="Verdana"/>
          <w:sz w:val="20"/>
        </w:rPr>
        <w:t xml:space="preserve">. El porcentaje de </w:t>
      </w:r>
      <w:r w:rsidR="00D3182A" w:rsidRPr="00E17ED4">
        <w:rPr>
          <w:rFonts w:ascii="Verdana" w:hAnsi="Verdana"/>
          <w:sz w:val="20"/>
        </w:rPr>
        <w:t>los juicios no suspendidos (celebrados o no celebrados por acuerdo previo) ha sido del 8</w:t>
      </w:r>
      <w:r w:rsidR="00AC1FC9" w:rsidRPr="00E17ED4">
        <w:rPr>
          <w:rFonts w:ascii="Verdana" w:hAnsi="Verdana"/>
          <w:sz w:val="20"/>
        </w:rPr>
        <w:t>1</w:t>
      </w:r>
      <w:r w:rsidR="00D3182A" w:rsidRPr="00E17ED4">
        <w:rPr>
          <w:rFonts w:ascii="Verdana" w:hAnsi="Verdana"/>
          <w:sz w:val="20"/>
        </w:rPr>
        <w:t>,</w:t>
      </w:r>
      <w:r w:rsidR="00AC1FC9" w:rsidRPr="00E17ED4">
        <w:rPr>
          <w:rFonts w:ascii="Verdana" w:hAnsi="Verdana"/>
          <w:sz w:val="20"/>
        </w:rPr>
        <w:t>6</w:t>
      </w:r>
      <w:r w:rsidR="00D3182A" w:rsidRPr="00E17ED4">
        <w:rPr>
          <w:rFonts w:ascii="Verdana" w:hAnsi="Verdana"/>
          <w:sz w:val="20"/>
        </w:rPr>
        <w:t>%.</w:t>
      </w:r>
      <w:r w:rsidR="00D3182A" w:rsidRPr="009734DA">
        <w:rPr>
          <w:rFonts w:ascii="Verdana" w:hAnsi="Verdana"/>
          <w:sz w:val="20"/>
        </w:rPr>
        <w:t xml:space="preserve"> </w:t>
      </w:r>
      <w:r w:rsidR="00B56826" w:rsidRPr="00E17ED4">
        <w:rPr>
          <w:rFonts w:ascii="Verdana" w:hAnsi="Verdana"/>
          <w:sz w:val="20"/>
        </w:rPr>
        <w:t xml:space="preserve">El </w:t>
      </w:r>
      <w:r w:rsidR="00D3182A" w:rsidRPr="00E17ED4">
        <w:rPr>
          <w:rFonts w:ascii="Verdana" w:hAnsi="Verdana"/>
          <w:sz w:val="20"/>
        </w:rPr>
        <w:t>mayor</w:t>
      </w:r>
      <w:r w:rsidR="00B56826" w:rsidRPr="00E17ED4">
        <w:rPr>
          <w:rFonts w:ascii="Verdana" w:hAnsi="Verdana"/>
          <w:sz w:val="20"/>
        </w:rPr>
        <w:t xml:space="preserve"> porcentaje </w:t>
      </w:r>
      <w:r w:rsidR="00D3182A" w:rsidRPr="00E17ED4">
        <w:rPr>
          <w:rFonts w:ascii="Verdana" w:hAnsi="Verdana"/>
          <w:sz w:val="20"/>
        </w:rPr>
        <w:t xml:space="preserve">se ha dado en </w:t>
      </w:r>
      <w:r w:rsidR="00AC1FC9" w:rsidRPr="00E17ED4">
        <w:rPr>
          <w:rFonts w:ascii="Verdana" w:hAnsi="Verdana"/>
          <w:sz w:val="20"/>
        </w:rPr>
        <w:t xml:space="preserve">Asturias, 89,2%; </w:t>
      </w:r>
      <w:r w:rsidR="00D3182A" w:rsidRPr="00E17ED4">
        <w:rPr>
          <w:rFonts w:ascii="Verdana" w:hAnsi="Verdana"/>
          <w:sz w:val="20"/>
        </w:rPr>
        <w:t xml:space="preserve">seguida de </w:t>
      </w:r>
      <w:r w:rsidR="00B56826" w:rsidRPr="00E17ED4">
        <w:rPr>
          <w:rFonts w:ascii="Verdana" w:hAnsi="Verdana"/>
          <w:sz w:val="20"/>
        </w:rPr>
        <w:t xml:space="preserve"> </w:t>
      </w:r>
      <w:r w:rsidR="00AC1FC9" w:rsidRPr="00E17ED4">
        <w:rPr>
          <w:rFonts w:ascii="Verdana" w:hAnsi="Verdana"/>
          <w:sz w:val="20"/>
        </w:rPr>
        <w:t>Cantabria, 89</w:t>
      </w:r>
      <w:r w:rsidR="00D3182A" w:rsidRPr="00E17ED4">
        <w:rPr>
          <w:rFonts w:ascii="Verdana" w:hAnsi="Verdana"/>
          <w:sz w:val="20"/>
        </w:rPr>
        <w:t>,</w:t>
      </w:r>
      <w:r w:rsidR="00AC1FC9" w:rsidRPr="00E17ED4">
        <w:rPr>
          <w:rFonts w:ascii="Verdana" w:hAnsi="Verdana"/>
          <w:sz w:val="20"/>
        </w:rPr>
        <w:t>1</w:t>
      </w:r>
      <w:r w:rsidR="00D3182A" w:rsidRPr="00E17ED4">
        <w:rPr>
          <w:rFonts w:ascii="Verdana" w:hAnsi="Verdana"/>
          <w:sz w:val="20"/>
        </w:rPr>
        <w:t xml:space="preserve">%; </w:t>
      </w:r>
      <w:r w:rsidR="00AC1FC9" w:rsidRPr="00E17ED4">
        <w:rPr>
          <w:rFonts w:ascii="Verdana" w:hAnsi="Verdana"/>
          <w:sz w:val="20"/>
        </w:rPr>
        <w:t>Navarra</w:t>
      </w:r>
      <w:r w:rsidR="00D3182A" w:rsidRPr="00E17ED4">
        <w:rPr>
          <w:rFonts w:ascii="Verdana" w:hAnsi="Verdana"/>
          <w:sz w:val="20"/>
        </w:rPr>
        <w:t>, 8</w:t>
      </w:r>
      <w:r w:rsidR="00AC1FC9" w:rsidRPr="00E17ED4">
        <w:rPr>
          <w:rFonts w:ascii="Verdana" w:hAnsi="Verdana"/>
          <w:sz w:val="20"/>
        </w:rPr>
        <w:t>5</w:t>
      </w:r>
      <w:r w:rsidR="00D3182A" w:rsidRPr="00E17ED4">
        <w:rPr>
          <w:rFonts w:ascii="Verdana" w:hAnsi="Verdana"/>
          <w:sz w:val="20"/>
        </w:rPr>
        <w:t xml:space="preserve">%; </w:t>
      </w:r>
      <w:r w:rsidR="00AC1FC9" w:rsidRPr="00E17ED4">
        <w:rPr>
          <w:rFonts w:ascii="Verdana" w:hAnsi="Verdana"/>
          <w:sz w:val="20"/>
        </w:rPr>
        <w:t>Aragón, 84,4%, y Extremadura, 84,2.</w:t>
      </w:r>
      <w:r w:rsidR="00D3182A" w:rsidRPr="00E17ED4">
        <w:rPr>
          <w:rFonts w:ascii="Verdana" w:hAnsi="Verdana"/>
          <w:sz w:val="20"/>
        </w:rPr>
        <w:t xml:space="preserve"> El menor porcentaje ha correspondido a Canarias, 7</w:t>
      </w:r>
      <w:r w:rsidR="00AC1FC9" w:rsidRPr="00E17ED4">
        <w:rPr>
          <w:rFonts w:ascii="Verdana" w:hAnsi="Verdana"/>
          <w:sz w:val="20"/>
        </w:rPr>
        <w:t>2</w:t>
      </w:r>
      <w:r w:rsidR="00D3182A" w:rsidRPr="00E17ED4">
        <w:rPr>
          <w:rFonts w:ascii="Verdana" w:hAnsi="Verdana"/>
          <w:sz w:val="20"/>
        </w:rPr>
        <w:t>,</w:t>
      </w:r>
      <w:r w:rsidR="00AC1FC9" w:rsidRPr="00E17ED4">
        <w:rPr>
          <w:rFonts w:ascii="Verdana" w:hAnsi="Verdana"/>
          <w:sz w:val="20"/>
        </w:rPr>
        <w:t>4</w:t>
      </w:r>
      <w:r w:rsidR="00D3182A" w:rsidRPr="00E17ED4">
        <w:rPr>
          <w:rFonts w:ascii="Verdana" w:hAnsi="Verdana"/>
          <w:sz w:val="20"/>
        </w:rPr>
        <w:t>%.</w:t>
      </w:r>
    </w:p>
    <w:p w:rsidR="00EE09B6" w:rsidRDefault="00EE09B6" w:rsidP="00EE09B6">
      <w:pPr>
        <w:jc w:val="both"/>
        <w:rPr>
          <w:rFonts w:ascii="Verdana" w:hAnsi="Verdana"/>
          <w:sz w:val="20"/>
        </w:rPr>
      </w:pPr>
    </w:p>
    <w:p w:rsidR="0041488A" w:rsidRPr="00E17ED4" w:rsidRDefault="009E6C91" w:rsidP="00720400">
      <w:pPr>
        <w:pStyle w:val="Textoindependiente"/>
        <w:spacing w:before="120" w:after="120"/>
        <w:ind w:firstLine="357"/>
        <w:rPr>
          <w:rFonts w:ascii="Verdana" w:hAnsi="Verdana"/>
          <w:sz w:val="20"/>
        </w:rPr>
      </w:pPr>
      <w:r w:rsidRPr="00E17ED4">
        <w:rPr>
          <w:rFonts w:ascii="Verdana" w:hAnsi="Verdana"/>
          <w:sz w:val="20"/>
        </w:rPr>
        <w:t>En las salas de lo s</w:t>
      </w:r>
      <w:r w:rsidR="008F39A2" w:rsidRPr="00E17ED4">
        <w:rPr>
          <w:rFonts w:ascii="Verdana" w:hAnsi="Verdana"/>
          <w:sz w:val="20"/>
        </w:rPr>
        <w:t>ocial de los</w:t>
      </w:r>
      <w:r w:rsidRPr="00E17ED4">
        <w:rPr>
          <w:rFonts w:ascii="Verdana" w:hAnsi="Verdana"/>
          <w:sz w:val="20"/>
        </w:rPr>
        <w:t xml:space="preserve"> tribunales superiores de justicia</w:t>
      </w:r>
      <w:r w:rsidR="008F39A2" w:rsidRPr="00E17ED4">
        <w:rPr>
          <w:rFonts w:ascii="Verdana" w:hAnsi="Verdana"/>
          <w:sz w:val="20"/>
        </w:rPr>
        <w:t xml:space="preserve"> el número de señalamientos ha </w:t>
      </w:r>
      <w:r w:rsidR="009734DA" w:rsidRPr="00E17ED4">
        <w:rPr>
          <w:rFonts w:ascii="Verdana" w:hAnsi="Verdana"/>
          <w:sz w:val="20"/>
        </w:rPr>
        <w:t>aumentado</w:t>
      </w:r>
      <w:r w:rsidR="00EE09B6" w:rsidRPr="00E17ED4">
        <w:rPr>
          <w:rFonts w:ascii="Verdana" w:hAnsi="Verdana"/>
          <w:sz w:val="20"/>
        </w:rPr>
        <w:t xml:space="preserve"> un </w:t>
      </w:r>
      <w:r w:rsidR="00AC1FC9" w:rsidRPr="00E17ED4">
        <w:rPr>
          <w:rFonts w:ascii="Verdana" w:hAnsi="Verdana"/>
          <w:sz w:val="20"/>
        </w:rPr>
        <w:t>49</w:t>
      </w:r>
      <w:r w:rsidR="00EE09B6" w:rsidRPr="00E17ED4">
        <w:rPr>
          <w:rFonts w:ascii="Verdana" w:hAnsi="Verdana"/>
          <w:sz w:val="20"/>
        </w:rPr>
        <w:t>,</w:t>
      </w:r>
      <w:r w:rsidR="00AC1FC9" w:rsidRPr="00E17ED4">
        <w:rPr>
          <w:rFonts w:ascii="Verdana" w:hAnsi="Verdana"/>
          <w:sz w:val="20"/>
        </w:rPr>
        <w:t>9</w:t>
      </w:r>
      <w:r w:rsidR="00EE09B6" w:rsidRPr="00E17ED4">
        <w:rPr>
          <w:rFonts w:ascii="Verdana" w:hAnsi="Verdana"/>
          <w:sz w:val="20"/>
        </w:rPr>
        <w:t xml:space="preserve">%, habiéndose realizado </w:t>
      </w:r>
      <w:r w:rsidR="00AC1FC9" w:rsidRPr="00E17ED4">
        <w:rPr>
          <w:rFonts w:ascii="Verdana" w:hAnsi="Verdana"/>
          <w:sz w:val="20"/>
        </w:rPr>
        <w:t>1.256</w:t>
      </w:r>
      <w:r w:rsidR="00EE09B6" w:rsidRPr="00E17ED4">
        <w:rPr>
          <w:rFonts w:ascii="Verdana" w:hAnsi="Verdana"/>
          <w:sz w:val="20"/>
        </w:rPr>
        <w:t xml:space="preserve"> señalamientos. El porcentaje de </w:t>
      </w:r>
      <w:r w:rsidR="009734DA" w:rsidRPr="00E17ED4">
        <w:rPr>
          <w:rFonts w:ascii="Verdana" w:hAnsi="Verdana"/>
          <w:sz w:val="20"/>
        </w:rPr>
        <w:t>no suspendidos</w:t>
      </w:r>
      <w:r w:rsidR="00EE09B6" w:rsidRPr="00E17ED4">
        <w:rPr>
          <w:rFonts w:ascii="Verdana" w:hAnsi="Verdana"/>
          <w:sz w:val="20"/>
        </w:rPr>
        <w:t xml:space="preserve"> ha sido del </w:t>
      </w:r>
      <w:r w:rsidR="009734DA" w:rsidRPr="00E17ED4">
        <w:rPr>
          <w:rFonts w:ascii="Verdana" w:hAnsi="Verdana"/>
          <w:sz w:val="20"/>
        </w:rPr>
        <w:t>8</w:t>
      </w:r>
      <w:r w:rsidR="00AC1FC9" w:rsidRPr="00E17ED4">
        <w:rPr>
          <w:rFonts w:ascii="Verdana" w:hAnsi="Verdana"/>
          <w:sz w:val="20"/>
        </w:rPr>
        <w:t>8</w:t>
      </w:r>
      <w:r w:rsidR="00EE09B6" w:rsidRPr="00E17ED4">
        <w:rPr>
          <w:rFonts w:ascii="Verdana" w:hAnsi="Verdana"/>
          <w:sz w:val="20"/>
        </w:rPr>
        <w:t>,9%</w:t>
      </w:r>
      <w:r w:rsidR="0041488A" w:rsidRPr="00E17ED4">
        <w:rPr>
          <w:rFonts w:ascii="Verdana" w:hAnsi="Verdana"/>
          <w:sz w:val="20"/>
        </w:rPr>
        <w:t>.</w:t>
      </w:r>
    </w:p>
    <w:p w:rsidR="00AA383A" w:rsidRPr="00E17ED4" w:rsidRDefault="00AA383A" w:rsidP="00720400">
      <w:pPr>
        <w:pStyle w:val="Textoindependiente"/>
        <w:spacing w:before="120" w:after="120"/>
        <w:ind w:firstLine="357"/>
        <w:rPr>
          <w:rFonts w:ascii="Verdana" w:hAnsi="Verdana"/>
          <w:sz w:val="20"/>
        </w:rPr>
      </w:pPr>
    </w:p>
    <w:p w:rsidR="00720400" w:rsidRPr="00E17ED4" w:rsidRDefault="00720400" w:rsidP="00EF4F64">
      <w:pPr>
        <w:pStyle w:val="Ttulo2"/>
        <w:numPr>
          <w:ilvl w:val="1"/>
          <w:numId w:val="13"/>
        </w:numPr>
        <w:rPr>
          <w:rFonts w:ascii="Verdana" w:hAnsi="Verdana"/>
          <w:sz w:val="20"/>
        </w:rPr>
      </w:pPr>
      <w:r w:rsidRPr="00E17ED4">
        <w:rPr>
          <w:rFonts w:ascii="Verdana" w:hAnsi="Verdana"/>
          <w:color w:val="333399"/>
        </w:rPr>
        <w:t>Duraciones medias de los proceso</w:t>
      </w:r>
      <w:r w:rsidRPr="00E17ED4">
        <w:rPr>
          <w:rFonts w:ascii="Verdana" w:hAnsi="Verdana"/>
        </w:rPr>
        <w:t>s</w:t>
      </w:r>
    </w:p>
    <w:p w:rsidR="00720400" w:rsidRPr="00CE214A" w:rsidRDefault="00720400" w:rsidP="00720400">
      <w:pPr>
        <w:pStyle w:val="Textoindependiente"/>
        <w:spacing w:before="120" w:after="120"/>
        <w:ind w:firstLine="357"/>
        <w:rPr>
          <w:rFonts w:ascii="Verdana" w:hAnsi="Verdana"/>
          <w:sz w:val="20"/>
        </w:rPr>
      </w:pPr>
      <w:r w:rsidRPr="00E17ED4">
        <w:rPr>
          <w:rFonts w:ascii="Verdana" w:hAnsi="Verdana"/>
          <w:sz w:val="20"/>
        </w:rPr>
        <w:t>La duració</w:t>
      </w:r>
      <w:r w:rsidR="009E6C91" w:rsidRPr="00E17ED4">
        <w:rPr>
          <w:rFonts w:ascii="Verdana" w:hAnsi="Verdana"/>
          <w:sz w:val="20"/>
        </w:rPr>
        <w:t>n media de los procesos en los juzgados de lo s</w:t>
      </w:r>
      <w:r w:rsidRPr="00E17ED4">
        <w:rPr>
          <w:rFonts w:ascii="Verdana" w:hAnsi="Verdana"/>
          <w:sz w:val="20"/>
        </w:rPr>
        <w:t>ocial muestra la siguiente evolución:</w:t>
      </w:r>
    </w:p>
    <w:tbl>
      <w:tblPr>
        <w:tblW w:w="9220" w:type="dxa"/>
        <w:tblInd w:w="55" w:type="dxa"/>
        <w:tblCellMar>
          <w:left w:w="70" w:type="dxa"/>
          <w:right w:w="70" w:type="dxa"/>
        </w:tblCellMar>
        <w:tblLook w:val="0000" w:firstRow="0" w:lastRow="0" w:firstColumn="0" w:lastColumn="0" w:noHBand="0" w:noVBand="0"/>
      </w:tblPr>
      <w:tblGrid>
        <w:gridCol w:w="3220"/>
        <w:gridCol w:w="1200"/>
        <w:gridCol w:w="1200"/>
        <w:gridCol w:w="1200"/>
        <w:gridCol w:w="1200"/>
        <w:gridCol w:w="1200"/>
      </w:tblGrid>
      <w:tr w:rsidR="00044D98" w:rsidRPr="00CE214A" w:rsidTr="003C32F2">
        <w:trPr>
          <w:trHeight w:val="270"/>
        </w:trPr>
        <w:tc>
          <w:tcPr>
            <w:tcW w:w="3220" w:type="dxa"/>
            <w:tcBorders>
              <w:top w:val="nil"/>
              <w:left w:val="nil"/>
              <w:bottom w:val="nil"/>
              <w:right w:val="nil"/>
            </w:tcBorders>
            <w:shd w:val="clear" w:color="auto" w:fill="auto"/>
            <w:noWrap/>
            <w:vAlign w:val="bottom"/>
          </w:tcPr>
          <w:p w:rsidR="00044D98" w:rsidRPr="00CE214A" w:rsidRDefault="00044D98">
            <w:pPr>
              <w:rPr>
                <w:rFonts w:ascii="Verdana" w:hAnsi="Verdana" w:cs="Arial"/>
                <w:sz w:val="20"/>
                <w:szCs w:val="20"/>
              </w:rPr>
            </w:pPr>
            <w:bookmarkStart w:id="9" w:name="_Hlk163957932"/>
            <w:bookmarkStart w:id="10" w:name="RANGE!B53"/>
            <w:bookmarkEnd w:id="9"/>
            <w:bookmarkEnd w:id="10"/>
          </w:p>
        </w:tc>
        <w:tc>
          <w:tcPr>
            <w:tcW w:w="1200" w:type="dxa"/>
            <w:tcBorders>
              <w:top w:val="single" w:sz="8" w:space="0" w:color="auto"/>
              <w:left w:val="nil"/>
              <w:bottom w:val="single" w:sz="8" w:space="0" w:color="auto"/>
              <w:right w:val="nil"/>
            </w:tcBorders>
            <w:shd w:val="clear" w:color="auto" w:fill="auto"/>
            <w:vAlign w:val="center"/>
          </w:tcPr>
          <w:p w:rsidR="00044D98" w:rsidRPr="00CE214A" w:rsidRDefault="00044D98" w:rsidP="00044D98">
            <w:pPr>
              <w:jc w:val="center"/>
              <w:rPr>
                <w:rFonts w:ascii="Verdana" w:hAnsi="Verdana" w:cs="Arial"/>
                <w:b/>
                <w:bCs/>
                <w:color w:val="000080"/>
                <w:sz w:val="20"/>
                <w:szCs w:val="20"/>
                <w:lang w:val="es-ES"/>
              </w:rPr>
            </w:pPr>
            <w:r>
              <w:rPr>
                <w:rFonts w:ascii="Verdana" w:hAnsi="Verdana" w:cs="Arial"/>
                <w:b/>
                <w:bCs/>
                <w:color w:val="000080"/>
                <w:sz w:val="20"/>
                <w:szCs w:val="20"/>
                <w:lang w:val="es-ES"/>
              </w:rPr>
              <w:t>2017</w:t>
            </w:r>
          </w:p>
        </w:tc>
        <w:tc>
          <w:tcPr>
            <w:tcW w:w="1200" w:type="dxa"/>
            <w:tcBorders>
              <w:top w:val="single" w:sz="8" w:space="0" w:color="auto"/>
              <w:left w:val="nil"/>
              <w:bottom w:val="single" w:sz="8" w:space="0" w:color="auto"/>
              <w:right w:val="nil"/>
            </w:tcBorders>
            <w:shd w:val="clear" w:color="auto" w:fill="auto"/>
            <w:vAlign w:val="center"/>
          </w:tcPr>
          <w:p w:rsidR="00044D98" w:rsidRPr="00CE214A" w:rsidRDefault="00044D98" w:rsidP="00ED307E">
            <w:pPr>
              <w:jc w:val="center"/>
              <w:rPr>
                <w:rFonts w:ascii="Verdana" w:hAnsi="Verdana" w:cs="Arial"/>
                <w:b/>
                <w:bCs/>
                <w:color w:val="000080"/>
                <w:sz w:val="20"/>
                <w:szCs w:val="20"/>
                <w:lang w:val="es-ES"/>
              </w:rPr>
            </w:pPr>
            <w:r>
              <w:rPr>
                <w:rFonts w:ascii="Verdana" w:hAnsi="Verdana" w:cs="Arial"/>
                <w:b/>
                <w:bCs/>
                <w:color w:val="000080"/>
                <w:sz w:val="20"/>
                <w:szCs w:val="20"/>
                <w:lang w:val="es-ES"/>
              </w:rPr>
              <w:t>2016</w:t>
            </w:r>
          </w:p>
        </w:tc>
        <w:tc>
          <w:tcPr>
            <w:tcW w:w="1200" w:type="dxa"/>
            <w:tcBorders>
              <w:top w:val="single" w:sz="8" w:space="0" w:color="auto"/>
              <w:left w:val="nil"/>
              <w:bottom w:val="single" w:sz="8" w:space="0" w:color="auto"/>
              <w:right w:val="nil"/>
            </w:tcBorders>
            <w:shd w:val="clear" w:color="auto" w:fill="auto"/>
            <w:vAlign w:val="center"/>
          </w:tcPr>
          <w:p w:rsidR="00044D98" w:rsidRPr="00CE214A" w:rsidRDefault="00044D98" w:rsidP="00ED307E">
            <w:pPr>
              <w:jc w:val="center"/>
              <w:rPr>
                <w:rFonts w:ascii="Verdana" w:hAnsi="Verdana" w:cs="Arial"/>
                <w:b/>
                <w:bCs/>
                <w:color w:val="000080"/>
                <w:sz w:val="20"/>
                <w:szCs w:val="20"/>
                <w:lang w:val="es-ES"/>
              </w:rPr>
            </w:pPr>
            <w:r>
              <w:rPr>
                <w:rFonts w:ascii="Verdana" w:hAnsi="Verdana" w:cs="Arial"/>
                <w:b/>
                <w:bCs/>
                <w:color w:val="000080"/>
                <w:sz w:val="20"/>
                <w:szCs w:val="20"/>
                <w:lang w:val="es-ES"/>
              </w:rPr>
              <w:t>2015</w:t>
            </w:r>
          </w:p>
        </w:tc>
        <w:tc>
          <w:tcPr>
            <w:tcW w:w="1200" w:type="dxa"/>
            <w:tcBorders>
              <w:top w:val="single" w:sz="8" w:space="0" w:color="auto"/>
              <w:left w:val="nil"/>
              <w:bottom w:val="single" w:sz="8" w:space="0" w:color="auto"/>
              <w:right w:val="nil"/>
            </w:tcBorders>
            <w:shd w:val="clear" w:color="auto" w:fill="auto"/>
            <w:vAlign w:val="center"/>
          </w:tcPr>
          <w:p w:rsidR="00044D98" w:rsidRPr="00CE214A" w:rsidRDefault="00044D98" w:rsidP="00ED307E">
            <w:pPr>
              <w:jc w:val="center"/>
              <w:rPr>
                <w:rFonts w:ascii="Verdana" w:hAnsi="Verdana" w:cs="Arial"/>
                <w:b/>
                <w:bCs/>
                <w:color w:val="000080"/>
                <w:sz w:val="20"/>
                <w:szCs w:val="20"/>
                <w:lang w:val="es-ES"/>
              </w:rPr>
            </w:pPr>
            <w:r>
              <w:rPr>
                <w:rFonts w:ascii="Verdana" w:hAnsi="Verdana" w:cs="Arial"/>
                <w:b/>
                <w:bCs/>
                <w:color w:val="000080"/>
                <w:sz w:val="20"/>
                <w:szCs w:val="20"/>
                <w:lang w:val="es-ES"/>
              </w:rPr>
              <w:t>2014</w:t>
            </w:r>
          </w:p>
        </w:tc>
        <w:tc>
          <w:tcPr>
            <w:tcW w:w="1200" w:type="dxa"/>
            <w:tcBorders>
              <w:top w:val="single" w:sz="8" w:space="0" w:color="auto"/>
              <w:left w:val="nil"/>
              <w:bottom w:val="single" w:sz="8" w:space="0" w:color="auto"/>
              <w:right w:val="nil"/>
            </w:tcBorders>
            <w:shd w:val="clear" w:color="auto" w:fill="auto"/>
            <w:vAlign w:val="center"/>
          </w:tcPr>
          <w:p w:rsidR="00044D98" w:rsidRPr="00CE214A" w:rsidRDefault="00044D98" w:rsidP="00ED307E">
            <w:pPr>
              <w:jc w:val="center"/>
              <w:rPr>
                <w:rFonts w:ascii="Verdana" w:hAnsi="Verdana" w:cs="Arial"/>
                <w:b/>
                <w:bCs/>
                <w:color w:val="000080"/>
                <w:sz w:val="20"/>
                <w:szCs w:val="20"/>
                <w:lang w:val="es-ES"/>
              </w:rPr>
            </w:pPr>
            <w:r w:rsidRPr="00CE214A">
              <w:rPr>
                <w:rFonts w:ascii="Verdana" w:hAnsi="Verdana" w:cs="Arial"/>
                <w:b/>
                <w:bCs/>
                <w:color w:val="000080"/>
                <w:sz w:val="20"/>
                <w:szCs w:val="20"/>
                <w:lang w:val="es-ES"/>
              </w:rPr>
              <w:t>2013</w:t>
            </w:r>
          </w:p>
        </w:tc>
      </w:tr>
      <w:tr w:rsidR="00044D98" w:rsidRPr="00CE214A" w:rsidTr="00ED307E">
        <w:trPr>
          <w:trHeight w:val="270"/>
        </w:trPr>
        <w:tc>
          <w:tcPr>
            <w:tcW w:w="3220" w:type="dxa"/>
            <w:tcBorders>
              <w:top w:val="single" w:sz="8" w:space="0" w:color="auto"/>
              <w:left w:val="nil"/>
              <w:bottom w:val="single" w:sz="8" w:space="0" w:color="auto"/>
              <w:right w:val="nil"/>
            </w:tcBorders>
            <w:shd w:val="clear" w:color="auto" w:fill="auto"/>
            <w:vAlign w:val="bottom"/>
          </w:tcPr>
          <w:p w:rsidR="00044D98" w:rsidRPr="00CE214A" w:rsidRDefault="00044D98">
            <w:pPr>
              <w:jc w:val="center"/>
              <w:rPr>
                <w:rFonts w:ascii="Verdana" w:hAnsi="Verdana" w:cs="Arial"/>
                <w:sz w:val="20"/>
                <w:szCs w:val="20"/>
              </w:rPr>
            </w:pPr>
            <w:r w:rsidRPr="00CE214A">
              <w:rPr>
                <w:rFonts w:ascii="Verdana" w:hAnsi="Verdana" w:cs="Arial"/>
                <w:sz w:val="20"/>
                <w:szCs w:val="20"/>
              </w:rPr>
              <w:t>Juzgados de lo Social</w:t>
            </w:r>
          </w:p>
        </w:tc>
        <w:tc>
          <w:tcPr>
            <w:tcW w:w="1200" w:type="dxa"/>
            <w:tcBorders>
              <w:top w:val="nil"/>
              <w:left w:val="nil"/>
              <w:bottom w:val="single" w:sz="8" w:space="0" w:color="auto"/>
              <w:right w:val="nil"/>
            </w:tcBorders>
            <w:shd w:val="clear" w:color="auto" w:fill="auto"/>
            <w:noWrap/>
            <w:vAlign w:val="center"/>
          </w:tcPr>
          <w:p w:rsidR="00044D98" w:rsidRDefault="00044D98" w:rsidP="00044D98">
            <w:pPr>
              <w:jc w:val="center"/>
              <w:rPr>
                <w:rFonts w:ascii="Verdana" w:hAnsi="Verdana" w:cs="Calibri"/>
                <w:color w:val="000000"/>
                <w:sz w:val="20"/>
                <w:szCs w:val="20"/>
              </w:rPr>
            </w:pPr>
            <w:r>
              <w:rPr>
                <w:rFonts w:ascii="Verdana" w:hAnsi="Verdana" w:cs="Calibri"/>
                <w:color w:val="000000"/>
                <w:sz w:val="20"/>
                <w:szCs w:val="20"/>
              </w:rPr>
              <w:t>9,4</w:t>
            </w:r>
          </w:p>
        </w:tc>
        <w:tc>
          <w:tcPr>
            <w:tcW w:w="1200" w:type="dxa"/>
            <w:tcBorders>
              <w:top w:val="nil"/>
              <w:left w:val="nil"/>
              <w:bottom w:val="single" w:sz="8" w:space="0" w:color="auto"/>
              <w:right w:val="nil"/>
            </w:tcBorders>
            <w:shd w:val="clear" w:color="auto" w:fill="auto"/>
            <w:noWrap/>
            <w:vAlign w:val="center"/>
          </w:tcPr>
          <w:p w:rsidR="00044D98" w:rsidRDefault="00044D98" w:rsidP="00044D98">
            <w:pPr>
              <w:jc w:val="center"/>
              <w:rPr>
                <w:rFonts w:ascii="Verdana" w:hAnsi="Verdana" w:cs="Calibri"/>
                <w:color w:val="000000"/>
                <w:sz w:val="20"/>
                <w:szCs w:val="20"/>
              </w:rPr>
            </w:pPr>
            <w:r>
              <w:rPr>
                <w:rFonts w:ascii="Verdana" w:hAnsi="Verdana" w:cs="Calibri"/>
                <w:color w:val="000000"/>
                <w:sz w:val="20"/>
                <w:szCs w:val="20"/>
              </w:rPr>
              <w:t>10,2</w:t>
            </w:r>
          </w:p>
        </w:tc>
        <w:tc>
          <w:tcPr>
            <w:tcW w:w="1200" w:type="dxa"/>
            <w:tcBorders>
              <w:top w:val="nil"/>
              <w:left w:val="nil"/>
              <w:bottom w:val="single" w:sz="8" w:space="0" w:color="auto"/>
              <w:right w:val="nil"/>
            </w:tcBorders>
            <w:shd w:val="clear" w:color="auto" w:fill="auto"/>
            <w:noWrap/>
            <w:vAlign w:val="center"/>
          </w:tcPr>
          <w:p w:rsidR="00044D98" w:rsidRDefault="00044D98" w:rsidP="00044D98">
            <w:pPr>
              <w:jc w:val="center"/>
              <w:rPr>
                <w:rFonts w:ascii="Verdana" w:hAnsi="Verdana" w:cs="Calibri"/>
                <w:color w:val="000000"/>
                <w:sz w:val="20"/>
                <w:szCs w:val="20"/>
              </w:rPr>
            </w:pPr>
            <w:r>
              <w:rPr>
                <w:rFonts w:ascii="Verdana" w:hAnsi="Verdana" w:cs="Calibri"/>
                <w:color w:val="000000"/>
                <w:sz w:val="20"/>
                <w:szCs w:val="20"/>
              </w:rPr>
              <w:t>10,7</w:t>
            </w:r>
          </w:p>
        </w:tc>
        <w:tc>
          <w:tcPr>
            <w:tcW w:w="1200" w:type="dxa"/>
            <w:tcBorders>
              <w:top w:val="nil"/>
              <w:left w:val="nil"/>
              <w:bottom w:val="single" w:sz="8" w:space="0" w:color="auto"/>
              <w:right w:val="nil"/>
            </w:tcBorders>
            <w:shd w:val="clear" w:color="auto" w:fill="auto"/>
            <w:noWrap/>
            <w:vAlign w:val="center"/>
          </w:tcPr>
          <w:p w:rsidR="00044D98" w:rsidRDefault="00044D98" w:rsidP="00044D98">
            <w:pPr>
              <w:jc w:val="center"/>
              <w:rPr>
                <w:rFonts w:ascii="Verdana" w:hAnsi="Verdana" w:cs="Calibri"/>
                <w:color w:val="000000"/>
                <w:sz w:val="20"/>
                <w:szCs w:val="20"/>
              </w:rPr>
            </w:pPr>
            <w:r>
              <w:rPr>
                <w:rFonts w:ascii="Verdana" w:hAnsi="Verdana" w:cs="Calibri"/>
                <w:color w:val="000000"/>
                <w:sz w:val="20"/>
                <w:szCs w:val="20"/>
              </w:rPr>
              <w:t>10,7</w:t>
            </w:r>
          </w:p>
        </w:tc>
        <w:tc>
          <w:tcPr>
            <w:tcW w:w="1200" w:type="dxa"/>
            <w:tcBorders>
              <w:top w:val="nil"/>
              <w:left w:val="nil"/>
              <w:bottom w:val="single" w:sz="8" w:space="0" w:color="auto"/>
              <w:right w:val="nil"/>
            </w:tcBorders>
            <w:shd w:val="clear" w:color="auto" w:fill="auto"/>
            <w:noWrap/>
            <w:vAlign w:val="center"/>
          </w:tcPr>
          <w:p w:rsidR="00044D98" w:rsidRDefault="00044D98" w:rsidP="00044D98">
            <w:pPr>
              <w:jc w:val="center"/>
              <w:rPr>
                <w:rFonts w:ascii="Verdana" w:hAnsi="Verdana" w:cs="Calibri"/>
                <w:color w:val="000000"/>
                <w:sz w:val="20"/>
                <w:szCs w:val="20"/>
              </w:rPr>
            </w:pPr>
            <w:r>
              <w:rPr>
                <w:rFonts w:ascii="Verdana" w:hAnsi="Verdana" w:cs="Calibri"/>
                <w:color w:val="000000"/>
                <w:sz w:val="20"/>
                <w:szCs w:val="20"/>
              </w:rPr>
              <w:t>9,7</w:t>
            </w:r>
          </w:p>
        </w:tc>
      </w:tr>
    </w:tbl>
    <w:p w:rsidR="009E55A7" w:rsidRPr="00CE214A" w:rsidRDefault="009E55A7" w:rsidP="00720400">
      <w:pPr>
        <w:pStyle w:val="Textoindependiente"/>
        <w:spacing w:before="120" w:after="120"/>
        <w:ind w:firstLine="357"/>
        <w:rPr>
          <w:rFonts w:ascii="Verdana" w:hAnsi="Verdana"/>
          <w:sz w:val="20"/>
        </w:rPr>
      </w:pPr>
    </w:p>
    <w:p w:rsidR="00720400" w:rsidRPr="00E17ED4" w:rsidRDefault="00EE4B9D" w:rsidP="00720400">
      <w:pPr>
        <w:pStyle w:val="Textoindependiente"/>
        <w:spacing w:before="120" w:after="120"/>
        <w:ind w:firstLine="357"/>
        <w:rPr>
          <w:rFonts w:ascii="Verdana" w:hAnsi="Verdana"/>
          <w:sz w:val="20"/>
        </w:rPr>
      </w:pPr>
      <w:r w:rsidRPr="00E17ED4">
        <w:rPr>
          <w:rFonts w:ascii="Verdana" w:hAnsi="Verdana"/>
          <w:sz w:val="20"/>
        </w:rPr>
        <w:t>Las duraciones medias más altas para los asuntos terminados en 201</w:t>
      </w:r>
      <w:r w:rsidR="003F1A23" w:rsidRPr="00E17ED4">
        <w:rPr>
          <w:rFonts w:ascii="Verdana" w:hAnsi="Verdana"/>
          <w:sz w:val="20"/>
        </w:rPr>
        <w:t>7</w:t>
      </w:r>
      <w:r w:rsidRPr="00E17ED4">
        <w:rPr>
          <w:rFonts w:ascii="Verdana" w:hAnsi="Verdana"/>
          <w:sz w:val="20"/>
        </w:rPr>
        <w:t xml:space="preserve"> se dieron en Illes Balears (</w:t>
      </w:r>
      <w:r w:rsidR="003F1A23" w:rsidRPr="00E17ED4">
        <w:rPr>
          <w:rFonts w:ascii="Verdana" w:hAnsi="Verdana"/>
          <w:sz w:val="20"/>
        </w:rPr>
        <w:t>15</w:t>
      </w:r>
      <w:r w:rsidR="00C941EC" w:rsidRPr="00E17ED4">
        <w:rPr>
          <w:rFonts w:ascii="Verdana" w:hAnsi="Verdana"/>
          <w:sz w:val="20"/>
        </w:rPr>
        <w:t>,</w:t>
      </w:r>
      <w:r w:rsidR="003F1A23" w:rsidRPr="00E17ED4">
        <w:rPr>
          <w:rFonts w:ascii="Verdana" w:hAnsi="Verdana"/>
          <w:sz w:val="20"/>
        </w:rPr>
        <w:t>5</w:t>
      </w:r>
      <w:r w:rsidRPr="00E17ED4">
        <w:rPr>
          <w:rFonts w:ascii="Verdana" w:hAnsi="Verdana"/>
          <w:sz w:val="20"/>
        </w:rPr>
        <w:t>)</w:t>
      </w:r>
      <w:r w:rsidR="003F1A23" w:rsidRPr="00E17ED4">
        <w:rPr>
          <w:rFonts w:ascii="Verdana" w:hAnsi="Verdana"/>
          <w:sz w:val="20"/>
        </w:rPr>
        <w:t>; Andalucía (12,9); Murcia (11,2); Galicia (11);</w:t>
      </w:r>
      <w:r w:rsidR="004E0B55" w:rsidRPr="00E17ED4">
        <w:rPr>
          <w:rFonts w:ascii="Verdana" w:hAnsi="Verdana"/>
          <w:sz w:val="20"/>
        </w:rPr>
        <w:t xml:space="preserve"> C. Valenciana (</w:t>
      </w:r>
      <w:r w:rsidR="0041488A" w:rsidRPr="00E17ED4">
        <w:rPr>
          <w:rFonts w:ascii="Verdana" w:hAnsi="Verdana"/>
          <w:sz w:val="20"/>
        </w:rPr>
        <w:t>1</w:t>
      </w:r>
      <w:r w:rsidR="003F1A23" w:rsidRPr="00E17ED4">
        <w:rPr>
          <w:rFonts w:ascii="Verdana" w:hAnsi="Verdana"/>
          <w:sz w:val="20"/>
        </w:rPr>
        <w:t>0,8</w:t>
      </w:r>
      <w:r w:rsidR="004E0B55" w:rsidRPr="00E17ED4">
        <w:rPr>
          <w:rFonts w:ascii="Verdana" w:hAnsi="Verdana"/>
          <w:sz w:val="20"/>
        </w:rPr>
        <w:t>)</w:t>
      </w:r>
      <w:r w:rsidRPr="00E17ED4">
        <w:rPr>
          <w:rFonts w:ascii="Verdana" w:hAnsi="Verdana"/>
          <w:sz w:val="20"/>
        </w:rPr>
        <w:t xml:space="preserve">.  </w:t>
      </w:r>
      <w:r w:rsidR="00720400" w:rsidRPr="00E17ED4">
        <w:rPr>
          <w:rFonts w:ascii="Verdana" w:hAnsi="Verdana"/>
          <w:sz w:val="20"/>
        </w:rPr>
        <w:t xml:space="preserve"> Las duraciones más bajas se dieron </w:t>
      </w:r>
      <w:r w:rsidR="00CE06BC" w:rsidRPr="00E17ED4">
        <w:rPr>
          <w:rFonts w:ascii="Verdana" w:hAnsi="Verdana"/>
          <w:sz w:val="20"/>
        </w:rPr>
        <w:t xml:space="preserve">en </w:t>
      </w:r>
      <w:r w:rsidRPr="00E17ED4">
        <w:rPr>
          <w:rFonts w:ascii="Verdana" w:hAnsi="Verdana"/>
          <w:sz w:val="20"/>
        </w:rPr>
        <w:t xml:space="preserve"> </w:t>
      </w:r>
      <w:r w:rsidR="00DE54E6" w:rsidRPr="00E17ED4">
        <w:rPr>
          <w:rFonts w:ascii="Verdana" w:hAnsi="Verdana"/>
          <w:sz w:val="20"/>
        </w:rPr>
        <w:t>Ca</w:t>
      </w:r>
      <w:r w:rsidR="003F1A23" w:rsidRPr="00E17ED4">
        <w:rPr>
          <w:rFonts w:ascii="Verdana" w:hAnsi="Verdana"/>
          <w:sz w:val="20"/>
        </w:rPr>
        <w:t>ntabria (5,9); Ca</w:t>
      </w:r>
      <w:r w:rsidR="00DE54E6" w:rsidRPr="00E17ED4">
        <w:rPr>
          <w:rFonts w:ascii="Verdana" w:hAnsi="Verdana"/>
          <w:sz w:val="20"/>
        </w:rPr>
        <w:t>stilla y León</w:t>
      </w:r>
      <w:r w:rsidR="003F1A23" w:rsidRPr="00E17ED4">
        <w:rPr>
          <w:rFonts w:ascii="Verdana" w:hAnsi="Verdana"/>
          <w:sz w:val="20"/>
        </w:rPr>
        <w:t xml:space="preserve"> y País Vasco</w:t>
      </w:r>
      <w:r w:rsidR="00DE54E6" w:rsidRPr="00E17ED4">
        <w:rPr>
          <w:rFonts w:ascii="Verdana" w:hAnsi="Verdana"/>
          <w:sz w:val="20"/>
        </w:rPr>
        <w:t xml:space="preserve"> (</w:t>
      </w:r>
      <w:r w:rsidR="00771250" w:rsidRPr="00E17ED4">
        <w:rPr>
          <w:rFonts w:ascii="Verdana" w:hAnsi="Verdana"/>
          <w:sz w:val="20"/>
        </w:rPr>
        <w:t>6</w:t>
      </w:r>
      <w:r w:rsidR="00DE54E6" w:rsidRPr="00E17ED4">
        <w:rPr>
          <w:rFonts w:ascii="Verdana" w:hAnsi="Verdana"/>
          <w:sz w:val="20"/>
        </w:rPr>
        <w:t>)</w:t>
      </w:r>
      <w:r w:rsidR="003F1A23" w:rsidRPr="00E17ED4">
        <w:rPr>
          <w:rFonts w:ascii="Verdana" w:hAnsi="Verdana"/>
          <w:sz w:val="20"/>
        </w:rPr>
        <w:t xml:space="preserve">; </w:t>
      </w:r>
      <w:r w:rsidR="00DE54E6" w:rsidRPr="00E17ED4">
        <w:rPr>
          <w:rFonts w:ascii="Verdana" w:hAnsi="Verdana"/>
          <w:sz w:val="20"/>
        </w:rPr>
        <w:t xml:space="preserve"> </w:t>
      </w:r>
      <w:r w:rsidR="00771250" w:rsidRPr="00E17ED4">
        <w:rPr>
          <w:rFonts w:ascii="Verdana" w:hAnsi="Verdana"/>
          <w:sz w:val="20"/>
        </w:rPr>
        <w:t>Navarra</w:t>
      </w:r>
      <w:r w:rsidR="00C941EC" w:rsidRPr="00E17ED4">
        <w:rPr>
          <w:rFonts w:ascii="Verdana" w:hAnsi="Verdana"/>
          <w:sz w:val="20"/>
        </w:rPr>
        <w:t xml:space="preserve"> (</w:t>
      </w:r>
      <w:r w:rsidR="00771250" w:rsidRPr="00E17ED4">
        <w:rPr>
          <w:rFonts w:ascii="Verdana" w:hAnsi="Verdana"/>
          <w:sz w:val="20"/>
        </w:rPr>
        <w:t>6</w:t>
      </w:r>
      <w:r w:rsidR="00C941EC" w:rsidRPr="00E17ED4">
        <w:rPr>
          <w:rFonts w:ascii="Verdana" w:hAnsi="Verdana"/>
          <w:sz w:val="20"/>
        </w:rPr>
        <w:t>,</w:t>
      </w:r>
      <w:r w:rsidR="003F1A23" w:rsidRPr="00E17ED4">
        <w:rPr>
          <w:rFonts w:ascii="Verdana" w:hAnsi="Verdana"/>
          <w:sz w:val="20"/>
        </w:rPr>
        <w:t>1</w:t>
      </w:r>
      <w:r w:rsidR="00C941EC" w:rsidRPr="00E17ED4">
        <w:rPr>
          <w:rFonts w:ascii="Verdana" w:hAnsi="Verdana"/>
          <w:sz w:val="20"/>
        </w:rPr>
        <w:t xml:space="preserve">) y </w:t>
      </w:r>
      <w:r w:rsidR="003F1A23" w:rsidRPr="00E17ED4">
        <w:rPr>
          <w:rFonts w:ascii="Verdana" w:hAnsi="Verdana"/>
          <w:sz w:val="20"/>
        </w:rPr>
        <w:t>Asturias</w:t>
      </w:r>
      <w:r w:rsidR="00771250" w:rsidRPr="00E17ED4">
        <w:rPr>
          <w:rFonts w:ascii="Verdana" w:hAnsi="Verdana"/>
          <w:sz w:val="20"/>
        </w:rPr>
        <w:t xml:space="preserve"> (6</w:t>
      </w:r>
      <w:r w:rsidR="00C941EC" w:rsidRPr="00E17ED4">
        <w:rPr>
          <w:rFonts w:ascii="Verdana" w:hAnsi="Verdana"/>
          <w:sz w:val="20"/>
        </w:rPr>
        <w:t>,</w:t>
      </w:r>
      <w:r w:rsidR="003F1A23" w:rsidRPr="00E17ED4">
        <w:rPr>
          <w:rFonts w:ascii="Verdana" w:hAnsi="Verdana"/>
          <w:sz w:val="20"/>
        </w:rPr>
        <w:t>2</w:t>
      </w:r>
      <w:r w:rsidR="00C941EC" w:rsidRPr="00E17ED4">
        <w:rPr>
          <w:rFonts w:ascii="Verdana" w:hAnsi="Verdana"/>
          <w:sz w:val="20"/>
        </w:rPr>
        <w:t>)</w:t>
      </w:r>
      <w:r w:rsidR="00227864" w:rsidRPr="00E17ED4">
        <w:rPr>
          <w:rFonts w:ascii="Verdana" w:hAnsi="Verdana"/>
          <w:sz w:val="20"/>
        </w:rPr>
        <w:t>.</w:t>
      </w:r>
      <w:r w:rsidR="00720400" w:rsidRPr="00E17ED4">
        <w:rPr>
          <w:rFonts w:ascii="Verdana" w:hAnsi="Verdana"/>
          <w:sz w:val="20"/>
        </w:rPr>
        <w:t xml:space="preserve"> </w:t>
      </w:r>
    </w:p>
    <w:p w:rsidR="00720400" w:rsidRDefault="00720400" w:rsidP="00720400">
      <w:pPr>
        <w:pStyle w:val="Textoindependiente"/>
        <w:spacing w:before="120" w:after="120"/>
        <w:ind w:firstLine="357"/>
        <w:rPr>
          <w:rFonts w:ascii="Verdana" w:hAnsi="Verdana"/>
          <w:sz w:val="20"/>
        </w:rPr>
      </w:pPr>
      <w:r w:rsidRPr="00E17ED4">
        <w:rPr>
          <w:rFonts w:ascii="Verdana" w:hAnsi="Verdana"/>
          <w:sz w:val="20"/>
        </w:rPr>
        <w:t>La evolución en los últimos años de las duraciones de algunos de los tipos de asuntos más significativos de esta jurisdicción ha sido:</w:t>
      </w:r>
    </w:p>
    <w:p w:rsidR="00AA383A" w:rsidRPr="00CE214A" w:rsidRDefault="00AA383A" w:rsidP="00720400">
      <w:pPr>
        <w:pStyle w:val="Textoindependiente"/>
        <w:spacing w:before="120" w:after="120"/>
        <w:ind w:firstLine="357"/>
        <w:rPr>
          <w:rFonts w:ascii="Verdana" w:hAnsi="Verdana"/>
          <w:sz w:val="20"/>
        </w:rPr>
      </w:pPr>
    </w:p>
    <w:tbl>
      <w:tblPr>
        <w:tblW w:w="9100" w:type="dxa"/>
        <w:tblInd w:w="55" w:type="dxa"/>
        <w:tblCellMar>
          <w:left w:w="70" w:type="dxa"/>
          <w:right w:w="70" w:type="dxa"/>
        </w:tblCellMar>
        <w:tblLook w:val="04A0" w:firstRow="1" w:lastRow="0" w:firstColumn="1" w:lastColumn="0" w:noHBand="0" w:noVBand="1"/>
      </w:tblPr>
      <w:tblGrid>
        <w:gridCol w:w="3100"/>
        <w:gridCol w:w="1200"/>
        <w:gridCol w:w="1200"/>
        <w:gridCol w:w="1200"/>
        <w:gridCol w:w="1200"/>
        <w:gridCol w:w="1200"/>
      </w:tblGrid>
      <w:tr w:rsidR="00D1506C" w:rsidTr="00D1506C">
        <w:trPr>
          <w:trHeight w:val="315"/>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p>
        </w:tc>
        <w:tc>
          <w:tcPr>
            <w:tcW w:w="1200" w:type="dxa"/>
            <w:tcBorders>
              <w:top w:val="single" w:sz="8" w:space="0" w:color="0F243E"/>
              <w:left w:val="nil"/>
              <w:bottom w:val="single" w:sz="8" w:space="0" w:color="0F243E"/>
              <w:right w:val="nil"/>
            </w:tcBorders>
            <w:shd w:val="clear" w:color="auto" w:fill="auto"/>
            <w:vAlign w:val="center"/>
            <w:hideMark/>
          </w:tcPr>
          <w:p w:rsidR="00D1506C" w:rsidRDefault="00D1506C">
            <w:pPr>
              <w:jc w:val="right"/>
              <w:rPr>
                <w:rFonts w:ascii="Verdana" w:hAnsi="Verdana" w:cs="Calibri"/>
                <w:b/>
                <w:bCs/>
                <w:sz w:val="18"/>
                <w:szCs w:val="18"/>
              </w:rPr>
            </w:pPr>
            <w:r>
              <w:rPr>
                <w:rFonts w:ascii="Verdana" w:hAnsi="Verdana" w:cs="Calibri"/>
                <w:b/>
                <w:bCs/>
                <w:sz w:val="18"/>
                <w:szCs w:val="18"/>
              </w:rPr>
              <w:t>2017</w:t>
            </w:r>
          </w:p>
        </w:tc>
        <w:tc>
          <w:tcPr>
            <w:tcW w:w="1200" w:type="dxa"/>
            <w:tcBorders>
              <w:top w:val="single" w:sz="8" w:space="0" w:color="0F243E"/>
              <w:left w:val="nil"/>
              <w:bottom w:val="single" w:sz="8" w:space="0" w:color="0F243E"/>
              <w:right w:val="nil"/>
            </w:tcBorders>
            <w:shd w:val="clear" w:color="auto" w:fill="auto"/>
            <w:vAlign w:val="center"/>
            <w:hideMark/>
          </w:tcPr>
          <w:p w:rsidR="00D1506C" w:rsidRDefault="00D1506C">
            <w:pPr>
              <w:jc w:val="right"/>
              <w:rPr>
                <w:rFonts w:ascii="Verdana" w:hAnsi="Verdana" w:cs="Calibri"/>
                <w:b/>
                <w:bCs/>
                <w:sz w:val="18"/>
                <w:szCs w:val="18"/>
              </w:rPr>
            </w:pPr>
            <w:r>
              <w:rPr>
                <w:rFonts w:ascii="Verdana" w:hAnsi="Verdana" w:cs="Calibri"/>
                <w:b/>
                <w:bCs/>
                <w:sz w:val="18"/>
                <w:szCs w:val="18"/>
              </w:rPr>
              <w:t>2016</w:t>
            </w:r>
          </w:p>
        </w:tc>
        <w:tc>
          <w:tcPr>
            <w:tcW w:w="1200" w:type="dxa"/>
            <w:tcBorders>
              <w:top w:val="single" w:sz="8" w:space="0" w:color="0F243E"/>
              <w:left w:val="nil"/>
              <w:bottom w:val="single" w:sz="8" w:space="0" w:color="0F243E"/>
              <w:right w:val="nil"/>
            </w:tcBorders>
            <w:shd w:val="clear" w:color="auto" w:fill="auto"/>
            <w:vAlign w:val="center"/>
            <w:hideMark/>
          </w:tcPr>
          <w:p w:rsidR="00D1506C" w:rsidRDefault="00D1506C">
            <w:pPr>
              <w:jc w:val="right"/>
              <w:rPr>
                <w:rFonts w:ascii="Verdana" w:hAnsi="Verdana" w:cs="Calibri"/>
                <w:b/>
                <w:bCs/>
                <w:sz w:val="18"/>
                <w:szCs w:val="18"/>
              </w:rPr>
            </w:pPr>
            <w:r>
              <w:rPr>
                <w:rFonts w:ascii="Verdana" w:hAnsi="Verdana" w:cs="Calibri"/>
                <w:b/>
                <w:bCs/>
                <w:sz w:val="18"/>
                <w:szCs w:val="18"/>
              </w:rPr>
              <w:t>2015</w:t>
            </w:r>
          </w:p>
        </w:tc>
        <w:tc>
          <w:tcPr>
            <w:tcW w:w="1200" w:type="dxa"/>
            <w:tcBorders>
              <w:top w:val="single" w:sz="8" w:space="0" w:color="0F243E"/>
              <w:left w:val="nil"/>
              <w:bottom w:val="single" w:sz="8" w:space="0" w:color="0F243E"/>
              <w:right w:val="nil"/>
            </w:tcBorders>
            <w:shd w:val="clear" w:color="auto" w:fill="auto"/>
            <w:vAlign w:val="center"/>
            <w:hideMark/>
          </w:tcPr>
          <w:p w:rsidR="00D1506C" w:rsidRDefault="00D1506C">
            <w:pPr>
              <w:jc w:val="right"/>
              <w:rPr>
                <w:rFonts w:ascii="Verdana" w:hAnsi="Verdana" w:cs="Calibri"/>
                <w:b/>
                <w:bCs/>
                <w:sz w:val="18"/>
                <w:szCs w:val="18"/>
              </w:rPr>
            </w:pPr>
            <w:r>
              <w:rPr>
                <w:rFonts w:ascii="Verdana" w:hAnsi="Verdana" w:cs="Calibri"/>
                <w:b/>
                <w:bCs/>
                <w:sz w:val="18"/>
                <w:szCs w:val="18"/>
              </w:rPr>
              <w:t>2014</w:t>
            </w:r>
          </w:p>
        </w:tc>
        <w:tc>
          <w:tcPr>
            <w:tcW w:w="1200" w:type="dxa"/>
            <w:tcBorders>
              <w:top w:val="single" w:sz="8" w:space="0" w:color="0F243E"/>
              <w:left w:val="nil"/>
              <w:bottom w:val="single" w:sz="8" w:space="0" w:color="0F243E"/>
              <w:right w:val="nil"/>
            </w:tcBorders>
            <w:shd w:val="clear" w:color="auto" w:fill="auto"/>
            <w:vAlign w:val="center"/>
            <w:hideMark/>
          </w:tcPr>
          <w:p w:rsidR="00D1506C" w:rsidRDefault="00D1506C">
            <w:pPr>
              <w:jc w:val="right"/>
              <w:rPr>
                <w:rFonts w:ascii="Verdana" w:hAnsi="Verdana" w:cs="Calibri"/>
                <w:b/>
                <w:bCs/>
                <w:sz w:val="18"/>
                <w:szCs w:val="18"/>
              </w:rPr>
            </w:pPr>
            <w:r>
              <w:rPr>
                <w:rFonts w:ascii="Verdana" w:hAnsi="Verdana" w:cs="Calibri"/>
                <w:b/>
                <w:bCs/>
                <w:sz w:val="18"/>
                <w:szCs w:val="18"/>
              </w:rPr>
              <w:t>2013</w:t>
            </w:r>
          </w:p>
        </w:tc>
      </w:tr>
      <w:tr w:rsidR="00C54229" w:rsidTr="00D1506C">
        <w:trPr>
          <w:trHeight w:val="300"/>
        </w:trPr>
        <w:tc>
          <w:tcPr>
            <w:tcW w:w="3100" w:type="dxa"/>
            <w:tcBorders>
              <w:top w:val="single" w:sz="8" w:space="0" w:color="0F243E"/>
              <w:left w:val="nil"/>
              <w:bottom w:val="nil"/>
              <w:right w:val="nil"/>
            </w:tcBorders>
            <w:shd w:val="clear" w:color="auto" w:fill="auto"/>
            <w:vAlign w:val="center"/>
            <w:hideMark/>
          </w:tcPr>
          <w:p w:rsidR="00C54229" w:rsidRDefault="00C54229">
            <w:pPr>
              <w:rPr>
                <w:rFonts w:ascii="Verdana" w:hAnsi="Verdana" w:cs="Calibri"/>
                <w:sz w:val="20"/>
                <w:szCs w:val="20"/>
              </w:rPr>
            </w:pPr>
            <w:r>
              <w:rPr>
                <w:rFonts w:ascii="Verdana" w:hAnsi="Verdana" w:cs="Calibri"/>
                <w:sz w:val="20"/>
                <w:szCs w:val="20"/>
              </w:rPr>
              <w:t>Conflictos colectivos</w:t>
            </w:r>
          </w:p>
        </w:tc>
        <w:tc>
          <w:tcPr>
            <w:tcW w:w="1200" w:type="dxa"/>
            <w:tcBorders>
              <w:top w:val="nil"/>
              <w:left w:val="nil"/>
              <w:bottom w:val="nil"/>
              <w:right w:val="nil"/>
            </w:tcBorders>
            <w:shd w:val="clear" w:color="auto" w:fill="auto"/>
            <w:vAlign w:val="center"/>
            <w:hideMark/>
          </w:tcPr>
          <w:p w:rsidR="00C54229" w:rsidRDefault="00C54229">
            <w:pPr>
              <w:jc w:val="right"/>
              <w:rPr>
                <w:rFonts w:ascii="Verdana" w:hAnsi="Verdana" w:cs="Calibri"/>
                <w:color w:val="000000"/>
                <w:sz w:val="20"/>
                <w:szCs w:val="20"/>
              </w:rPr>
            </w:pPr>
            <w:r>
              <w:rPr>
                <w:rFonts w:ascii="Verdana" w:hAnsi="Verdana" w:cs="Calibri"/>
                <w:color w:val="000000"/>
                <w:sz w:val="20"/>
                <w:szCs w:val="20"/>
              </w:rPr>
              <w:t>8,5</w:t>
            </w:r>
          </w:p>
        </w:tc>
        <w:tc>
          <w:tcPr>
            <w:tcW w:w="1200" w:type="dxa"/>
            <w:tcBorders>
              <w:top w:val="nil"/>
              <w:left w:val="nil"/>
              <w:bottom w:val="nil"/>
              <w:right w:val="nil"/>
            </w:tcBorders>
            <w:shd w:val="clear" w:color="auto" w:fill="auto"/>
            <w:vAlign w:val="center"/>
            <w:hideMark/>
          </w:tcPr>
          <w:p w:rsidR="00C54229" w:rsidRDefault="00C54229">
            <w:pPr>
              <w:jc w:val="right"/>
              <w:rPr>
                <w:rFonts w:ascii="Verdana" w:hAnsi="Verdana" w:cs="Calibri"/>
                <w:color w:val="000000"/>
                <w:sz w:val="20"/>
                <w:szCs w:val="20"/>
              </w:rPr>
            </w:pPr>
            <w:r>
              <w:rPr>
                <w:rFonts w:ascii="Verdana" w:hAnsi="Verdana" w:cs="Calibri"/>
                <w:color w:val="000000"/>
                <w:sz w:val="20"/>
                <w:szCs w:val="20"/>
              </w:rPr>
              <w:t>10,6</w:t>
            </w:r>
          </w:p>
        </w:tc>
        <w:tc>
          <w:tcPr>
            <w:tcW w:w="1200" w:type="dxa"/>
            <w:tcBorders>
              <w:top w:val="nil"/>
              <w:left w:val="nil"/>
              <w:bottom w:val="nil"/>
              <w:right w:val="nil"/>
            </w:tcBorders>
            <w:shd w:val="clear" w:color="auto" w:fill="auto"/>
            <w:vAlign w:val="center"/>
            <w:hideMark/>
          </w:tcPr>
          <w:p w:rsidR="00C54229" w:rsidRDefault="00C54229">
            <w:pPr>
              <w:jc w:val="right"/>
              <w:rPr>
                <w:rFonts w:ascii="Verdana" w:hAnsi="Verdana" w:cs="Calibri"/>
                <w:color w:val="000000"/>
                <w:sz w:val="20"/>
                <w:szCs w:val="20"/>
              </w:rPr>
            </w:pPr>
            <w:r>
              <w:rPr>
                <w:rFonts w:ascii="Verdana" w:hAnsi="Verdana" w:cs="Calibri"/>
                <w:color w:val="000000"/>
                <w:sz w:val="20"/>
                <w:szCs w:val="20"/>
              </w:rPr>
              <w:t>12,2</w:t>
            </w:r>
          </w:p>
        </w:tc>
        <w:tc>
          <w:tcPr>
            <w:tcW w:w="1200" w:type="dxa"/>
            <w:tcBorders>
              <w:top w:val="nil"/>
              <w:left w:val="nil"/>
              <w:bottom w:val="nil"/>
              <w:right w:val="nil"/>
            </w:tcBorders>
            <w:shd w:val="clear" w:color="auto" w:fill="auto"/>
            <w:vAlign w:val="center"/>
            <w:hideMark/>
          </w:tcPr>
          <w:p w:rsidR="00C54229" w:rsidRDefault="00C54229">
            <w:pPr>
              <w:jc w:val="right"/>
              <w:rPr>
                <w:rFonts w:ascii="Verdana" w:hAnsi="Verdana" w:cs="Calibri"/>
                <w:color w:val="000000"/>
                <w:sz w:val="20"/>
                <w:szCs w:val="20"/>
              </w:rPr>
            </w:pPr>
            <w:r>
              <w:rPr>
                <w:rFonts w:ascii="Verdana" w:hAnsi="Verdana" w:cs="Calibri"/>
                <w:color w:val="000000"/>
                <w:sz w:val="20"/>
                <w:szCs w:val="20"/>
              </w:rPr>
              <w:t>10,3</w:t>
            </w:r>
          </w:p>
        </w:tc>
        <w:tc>
          <w:tcPr>
            <w:tcW w:w="1200" w:type="dxa"/>
            <w:tcBorders>
              <w:top w:val="nil"/>
              <w:left w:val="nil"/>
              <w:bottom w:val="nil"/>
              <w:right w:val="nil"/>
            </w:tcBorders>
            <w:shd w:val="clear" w:color="auto" w:fill="auto"/>
            <w:vAlign w:val="center"/>
            <w:hideMark/>
          </w:tcPr>
          <w:p w:rsidR="00C54229" w:rsidRDefault="00C54229">
            <w:pPr>
              <w:jc w:val="right"/>
              <w:rPr>
                <w:rFonts w:ascii="Verdana" w:hAnsi="Verdana" w:cs="Calibri"/>
                <w:color w:val="000000"/>
                <w:sz w:val="20"/>
                <w:szCs w:val="20"/>
              </w:rPr>
            </w:pPr>
            <w:r>
              <w:rPr>
                <w:rFonts w:ascii="Verdana" w:hAnsi="Verdana" w:cs="Calibri"/>
                <w:color w:val="000000"/>
                <w:sz w:val="20"/>
                <w:szCs w:val="20"/>
              </w:rPr>
              <w:t>6,7</w:t>
            </w:r>
          </w:p>
        </w:tc>
      </w:tr>
      <w:tr w:rsidR="00D1506C" w:rsidTr="00D1506C">
        <w:trPr>
          <w:trHeight w:val="300"/>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Despidos</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6,1</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6,5</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7,2</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7,6</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6,5</w:t>
            </w:r>
          </w:p>
        </w:tc>
      </w:tr>
      <w:tr w:rsidR="00D1506C" w:rsidTr="00D1506C">
        <w:trPr>
          <w:trHeight w:val="300"/>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Cantidades</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11,0</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11,7</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12,1</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12,5</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12,2</w:t>
            </w:r>
          </w:p>
        </w:tc>
      </w:tr>
      <w:tr w:rsidR="00D1506C" w:rsidTr="00D1506C">
        <w:trPr>
          <w:trHeight w:val="300"/>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Seguridad Social</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11,2</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12,4</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13,2</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12,6</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11,6</w:t>
            </w:r>
          </w:p>
        </w:tc>
      </w:tr>
      <w:tr w:rsidR="00D1506C" w:rsidTr="00D1506C">
        <w:trPr>
          <w:trHeight w:val="765"/>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Accidentes de trabajo, enfermedad. profesional, prevención riesgos laborales</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14,7</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14,1</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12,9</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11,6</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8,7</w:t>
            </w:r>
          </w:p>
        </w:tc>
      </w:tr>
      <w:tr w:rsidR="00D1506C" w:rsidTr="00D1506C">
        <w:trPr>
          <w:trHeight w:val="1020"/>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Procedimientos de impugnación actos admtvos., laboral y Seg. Social</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12,5</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12,9</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12,7</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11,4</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8,5</w:t>
            </w:r>
          </w:p>
        </w:tc>
      </w:tr>
      <w:tr w:rsidR="00D1506C" w:rsidTr="00D1506C">
        <w:trPr>
          <w:trHeight w:val="510"/>
        </w:trPr>
        <w:tc>
          <w:tcPr>
            <w:tcW w:w="3100" w:type="dxa"/>
            <w:tcBorders>
              <w:top w:val="nil"/>
              <w:left w:val="nil"/>
              <w:bottom w:val="nil"/>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Derechos fundamentales y libertades publicas</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7,7</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7,2</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7,3</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7,4</w:t>
            </w:r>
          </w:p>
        </w:tc>
        <w:tc>
          <w:tcPr>
            <w:tcW w:w="1200" w:type="dxa"/>
            <w:tcBorders>
              <w:top w:val="nil"/>
              <w:left w:val="nil"/>
              <w:bottom w:val="nil"/>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6,1</w:t>
            </w:r>
          </w:p>
        </w:tc>
      </w:tr>
      <w:tr w:rsidR="00D1506C" w:rsidTr="00D1506C">
        <w:trPr>
          <w:trHeight w:val="315"/>
        </w:trPr>
        <w:tc>
          <w:tcPr>
            <w:tcW w:w="3100" w:type="dxa"/>
            <w:tcBorders>
              <w:top w:val="nil"/>
              <w:left w:val="nil"/>
              <w:bottom w:val="single" w:sz="8" w:space="0" w:color="0F243E"/>
              <w:right w:val="nil"/>
            </w:tcBorders>
            <w:shd w:val="clear" w:color="auto" w:fill="auto"/>
            <w:vAlign w:val="center"/>
            <w:hideMark/>
          </w:tcPr>
          <w:p w:rsidR="00D1506C" w:rsidRDefault="00D1506C">
            <w:pPr>
              <w:rPr>
                <w:rFonts w:ascii="Verdana" w:hAnsi="Verdana" w:cs="Calibri"/>
                <w:sz w:val="20"/>
                <w:szCs w:val="20"/>
              </w:rPr>
            </w:pPr>
            <w:r>
              <w:rPr>
                <w:rFonts w:ascii="Verdana" w:hAnsi="Verdana" w:cs="Calibri"/>
                <w:sz w:val="20"/>
                <w:szCs w:val="20"/>
              </w:rPr>
              <w:t>Otra índole</w:t>
            </w:r>
          </w:p>
        </w:tc>
        <w:tc>
          <w:tcPr>
            <w:tcW w:w="1200" w:type="dxa"/>
            <w:tcBorders>
              <w:top w:val="nil"/>
              <w:left w:val="nil"/>
              <w:bottom w:val="single" w:sz="8" w:space="0" w:color="0F243E"/>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11,0</w:t>
            </w:r>
          </w:p>
        </w:tc>
        <w:tc>
          <w:tcPr>
            <w:tcW w:w="1200" w:type="dxa"/>
            <w:tcBorders>
              <w:top w:val="nil"/>
              <w:left w:val="nil"/>
              <w:bottom w:val="single" w:sz="8" w:space="0" w:color="0F243E"/>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9,8</w:t>
            </w:r>
          </w:p>
        </w:tc>
        <w:tc>
          <w:tcPr>
            <w:tcW w:w="1200" w:type="dxa"/>
            <w:tcBorders>
              <w:top w:val="nil"/>
              <w:left w:val="nil"/>
              <w:bottom w:val="single" w:sz="8" w:space="0" w:color="0F243E"/>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10,2</w:t>
            </w:r>
          </w:p>
        </w:tc>
        <w:tc>
          <w:tcPr>
            <w:tcW w:w="1200" w:type="dxa"/>
            <w:tcBorders>
              <w:top w:val="nil"/>
              <w:left w:val="nil"/>
              <w:bottom w:val="single" w:sz="8" w:space="0" w:color="0F243E"/>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10,8</w:t>
            </w:r>
          </w:p>
        </w:tc>
        <w:tc>
          <w:tcPr>
            <w:tcW w:w="1200" w:type="dxa"/>
            <w:tcBorders>
              <w:top w:val="nil"/>
              <w:left w:val="nil"/>
              <w:bottom w:val="single" w:sz="8" w:space="0" w:color="0F243E"/>
              <w:right w:val="nil"/>
            </w:tcBorders>
            <w:shd w:val="clear" w:color="auto" w:fill="auto"/>
            <w:vAlign w:val="center"/>
            <w:hideMark/>
          </w:tcPr>
          <w:p w:rsidR="00D1506C" w:rsidRDefault="00D1506C">
            <w:pPr>
              <w:jc w:val="right"/>
              <w:rPr>
                <w:rFonts w:ascii="Verdana" w:hAnsi="Verdana" w:cs="Calibri"/>
                <w:sz w:val="20"/>
                <w:szCs w:val="20"/>
              </w:rPr>
            </w:pPr>
            <w:r>
              <w:rPr>
                <w:rFonts w:ascii="Verdana" w:hAnsi="Verdana" w:cs="Calibri"/>
                <w:sz w:val="20"/>
                <w:szCs w:val="20"/>
              </w:rPr>
              <w:t>9,7</w:t>
            </w:r>
          </w:p>
        </w:tc>
      </w:tr>
    </w:tbl>
    <w:p w:rsidR="00720400" w:rsidRPr="00CE214A" w:rsidRDefault="00720400" w:rsidP="00720400">
      <w:pPr>
        <w:pStyle w:val="Textoindependiente"/>
        <w:spacing w:before="120" w:after="120"/>
        <w:ind w:firstLine="357"/>
        <w:rPr>
          <w:rFonts w:ascii="Verdana" w:hAnsi="Verdana"/>
          <w:sz w:val="20"/>
        </w:rPr>
      </w:pPr>
    </w:p>
    <w:p w:rsidR="00AD271F" w:rsidRPr="002B5FCA" w:rsidRDefault="00E56DA9" w:rsidP="00C54229">
      <w:pPr>
        <w:pStyle w:val="Textoindependiente"/>
        <w:spacing w:before="120" w:after="120"/>
        <w:ind w:firstLine="357"/>
        <w:rPr>
          <w:rFonts w:ascii="Verdana" w:hAnsi="Verdana"/>
          <w:sz w:val="20"/>
        </w:rPr>
      </w:pPr>
      <w:r w:rsidRPr="002B5FCA">
        <w:rPr>
          <w:rFonts w:ascii="Verdana" w:hAnsi="Verdana"/>
          <w:sz w:val="20"/>
        </w:rPr>
        <w:t xml:space="preserve">La duración media más alta para los conflictos colectivos se ha dado en </w:t>
      </w:r>
      <w:r w:rsidR="00C54229" w:rsidRPr="002B5FCA">
        <w:rPr>
          <w:rFonts w:ascii="Verdana" w:hAnsi="Verdana"/>
          <w:sz w:val="20"/>
        </w:rPr>
        <w:t>La Rioja, 13,4; Cataluña, 12,1;  Andalucía, 11; Illes Balears, 10,6; y Murcia, 10,1.</w:t>
      </w:r>
      <w:r w:rsidRPr="002B5FCA">
        <w:rPr>
          <w:rFonts w:ascii="Verdana" w:hAnsi="Verdana"/>
          <w:sz w:val="20"/>
        </w:rPr>
        <w:t xml:space="preserve"> </w:t>
      </w:r>
      <w:r w:rsidR="00962915" w:rsidRPr="002B5FCA">
        <w:rPr>
          <w:rFonts w:ascii="Verdana" w:hAnsi="Verdana"/>
          <w:sz w:val="20"/>
        </w:rPr>
        <w:t>P</w:t>
      </w:r>
      <w:r w:rsidR="00720400" w:rsidRPr="002B5FCA">
        <w:rPr>
          <w:rFonts w:ascii="Verdana" w:hAnsi="Verdana"/>
          <w:sz w:val="20"/>
        </w:rPr>
        <w:t xml:space="preserve">ara los despidos, </w:t>
      </w:r>
      <w:r w:rsidRPr="002B5FCA">
        <w:rPr>
          <w:rFonts w:ascii="Verdana" w:hAnsi="Verdana"/>
          <w:sz w:val="20"/>
        </w:rPr>
        <w:t xml:space="preserve">también Illes Balears, con </w:t>
      </w:r>
      <w:r w:rsidR="00504C28" w:rsidRPr="002B5FCA">
        <w:rPr>
          <w:rFonts w:ascii="Verdana" w:hAnsi="Verdana"/>
          <w:sz w:val="20"/>
        </w:rPr>
        <w:t>1</w:t>
      </w:r>
      <w:r w:rsidR="00F74173" w:rsidRPr="002B5FCA">
        <w:rPr>
          <w:rFonts w:ascii="Verdana" w:hAnsi="Verdana"/>
          <w:sz w:val="20"/>
        </w:rPr>
        <w:t>1</w:t>
      </w:r>
      <w:r w:rsidR="00504C28" w:rsidRPr="002B5FCA">
        <w:rPr>
          <w:rFonts w:ascii="Verdana" w:hAnsi="Verdana"/>
          <w:sz w:val="20"/>
        </w:rPr>
        <w:t>,</w:t>
      </w:r>
      <w:r w:rsidR="00F74173" w:rsidRPr="002B5FCA">
        <w:rPr>
          <w:rFonts w:ascii="Verdana" w:hAnsi="Verdana"/>
          <w:sz w:val="20"/>
        </w:rPr>
        <w:t>3</w:t>
      </w:r>
      <w:r w:rsidR="00504C28" w:rsidRPr="002B5FCA">
        <w:rPr>
          <w:rFonts w:ascii="Verdana" w:hAnsi="Verdana"/>
          <w:sz w:val="20"/>
        </w:rPr>
        <w:t xml:space="preserve"> meses</w:t>
      </w:r>
      <w:r w:rsidRPr="002B5FCA">
        <w:rPr>
          <w:rFonts w:ascii="Verdana" w:hAnsi="Verdana"/>
          <w:sz w:val="20"/>
        </w:rPr>
        <w:t xml:space="preserve">, ha presentado la mayor duración, seguida de  </w:t>
      </w:r>
      <w:r w:rsidR="00504C28" w:rsidRPr="002B5FCA">
        <w:rPr>
          <w:rFonts w:ascii="Verdana" w:hAnsi="Verdana"/>
          <w:sz w:val="20"/>
        </w:rPr>
        <w:t xml:space="preserve">Aragón, </w:t>
      </w:r>
      <w:r w:rsidR="00771250" w:rsidRPr="002B5FCA">
        <w:rPr>
          <w:rFonts w:ascii="Verdana" w:hAnsi="Verdana"/>
          <w:sz w:val="20"/>
        </w:rPr>
        <w:t>8</w:t>
      </w:r>
      <w:r w:rsidR="00F74173" w:rsidRPr="002B5FCA">
        <w:rPr>
          <w:rFonts w:ascii="Verdana" w:hAnsi="Verdana"/>
          <w:sz w:val="20"/>
        </w:rPr>
        <w:t>,1</w:t>
      </w:r>
      <w:r w:rsidR="00504C28" w:rsidRPr="002B5FCA">
        <w:rPr>
          <w:rFonts w:ascii="Verdana" w:hAnsi="Verdana"/>
          <w:sz w:val="20"/>
        </w:rPr>
        <w:t xml:space="preserve"> y </w:t>
      </w:r>
      <w:r w:rsidR="006718BA" w:rsidRPr="002B5FCA">
        <w:rPr>
          <w:rFonts w:ascii="Verdana" w:hAnsi="Verdana"/>
          <w:sz w:val="20"/>
        </w:rPr>
        <w:t>Andalucía</w:t>
      </w:r>
      <w:r w:rsidR="00AD271F" w:rsidRPr="002B5FCA">
        <w:rPr>
          <w:rFonts w:ascii="Verdana" w:hAnsi="Verdana"/>
          <w:sz w:val="20"/>
        </w:rPr>
        <w:t xml:space="preserve">, </w:t>
      </w:r>
      <w:r w:rsidR="00771250" w:rsidRPr="002B5FCA">
        <w:rPr>
          <w:rFonts w:ascii="Verdana" w:hAnsi="Verdana"/>
          <w:sz w:val="20"/>
        </w:rPr>
        <w:t>7</w:t>
      </w:r>
      <w:r w:rsidR="00AD271F" w:rsidRPr="002B5FCA">
        <w:rPr>
          <w:rFonts w:ascii="Verdana" w:hAnsi="Verdana"/>
          <w:sz w:val="20"/>
        </w:rPr>
        <w:t>,</w:t>
      </w:r>
      <w:r w:rsidR="00771250" w:rsidRPr="002B5FCA">
        <w:rPr>
          <w:rFonts w:ascii="Verdana" w:hAnsi="Verdana"/>
          <w:sz w:val="20"/>
        </w:rPr>
        <w:t>7</w:t>
      </w:r>
      <w:r w:rsidR="00504C28" w:rsidRPr="002B5FCA">
        <w:rPr>
          <w:rFonts w:ascii="Verdana" w:hAnsi="Verdana"/>
          <w:sz w:val="20"/>
        </w:rPr>
        <w:t xml:space="preserve"> meses. </w:t>
      </w:r>
      <w:r w:rsidRPr="002B5FCA">
        <w:rPr>
          <w:rFonts w:ascii="Verdana" w:hAnsi="Verdana"/>
          <w:sz w:val="20"/>
        </w:rPr>
        <w:t xml:space="preserve">  Las más bajas en </w:t>
      </w:r>
      <w:r w:rsidR="00F74173" w:rsidRPr="002B5FCA">
        <w:rPr>
          <w:rFonts w:ascii="Verdana" w:hAnsi="Verdana"/>
          <w:sz w:val="20"/>
        </w:rPr>
        <w:t xml:space="preserve">Cantabria, 3, y Asturias, 3,4. </w:t>
      </w:r>
      <w:r w:rsidRPr="002B5FCA">
        <w:rPr>
          <w:rFonts w:ascii="Verdana" w:hAnsi="Verdana"/>
          <w:sz w:val="20"/>
        </w:rPr>
        <w:t xml:space="preserve"> </w:t>
      </w:r>
      <w:r w:rsidR="003D6B0C" w:rsidRPr="002B5FCA">
        <w:rPr>
          <w:rFonts w:ascii="Verdana" w:hAnsi="Verdana"/>
          <w:sz w:val="20"/>
        </w:rPr>
        <w:t>Para l</w:t>
      </w:r>
      <w:r w:rsidR="009E6C91" w:rsidRPr="002B5FCA">
        <w:rPr>
          <w:rFonts w:ascii="Verdana" w:hAnsi="Verdana"/>
          <w:sz w:val="20"/>
        </w:rPr>
        <w:t>as reclamaciones de c</w:t>
      </w:r>
      <w:r w:rsidR="004A5E98" w:rsidRPr="002B5FCA">
        <w:rPr>
          <w:rFonts w:ascii="Verdana" w:hAnsi="Verdana"/>
          <w:sz w:val="20"/>
        </w:rPr>
        <w:t>a</w:t>
      </w:r>
      <w:r w:rsidRPr="002B5FCA">
        <w:rPr>
          <w:rFonts w:ascii="Verdana" w:hAnsi="Verdana"/>
          <w:sz w:val="20"/>
        </w:rPr>
        <w:t xml:space="preserve">ntidad, las mayores duraciones </w:t>
      </w:r>
      <w:r w:rsidR="004A5E98" w:rsidRPr="002B5FCA">
        <w:rPr>
          <w:rFonts w:ascii="Verdana" w:hAnsi="Verdana"/>
          <w:sz w:val="20"/>
        </w:rPr>
        <w:t xml:space="preserve"> </w:t>
      </w:r>
      <w:r w:rsidR="00962915" w:rsidRPr="002B5FCA">
        <w:rPr>
          <w:rFonts w:ascii="Verdana" w:hAnsi="Verdana"/>
          <w:sz w:val="20"/>
        </w:rPr>
        <w:t>se han dado en</w:t>
      </w:r>
      <w:r w:rsidRPr="002B5FCA">
        <w:rPr>
          <w:rFonts w:ascii="Verdana" w:hAnsi="Verdana"/>
          <w:sz w:val="20"/>
        </w:rPr>
        <w:t xml:space="preserve"> Illes Balears, </w:t>
      </w:r>
      <w:r w:rsidR="00F74173" w:rsidRPr="002B5FCA">
        <w:rPr>
          <w:rFonts w:ascii="Verdana" w:hAnsi="Verdana"/>
          <w:sz w:val="20"/>
        </w:rPr>
        <w:t>17</w:t>
      </w:r>
      <w:r w:rsidRPr="002B5FCA">
        <w:rPr>
          <w:rFonts w:ascii="Verdana" w:hAnsi="Verdana"/>
          <w:sz w:val="20"/>
        </w:rPr>
        <w:t>,</w:t>
      </w:r>
      <w:r w:rsidR="00F74173" w:rsidRPr="002B5FCA">
        <w:rPr>
          <w:rFonts w:ascii="Verdana" w:hAnsi="Verdana"/>
          <w:sz w:val="20"/>
        </w:rPr>
        <w:t>8</w:t>
      </w:r>
      <w:r w:rsidRPr="002B5FCA">
        <w:rPr>
          <w:rFonts w:ascii="Verdana" w:hAnsi="Verdana"/>
          <w:sz w:val="20"/>
        </w:rPr>
        <w:t xml:space="preserve">, Andalucía, </w:t>
      </w:r>
      <w:r w:rsidR="00AD271F" w:rsidRPr="002B5FCA">
        <w:rPr>
          <w:rFonts w:ascii="Verdana" w:hAnsi="Verdana"/>
          <w:sz w:val="20"/>
        </w:rPr>
        <w:t>16</w:t>
      </w:r>
      <w:r w:rsidR="007413D4" w:rsidRPr="002B5FCA">
        <w:rPr>
          <w:rFonts w:ascii="Verdana" w:hAnsi="Verdana"/>
          <w:sz w:val="20"/>
        </w:rPr>
        <w:t>,</w:t>
      </w:r>
      <w:r w:rsidR="00F74173" w:rsidRPr="002B5FCA">
        <w:rPr>
          <w:rFonts w:ascii="Verdana" w:hAnsi="Verdana"/>
          <w:sz w:val="20"/>
        </w:rPr>
        <w:t>1</w:t>
      </w:r>
      <w:r w:rsidR="00771250" w:rsidRPr="002B5FCA">
        <w:rPr>
          <w:rFonts w:ascii="Verdana" w:hAnsi="Verdana"/>
          <w:sz w:val="20"/>
        </w:rPr>
        <w:t>; Murcia, 1</w:t>
      </w:r>
      <w:r w:rsidR="00F74173" w:rsidRPr="002B5FCA">
        <w:rPr>
          <w:rFonts w:ascii="Verdana" w:hAnsi="Verdana"/>
          <w:sz w:val="20"/>
        </w:rPr>
        <w:t>5,2;</w:t>
      </w:r>
      <w:r w:rsidRPr="002B5FCA">
        <w:rPr>
          <w:rFonts w:ascii="Verdana" w:hAnsi="Verdana"/>
          <w:sz w:val="20"/>
        </w:rPr>
        <w:t xml:space="preserve"> y </w:t>
      </w:r>
      <w:r w:rsidR="00F74173" w:rsidRPr="002B5FCA">
        <w:rPr>
          <w:rFonts w:ascii="Verdana" w:hAnsi="Verdana"/>
          <w:sz w:val="20"/>
        </w:rPr>
        <w:t>Galicia, 13,8</w:t>
      </w:r>
      <w:r w:rsidRPr="002B5FCA">
        <w:rPr>
          <w:rFonts w:ascii="Verdana" w:hAnsi="Verdana"/>
          <w:sz w:val="20"/>
        </w:rPr>
        <w:t xml:space="preserve">. </w:t>
      </w:r>
      <w:r w:rsidR="004A5E98" w:rsidRPr="002B5FCA">
        <w:rPr>
          <w:rFonts w:ascii="Verdana" w:hAnsi="Verdana"/>
          <w:sz w:val="20"/>
        </w:rPr>
        <w:t xml:space="preserve">Las menores duraciones se dieron en </w:t>
      </w:r>
      <w:r w:rsidR="00F74173" w:rsidRPr="002B5FCA">
        <w:rPr>
          <w:rFonts w:ascii="Verdana" w:hAnsi="Verdana"/>
          <w:sz w:val="20"/>
        </w:rPr>
        <w:t xml:space="preserve">Extremadura, 5,8; y Castilla y León, Navarra y País Vasco, 6,7 meses. </w:t>
      </w:r>
      <w:r w:rsidR="00962915" w:rsidRPr="002B5FCA">
        <w:rPr>
          <w:rFonts w:ascii="Verdana" w:hAnsi="Verdana"/>
          <w:sz w:val="20"/>
        </w:rPr>
        <w:t>En Seguridad Social</w:t>
      </w:r>
      <w:r w:rsidR="00EE080C" w:rsidRPr="002B5FCA">
        <w:rPr>
          <w:rFonts w:ascii="Verdana" w:hAnsi="Verdana"/>
          <w:sz w:val="20"/>
        </w:rPr>
        <w:t>,</w:t>
      </w:r>
      <w:r w:rsidR="00F318D5" w:rsidRPr="002B5FCA">
        <w:rPr>
          <w:rFonts w:ascii="Verdana" w:hAnsi="Verdana"/>
          <w:sz w:val="20"/>
        </w:rPr>
        <w:t xml:space="preserve"> Illes Balears, 14,8; Andalucía, 14</w:t>
      </w:r>
      <w:r w:rsidR="00771250" w:rsidRPr="002B5FCA">
        <w:rPr>
          <w:rFonts w:ascii="Verdana" w:hAnsi="Verdana"/>
          <w:sz w:val="20"/>
        </w:rPr>
        <w:t>,</w:t>
      </w:r>
      <w:r w:rsidR="00F318D5" w:rsidRPr="002B5FCA">
        <w:rPr>
          <w:rFonts w:ascii="Verdana" w:hAnsi="Verdana"/>
          <w:sz w:val="20"/>
        </w:rPr>
        <w:t>4</w:t>
      </w:r>
      <w:r w:rsidR="007413D4" w:rsidRPr="002B5FCA">
        <w:rPr>
          <w:rFonts w:ascii="Verdana" w:hAnsi="Verdana"/>
          <w:sz w:val="20"/>
        </w:rPr>
        <w:t>;</w:t>
      </w:r>
      <w:r w:rsidR="00771250" w:rsidRPr="002B5FCA">
        <w:rPr>
          <w:rFonts w:ascii="Verdana" w:hAnsi="Verdana"/>
          <w:sz w:val="20"/>
        </w:rPr>
        <w:t xml:space="preserve"> C. Valenciana, 1</w:t>
      </w:r>
      <w:r w:rsidR="00F318D5" w:rsidRPr="002B5FCA">
        <w:rPr>
          <w:rFonts w:ascii="Verdana" w:hAnsi="Verdana"/>
          <w:sz w:val="20"/>
        </w:rPr>
        <w:t>3</w:t>
      </w:r>
      <w:r w:rsidR="00771250" w:rsidRPr="002B5FCA">
        <w:rPr>
          <w:rFonts w:ascii="Verdana" w:hAnsi="Verdana"/>
          <w:sz w:val="20"/>
        </w:rPr>
        <w:t>,</w:t>
      </w:r>
      <w:r w:rsidR="00F318D5" w:rsidRPr="002B5FCA">
        <w:rPr>
          <w:rFonts w:ascii="Verdana" w:hAnsi="Verdana"/>
          <w:sz w:val="20"/>
        </w:rPr>
        <w:t>9</w:t>
      </w:r>
      <w:r w:rsidR="00771250" w:rsidRPr="002B5FCA">
        <w:rPr>
          <w:rFonts w:ascii="Verdana" w:hAnsi="Verdana"/>
          <w:sz w:val="20"/>
        </w:rPr>
        <w:t xml:space="preserve">; </w:t>
      </w:r>
      <w:r w:rsidR="00F318D5" w:rsidRPr="002B5FCA">
        <w:rPr>
          <w:rFonts w:ascii="Verdana" w:hAnsi="Verdana"/>
          <w:sz w:val="20"/>
        </w:rPr>
        <w:t>Cataluña, 12,9</w:t>
      </w:r>
      <w:r w:rsidR="00EE080C" w:rsidRPr="002B5FCA">
        <w:rPr>
          <w:rFonts w:ascii="Verdana" w:hAnsi="Verdana"/>
          <w:sz w:val="20"/>
        </w:rPr>
        <w:t xml:space="preserve"> </w:t>
      </w:r>
      <w:r w:rsidR="00962915" w:rsidRPr="002B5FCA">
        <w:rPr>
          <w:rFonts w:ascii="Verdana" w:hAnsi="Verdana"/>
          <w:sz w:val="20"/>
        </w:rPr>
        <w:t>presentan las mayores duraciones</w:t>
      </w:r>
      <w:r w:rsidR="00C053B2" w:rsidRPr="002B5FCA">
        <w:rPr>
          <w:rFonts w:ascii="Verdana" w:hAnsi="Verdana"/>
          <w:sz w:val="20"/>
        </w:rPr>
        <w:t xml:space="preserve">. </w:t>
      </w:r>
      <w:r w:rsidR="00075261" w:rsidRPr="002B5FCA">
        <w:rPr>
          <w:rFonts w:ascii="Verdana" w:hAnsi="Verdana"/>
          <w:sz w:val="20"/>
        </w:rPr>
        <w:t>Las menores duraciones medias se han dado en</w:t>
      </w:r>
      <w:r w:rsidR="007413D4" w:rsidRPr="002B5FCA">
        <w:rPr>
          <w:rFonts w:ascii="Verdana" w:hAnsi="Verdana"/>
          <w:sz w:val="20"/>
        </w:rPr>
        <w:t xml:space="preserve"> </w:t>
      </w:r>
      <w:r w:rsidR="009C3A9E" w:rsidRPr="002B5FCA">
        <w:rPr>
          <w:rFonts w:ascii="Verdana" w:hAnsi="Verdana"/>
          <w:sz w:val="20"/>
        </w:rPr>
        <w:t>Cantabria</w:t>
      </w:r>
      <w:r w:rsidR="00771250" w:rsidRPr="002B5FCA">
        <w:rPr>
          <w:rFonts w:ascii="Verdana" w:hAnsi="Verdana"/>
          <w:sz w:val="20"/>
        </w:rPr>
        <w:t>, 6</w:t>
      </w:r>
      <w:r w:rsidR="007413D4" w:rsidRPr="002B5FCA">
        <w:rPr>
          <w:rFonts w:ascii="Verdana" w:hAnsi="Verdana"/>
          <w:sz w:val="20"/>
        </w:rPr>
        <w:t>,</w:t>
      </w:r>
      <w:r w:rsidR="00F318D5" w:rsidRPr="002B5FCA">
        <w:rPr>
          <w:rFonts w:ascii="Verdana" w:hAnsi="Verdana"/>
          <w:sz w:val="20"/>
        </w:rPr>
        <w:t>2; y Asturias y País Vasco, 6,3</w:t>
      </w:r>
      <w:r w:rsidR="00075261" w:rsidRPr="002B5FCA">
        <w:rPr>
          <w:rFonts w:ascii="Verdana" w:hAnsi="Verdana"/>
          <w:sz w:val="20"/>
        </w:rPr>
        <w:t xml:space="preserve"> meses.</w:t>
      </w:r>
    </w:p>
    <w:p w:rsidR="00D528D7" w:rsidRPr="002B5FCA" w:rsidRDefault="00ED1747" w:rsidP="00DE54E6">
      <w:pPr>
        <w:pStyle w:val="Textoindependiente"/>
        <w:spacing w:before="120" w:after="120"/>
        <w:ind w:firstLine="357"/>
        <w:rPr>
          <w:rFonts w:ascii="Verdana" w:hAnsi="Verdana"/>
          <w:sz w:val="20"/>
        </w:rPr>
      </w:pPr>
      <w:r w:rsidRPr="002B5FCA">
        <w:rPr>
          <w:rFonts w:ascii="Verdana" w:hAnsi="Verdana"/>
          <w:sz w:val="20"/>
        </w:rPr>
        <w:t>La duración media en las salas de lo social de los tribunales superiores de justicia ha sido de 4,</w:t>
      </w:r>
      <w:r w:rsidR="00CD2528" w:rsidRPr="002B5FCA">
        <w:rPr>
          <w:rFonts w:ascii="Verdana" w:hAnsi="Verdana"/>
          <w:sz w:val="20"/>
        </w:rPr>
        <w:t>6</w:t>
      </w:r>
      <w:r w:rsidRPr="002B5FCA">
        <w:rPr>
          <w:rFonts w:ascii="Verdana" w:hAnsi="Verdana"/>
          <w:sz w:val="20"/>
        </w:rPr>
        <w:t xml:space="preserve"> meses, dándose las mayores en </w:t>
      </w:r>
      <w:r w:rsidR="00CD2528" w:rsidRPr="002B5FCA">
        <w:rPr>
          <w:rFonts w:ascii="Verdana" w:hAnsi="Verdana"/>
          <w:sz w:val="20"/>
        </w:rPr>
        <w:t xml:space="preserve">Castilla la Mancha, 9,9; C. Valenciana, 8,9; Murcia, 7,9; </w:t>
      </w:r>
      <w:r w:rsidR="003E637B" w:rsidRPr="002B5FCA">
        <w:rPr>
          <w:rFonts w:ascii="Verdana" w:hAnsi="Verdana"/>
          <w:sz w:val="20"/>
        </w:rPr>
        <w:t>Ca</w:t>
      </w:r>
      <w:r w:rsidR="00CD2528" w:rsidRPr="002B5FCA">
        <w:rPr>
          <w:rFonts w:ascii="Verdana" w:hAnsi="Verdana"/>
          <w:sz w:val="20"/>
        </w:rPr>
        <w:t xml:space="preserve">narias, 6,7 meses. </w:t>
      </w:r>
      <w:r w:rsidR="00B10C33" w:rsidRPr="002B5FCA">
        <w:rPr>
          <w:rFonts w:ascii="Verdana" w:hAnsi="Verdana"/>
          <w:sz w:val="20"/>
        </w:rPr>
        <w:t>L</w:t>
      </w:r>
      <w:r w:rsidR="00A86D54" w:rsidRPr="002B5FCA">
        <w:rPr>
          <w:rFonts w:ascii="Verdana" w:hAnsi="Verdana"/>
          <w:sz w:val="20"/>
        </w:rPr>
        <w:t>as suplicaciones pro</w:t>
      </w:r>
      <w:r w:rsidR="009E6C91" w:rsidRPr="002B5FCA">
        <w:rPr>
          <w:rFonts w:ascii="Verdana" w:hAnsi="Verdana"/>
          <w:sz w:val="20"/>
        </w:rPr>
        <w:t>cedentes de los juzgados de lo m</w:t>
      </w:r>
      <w:r w:rsidR="00A86D54" w:rsidRPr="002B5FCA">
        <w:rPr>
          <w:rFonts w:ascii="Verdana" w:hAnsi="Verdana"/>
          <w:sz w:val="20"/>
        </w:rPr>
        <w:t xml:space="preserve">ercantil </w:t>
      </w:r>
      <w:r w:rsidR="003F6C85" w:rsidRPr="002B5FCA">
        <w:rPr>
          <w:rFonts w:ascii="Verdana" w:hAnsi="Verdana"/>
          <w:sz w:val="20"/>
        </w:rPr>
        <w:t>tuvieron una dura</w:t>
      </w:r>
      <w:r w:rsidR="00A86D54" w:rsidRPr="002B5FCA">
        <w:rPr>
          <w:rFonts w:ascii="Verdana" w:hAnsi="Verdana"/>
          <w:sz w:val="20"/>
        </w:rPr>
        <w:t xml:space="preserve">ción media de </w:t>
      </w:r>
      <w:r w:rsidR="00A86430" w:rsidRPr="002B5FCA">
        <w:rPr>
          <w:rFonts w:ascii="Verdana" w:hAnsi="Verdana"/>
          <w:sz w:val="20"/>
        </w:rPr>
        <w:t>5,</w:t>
      </w:r>
      <w:r w:rsidR="00AA7CBD" w:rsidRPr="002B5FCA">
        <w:rPr>
          <w:rFonts w:ascii="Verdana" w:hAnsi="Verdana"/>
          <w:sz w:val="20"/>
        </w:rPr>
        <w:t>2</w:t>
      </w:r>
      <w:r w:rsidR="00A86D54" w:rsidRPr="002B5FCA">
        <w:rPr>
          <w:rFonts w:ascii="Verdana" w:hAnsi="Verdana"/>
          <w:sz w:val="20"/>
        </w:rPr>
        <w:t xml:space="preserve"> meses</w:t>
      </w:r>
      <w:r w:rsidR="001F0943" w:rsidRPr="002B5FCA">
        <w:rPr>
          <w:rFonts w:ascii="Verdana" w:hAnsi="Verdana"/>
          <w:sz w:val="20"/>
        </w:rPr>
        <w:t xml:space="preserve">, y las procedentes de los juzgados de lo </w:t>
      </w:r>
      <w:r w:rsidR="00ED631A" w:rsidRPr="002B5FCA">
        <w:rPr>
          <w:rFonts w:ascii="Verdana" w:hAnsi="Verdana"/>
          <w:sz w:val="20"/>
        </w:rPr>
        <w:t>social</w:t>
      </w:r>
      <w:r w:rsidR="001F0943" w:rsidRPr="002B5FCA">
        <w:rPr>
          <w:rFonts w:ascii="Verdana" w:hAnsi="Verdana"/>
          <w:sz w:val="20"/>
        </w:rPr>
        <w:t>, de 4,</w:t>
      </w:r>
      <w:r w:rsidR="00A86430" w:rsidRPr="002B5FCA">
        <w:rPr>
          <w:rFonts w:ascii="Verdana" w:hAnsi="Verdana"/>
          <w:sz w:val="20"/>
        </w:rPr>
        <w:t>6</w:t>
      </w:r>
      <w:r w:rsidR="001F0943" w:rsidRPr="002B5FCA">
        <w:rPr>
          <w:rFonts w:ascii="Verdana" w:hAnsi="Verdana"/>
          <w:sz w:val="20"/>
        </w:rPr>
        <w:t xml:space="preserve"> meses.</w:t>
      </w:r>
    </w:p>
    <w:p w:rsidR="00D50461" w:rsidRPr="002B5FCA" w:rsidRDefault="00D50461" w:rsidP="00720400">
      <w:pPr>
        <w:pStyle w:val="Textoindependiente"/>
        <w:spacing w:before="120" w:after="120"/>
        <w:ind w:firstLine="357"/>
        <w:rPr>
          <w:rFonts w:ascii="Verdana" w:hAnsi="Verdana"/>
          <w:sz w:val="20"/>
        </w:rPr>
      </w:pPr>
      <w:r w:rsidRPr="002B5FCA">
        <w:rPr>
          <w:rFonts w:ascii="Verdana" w:hAnsi="Verdana"/>
          <w:sz w:val="20"/>
        </w:rPr>
        <w:t xml:space="preserve">El resumen de la evolución de las duraciones medias en las </w:t>
      </w:r>
      <w:r w:rsidR="009E6C91" w:rsidRPr="002B5FCA">
        <w:rPr>
          <w:rFonts w:ascii="Verdana" w:hAnsi="Verdana"/>
          <w:sz w:val="20"/>
        </w:rPr>
        <w:t>s</w:t>
      </w:r>
      <w:r w:rsidRPr="002B5FCA">
        <w:rPr>
          <w:rFonts w:ascii="Verdana" w:hAnsi="Verdana"/>
          <w:sz w:val="20"/>
        </w:rPr>
        <w:t xml:space="preserve">alas </w:t>
      </w:r>
      <w:r w:rsidR="009E6C91" w:rsidRPr="002B5FCA">
        <w:rPr>
          <w:rFonts w:ascii="Verdana" w:hAnsi="Verdana"/>
          <w:sz w:val="20"/>
        </w:rPr>
        <w:t xml:space="preserve">sociales de los tribunales superiores de justicia, </w:t>
      </w:r>
      <w:r w:rsidRPr="002B5FCA">
        <w:rPr>
          <w:rFonts w:ascii="Verdana" w:hAnsi="Verdana"/>
          <w:sz w:val="20"/>
        </w:rPr>
        <w:t>de la Audiencia Nacional y del Tribunal Supremo es:</w:t>
      </w:r>
    </w:p>
    <w:p w:rsidR="00FD7885" w:rsidRPr="002B5FCA" w:rsidRDefault="00FD7885" w:rsidP="00720400">
      <w:pPr>
        <w:pStyle w:val="Textoindependiente"/>
        <w:spacing w:before="120" w:after="120"/>
        <w:ind w:firstLine="357"/>
        <w:rPr>
          <w:rFonts w:ascii="Verdana" w:hAnsi="Verdana"/>
          <w:sz w:val="20"/>
        </w:rPr>
      </w:pPr>
    </w:p>
    <w:tbl>
      <w:tblPr>
        <w:tblW w:w="9100" w:type="dxa"/>
        <w:tblInd w:w="55" w:type="dxa"/>
        <w:tblCellMar>
          <w:left w:w="70" w:type="dxa"/>
          <w:right w:w="70" w:type="dxa"/>
        </w:tblCellMar>
        <w:tblLook w:val="04A0" w:firstRow="1" w:lastRow="0" w:firstColumn="1" w:lastColumn="0" w:noHBand="0" w:noVBand="1"/>
      </w:tblPr>
      <w:tblGrid>
        <w:gridCol w:w="3100"/>
        <w:gridCol w:w="1200"/>
        <w:gridCol w:w="1200"/>
        <w:gridCol w:w="1200"/>
        <w:gridCol w:w="1200"/>
        <w:gridCol w:w="1200"/>
      </w:tblGrid>
      <w:tr w:rsidR="00D1506C" w:rsidRPr="002B5FCA" w:rsidTr="00D1506C">
        <w:trPr>
          <w:trHeight w:val="315"/>
        </w:trPr>
        <w:tc>
          <w:tcPr>
            <w:tcW w:w="3100" w:type="dxa"/>
            <w:tcBorders>
              <w:top w:val="single" w:sz="8" w:space="0" w:color="auto"/>
              <w:left w:val="nil"/>
              <w:bottom w:val="single" w:sz="8" w:space="0" w:color="auto"/>
              <w:right w:val="nil"/>
            </w:tcBorders>
            <w:shd w:val="clear" w:color="auto" w:fill="auto"/>
            <w:noWrap/>
            <w:vAlign w:val="center"/>
            <w:hideMark/>
          </w:tcPr>
          <w:p w:rsidR="00D1506C" w:rsidRPr="002B5FCA" w:rsidRDefault="00D1506C">
            <w:pPr>
              <w:rPr>
                <w:rFonts w:ascii="Verdana" w:hAnsi="Verdana" w:cs="Calibri"/>
                <w:color w:val="000000"/>
                <w:sz w:val="20"/>
                <w:szCs w:val="20"/>
              </w:rPr>
            </w:pPr>
            <w:r w:rsidRPr="002B5FCA">
              <w:rPr>
                <w:rFonts w:ascii="Verdana" w:hAnsi="Verdana" w:cs="Arial"/>
                <w:color w:val="000000"/>
                <w:sz w:val="20"/>
                <w:szCs w:val="20"/>
              </w:rPr>
              <w:t> </w:t>
            </w:r>
          </w:p>
        </w:tc>
        <w:tc>
          <w:tcPr>
            <w:tcW w:w="1200" w:type="dxa"/>
            <w:tcBorders>
              <w:top w:val="single" w:sz="8" w:space="0" w:color="auto"/>
              <w:left w:val="nil"/>
              <w:bottom w:val="single" w:sz="8" w:space="0" w:color="auto"/>
              <w:right w:val="nil"/>
            </w:tcBorders>
            <w:shd w:val="clear" w:color="auto" w:fill="auto"/>
            <w:vAlign w:val="center"/>
            <w:hideMark/>
          </w:tcPr>
          <w:p w:rsidR="00D1506C" w:rsidRPr="002B5FCA" w:rsidRDefault="00D1506C">
            <w:pPr>
              <w:jc w:val="center"/>
              <w:rPr>
                <w:rFonts w:ascii="Verdana" w:hAnsi="Verdana" w:cs="Calibri"/>
                <w:b/>
                <w:bCs/>
                <w:color w:val="000080"/>
                <w:sz w:val="20"/>
                <w:szCs w:val="20"/>
              </w:rPr>
            </w:pPr>
            <w:r w:rsidRPr="002B5FCA">
              <w:rPr>
                <w:rFonts w:ascii="Verdana" w:hAnsi="Verdana" w:cs="Calibri"/>
                <w:b/>
                <w:bCs/>
                <w:color w:val="000080"/>
                <w:sz w:val="20"/>
                <w:szCs w:val="20"/>
              </w:rPr>
              <w:t>2017</w:t>
            </w:r>
          </w:p>
        </w:tc>
        <w:tc>
          <w:tcPr>
            <w:tcW w:w="1200" w:type="dxa"/>
            <w:tcBorders>
              <w:top w:val="single" w:sz="8" w:space="0" w:color="auto"/>
              <w:left w:val="nil"/>
              <w:bottom w:val="single" w:sz="8" w:space="0" w:color="auto"/>
              <w:right w:val="nil"/>
            </w:tcBorders>
            <w:shd w:val="clear" w:color="auto" w:fill="auto"/>
            <w:vAlign w:val="center"/>
            <w:hideMark/>
          </w:tcPr>
          <w:p w:rsidR="00D1506C" w:rsidRPr="002B5FCA" w:rsidRDefault="00D1506C">
            <w:pPr>
              <w:jc w:val="center"/>
              <w:rPr>
                <w:rFonts w:ascii="Verdana" w:hAnsi="Verdana" w:cs="Calibri"/>
                <w:b/>
                <w:bCs/>
                <w:color w:val="000080"/>
                <w:sz w:val="20"/>
                <w:szCs w:val="20"/>
              </w:rPr>
            </w:pPr>
            <w:r w:rsidRPr="002B5FCA">
              <w:rPr>
                <w:rFonts w:ascii="Verdana" w:hAnsi="Verdana" w:cs="Calibri"/>
                <w:b/>
                <w:bCs/>
                <w:color w:val="000080"/>
                <w:sz w:val="20"/>
                <w:szCs w:val="20"/>
              </w:rPr>
              <w:t>2016</w:t>
            </w:r>
          </w:p>
        </w:tc>
        <w:tc>
          <w:tcPr>
            <w:tcW w:w="1200" w:type="dxa"/>
            <w:tcBorders>
              <w:top w:val="single" w:sz="8" w:space="0" w:color="auto"/>
              <w:left w:val="nil"/>
              <w:bottom w:val="single" w:sz="8" w:space="0" w:color="auto"/>
              <w:right w:val="nil"/>
            </w:tcBorders>
            <w:shd w:val="clear" w:color="auto" w:fill="auto"/>
            <w:vAlign w:val="center"/>
            <w:hideMark/>
          </w:tcPr>
          <w:p w:rsidR="00D1506C" w:rsidRPr="002B5FCA" w:rsidRDefault="00D1506C">
            <w:pPr>
              <w:jc w:val="center"/>
              <w:rPr>
                <w:rFonts w:ascii="Verdana" w:hAnsi="Verdana" w:cs="Calibri"/>
                <w:b/>
                <w:bCs/>
                <w:color w:val="000080"/>
                <w:sz w:val="20"/>
                <w:szCs w:val="20"/>
              </w:rPr>
            </w:pPr>
            <w:r w:rsidRPr="002B5FCA">
              <w:rPr>
                <w:rFonts w:ascii="Verdana" w:hAnsi="Verdana" w:cs="Calibri"/>
                <w:b/>
                <w:bCs/>
                <w:color w:val="000080"/>
                <w:sz w:val="20"/>
                <w:szCs w:val="20"/>
              </w:rPr>
              <w:t>2015</w:t>
            </w:r>
          </w:p>
        </w:tc>
        <w:tc>
          <w:tcPr>
            <w:tcW w:w="1200" w:type="dxa"/>
            <w:tcBorders>
              <w:top w:val="single" w:sz="8" w:space="0" w:color="auto"/>
              <w:left w:val="nil"/>
              <w:bottom w:val="single" w:sz="8" w:space="0" w:color="auto"/>
              <w:right w:val="nil"/>
            </w:tcBorders>
            <w:shd w:val="clear" w:color="auto" w:fill="auto"/>
            <w:vAlign w:val="center"/>
            <w:hideMark/>
          </w:tcPr>
          <w:p w:rsidR="00D1506C" w:rsidRPr="002B5FCA" w:rsidRDefault="00D1506C">
            <w:pPr>
              <w:jc w:val="center"/>
              <w:rPr>
                <w:rFonts w:ascii="Verdana" w:hAnsi="Verdana" w:cs="Calibri"/>
                <w:b/>
                <w:bCs/>
                <w:color w:val="000080"/>
                <w:sz w:val="20"/>
                <w:szCs w:val="20"/>
              </w:rPr>
            </w:pPr>
            <w:r w:rsidRPr="002B5FCA">
              <w:rPr>
                <w:rFonts w:ascii="Verdana" w:hAnsi="Verdana" w:cs="Calibri"/>
                <w:b/>
                <w:bCs/>
                <w:color w:val="000080"/>
                <w:sz w:val="20"/>
                <w:szCs w:val="20"/>
              </w:rPr>
              <w:t>2014</w:t>
            </w:r>
          </w:p>
        </w:tc>
        <w:tc>
          <w:tcPr>
            <w:tcW w:w="1200" w:type="dxa"/>
            <w:tcBorders>
              <w:top w:val="single" w:sz="8" w:space="0" w:color="auto"/>
              <w:left w:val="nil"/>
              <w:bottom w:val="single" w:sz="8" w:space="0" w:color="auto"/>
              <w:right w:val="nil"/>
            </w:tcBorders>
            <w:shd w:val="clear" w:color="auto" w:fill="auto"/>
            <w:vAlign w:val="center"/>
            <w:hideMark/>
          </w:tcPr>
          <w:p w:rsidR="00D1506C" w:rsidRPr="002B5FCA" w:rsidRDefault="00D1506C">
            <w:pPr>
              <w:jc w:val="center"/>
              <w:rPr>
                <w:rFonts w:ascii="Verdana" w:hAnsi="Verdana" w:cs="Calibri"/>
                <w:b/>
                <w:bCs/>
                <w:color w:val="000080"/>
                <w:sz w:val="20"/>
                <w:szCs w:val="20"/>
              </w:rPr>
            </w:pPr>
            <w:r w:rsidRPr="002B5FCA">
              <w:rPr>
                <w:rFonts w:ascii="Verdana" w:hAnsi="Verdana" w:cs="Calibri"/>
                <w:b/>
                <w:bCs/>
                <w:color w:val="000080"/>
                <w:sz w:val="20"/>
                <w:szCs w:val="20"/>
              </w:rPr>
              <w:t>2013</w:t>
            </w:r>
          </w:p>
        </w:tc>
      </w:tr>
      <w:tr w:rsidR="00D1506C" w:rsidRPr="002B5FCA" w:rsidTr="00D1506C">
        <w:trPr>
          <w:trHeight w:val="300"/>
        </w:trPr>
        <w:tc>
          <w:tcPr>
            <w:tcW w:w="3100" w:type="dxa"/>
            <w:tcBorders>
              <w:top w:val="nil"/>
              <w:left w:val="nil"/>
              <w:bottom w:val="nil"/>
              <w:right w:val="nil"/>
            </w:tcBorders>
            <w:shd w:val="clear" w:color="auto" w:fill="auto"/>
            <w:vAlign w:val="center"/>
            <w:hideMark/>
          </w:tcPr>
          <w:p w:rsidR="00D1506C" w:rsidRPr="002B5FCA" w:rsidRDefault="00D1506C">
            <w:pPr>
              <w:jc w:val="both"/>
              <w:rPr>
                <w:rFonts w:ascii="Verdana" w:hAnsi="Verdana" w:cs="Calibri"/>
                <w:color w:val="000000"/>
                <w:sz w:val="20"/>
                <w:szCs w:val="20"/>
              </w:rPr>
            </w:pPr>
            <w:r w:rsidRPr="002B5FCA">
              <w:rPr>
                <w:rFonts w:ascii="Verdana" w:hAnsi="Verdana" w:cs="Arial"/>
                <w:color w:val="000000"/>
                <w:sz w:val="20"/>
                <w:szCs w:val="20"/>
              </w:rPr>
              <w:t>T.S.J. Sala Social</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4,6</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4,5</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4,9</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5,6</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6,8</w:t>
            </w:r>
          </w:p>
        </w:tc>
      </w:tr>
      <w:tr w:rsidR="00D1506C" w:rsidRPr="002B5FCA" w:rsidTr="00D1506C">
        <w:trPr>
          <w:trHeight w:val="300"/>
        </w:trPr>
        <w:tc>
          <w:tcPr>
            <w:tcW w:w="3100" w:type="dxa"/>
            <w:tcBorders>
              <w:top w:val="nil"/>
              <w:left w:val="nil"/>
              <w:bottom w:val="nil"/>
              <w:right w:val="nil"/>
            </w:tcBorders>
            <w:shd w:val="clear" w:color="auto" w:fill="auto"/>
            <w:vAlign w:val="center"/>
            <w:hideMark/>
          </w:tcPr>
          <w:p w:rsidR="00D1506C" w:rsidRPr="002B5FCA" w:rsidRDefault="00D1506C">
            <w:pPr>
              <w:jc w:val="both"/>
              <w:rPr>
                <w:rFonts w:ascii="Verdana" w:hAnsi="Verdana" w:cs="Calibri"/>
                <w:color w:val="000000"/>
                <w:sz w:val="20"/>
                <w:szCs w:val="20"/>
              </w:rPr>
            </w:pPr>
            <w:r w:rsidRPr="002B5FCA">
              <w:rPr>
                <w:rFonts w:ascii="Verdana" w:hAnsi="Verdana" w:cs="Arial"/>
                <w:color w:val="000000"/>
                <w:sz w:val="20"/>
                <w:szCs w:val="20"/>
              </w:rPr>
              <w:t>A. Nacional. Sala Social</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2,7</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3,1</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4,1</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4,8</w:t>
            </w:r>
          </w:p>
        </w:tc>
        <w:tc>
          <w:tcPr>
            <w:tcW w:w="1200" w:type="dxa"/>
            <w:tcBorders>
              <w:top w:val="nil"/>
              <w:left w:val="nil"/>
              <w:bottom w:val="nil"/>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3,2</w:t>
            </w:r>
          </w:p>
        </w:tc>
      </w:tr>
      <w:tr w:rsidR="00D1506C" w:rsidRPr="002B5FCA" w:rsidTr="00D1506C">
        <w:trPr>
          <w:trHeight w:val="315"/>
        </w:trPr>
        <w:tc>
          <w:tcPr>
            <w:tcW w:w="3100" w:type="dxa"/>
            <w:tcBorders>
              <w:top w:val="nil"/>
              <w:left w:val="nil"/>
              <w:bottom w:val="single" w:sz="8" w:space="0" w:color="auto"/>
              <w:right w:val="nil"/>
            </w:tcBorders>
            <w:shd w:val="clear" w:color="auto" w:fill="auto"/>
            <w:vAlign w:val="center"/>
            <w:hideMark/>
          </w:tcPr>
          <w:p w:rsidR="00D1506C" w:rsidRPr="002B5FCA" w:rsidRDefault="00D1506C">
            <w:pPr>
              <w:jc w:val="both"/>
              <w:rPr>
                <w:rFonts w:ascii="Verdana" w:hAnsi="Verdana" w:cs="Calibri"/>
                <w:color w:val="000000"/>
                <w:sz w:val="20"/>
                <w:szCs w:val="20"/>
              </w:rPr>
            </w:pPr>
            <w:r w:rsidRPr="002B5FCA">
              <w:rPr>
                <w:rFonts w:ascii="Verdana" w:hAnsi="Verdana" w:cs="Arial"/>
                <w:color w:val="000000"/>
                <w:sz w:val="20"/>
                <w:szCs w:val="20"/>
              </w:rPr>
              <w:t>Tribunal Supremo Sala 4ª</w:t>
            </w:r>
          </w:p>
        </w:tc>
        <w:tc>
          <w:tcPr>
            <w:tcW w:w="1200" w:type="dxa"/>
            <w:tcBorders>
              <w:top w:val="nil"/>
              <w:left w:val="nil"/>
              <w:bottom w:val="single" w:sz="8" w:space="0" w:color="auto"/>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14,1</w:t>
            </w:r>
          </w:p>
        </w:tc>
        <w:tc>
          <w:tcPr>
            <w:tcW w:w="1200" w:type="dxa"/>
            <w:tcBorders>
              <w:top w:val="nil"/>
              <w:left w:val="nil"/>
              <w:bottom w:val="single" w:sz="8" w:space="0" w:color="auto"/>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14</w:t>
            </w:r>
          </w:p>
        </w:tc>
        <w:tc>
          <w:tcPr>
            <w:tcW w:w="1200" w:type="dxa"/>
            <w:tcBorders>
              <w:top w:val="nil"/>
              <w:left w:val="nil"/>
              <w:bottom w:val="single" w:sz="8" w:space="0" w:color="auto"/>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12,7</w:t>
            </w:r>
          </w:p>
        </w:tc>
        <w:tc>
          <w:tcPr>
            <w:tcW w:w="1200" w:type="dxa"/>
            <w:tcBorders>
              <w:top w:val="nil"/>
              <w:left w:val="nil"/>
              <w:bottom w:val="single" w:sz="8" w:space="0" w:color="auto"/>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11,1</w:t>
            </w:r>
          </w:p>
        </w:tc>
        <w:tc>
          <w:tcPr>
            <w:tcW w:w="1200" w:type="dxa"/>
            <w:tcBorders>
              <w:top w:val="nil"/>
              <w:left w:val="nil"/>
              <w:bottom w:val="single" w:sz="8" w:space="0" w:color="auto"/>
              <w:right w:val="nil"/>
            </w:tcBorders>
            <w:shd w:val="clear" w:color="auto" w:fill="auto"/>
            <w:noWrap/>
            <w:vAlign w:val="center"/>
            <w:hideMark/>
          </w:tcPr>
          <w:p w:rsidR="00D1506C" w:rsidRPr="002B5FCA" w:rsidRDefault="00D1506C">
            <w:pPr>
              <w:jc w:val="right"/>
              <w:rPr>
                <w:rFonts w:ascii="Verdana" w:hAnsi="Verdana" w:cs="Calibri"/>
                <w:color w:val="000000"/>
                <w:sz w:val="20"/>
                <w:szCs w:val="20"/>
              </w:rPr>
            </w:pPr>
            <w:r w:rsidRPr="002B5FCA">
              <w:rPr>
                <w:rFonts w:ascii="Verdana" w:hAnsi="Verdana" w:cs="Calibri"/>
                <w:color w:val="000000"/>
                <w:sz w:val="20"/>
                <w:szCs w:val="20"/>
              </w:rPr>
              <w:t>10,7</w:t>
            </w:r>
          </w:p>
        </w:tc>
      </w:tr>
    </w:tbl>
    <w:p w:rsidR="00FD7885" w:rsidRPr="002B5FCA" w:rsidRDefault="00FD7885" w:rsidP="00720400">
      <w:pPr>
        <w:pStyle w:val="Textoindependiente"/>
        <w:spacing w:before="120" w:after="120"/>
        <w:ind w:firstLine="357"/>
        <w:rPr>
          <w:rFonts w:ascii="Verdana" w:hAnsi="Verdana"/>
          <w:sz w:val="20"/>
        </w:rPr>
      </w:pPr>
    </w:p>
    <w:p w:rsidR="00720400" w:rsidRPr="002B5FCA" w:rsidRDefault="00EF4F64" w:rsidP="00EF4F64">
      <w:pPr>
        <w:pStyle w:val="Ttulo2"/>
        <w:numPr>
          <w:ilvl w:val="1"/>
          <w:numId w:val="11"/>
        </w:numPr>
        <w:rPr>
          <w:rFonts w:ascii="Verdana" w:hAnsi="Verdana"/>
          <w:color w:val="333399"/>
          <w:sz w:val="20"/>
        </w:rPr>
      </w:pPr>
      <w:r w:rsidRPr="002B5FCA">
        <w:rPr>
          <w:rFonts w:ascii="Verdana" w:hAnsi="Verdana"/>
          <w:color w:val="333399"/>
        </w:rPr>
        <w:lastRenderedPageBreak/>
        <w:t xml:space="preserve"> </w:t>
      </w:r>
      <w:r w:rsidR="00720400" w:rsidRPr="002B5FCA">
        <w:rPr>
          <w:rFonts w:ascii="Verdana" w:hAnsi="Verdana"/>
          <w:color w:val="333399"/>
        </w:rPr>
        <w:t>Suplicaciones y casaciones</w:t>
      </w:r>
    </w:p>
    <w:p w:rsidR="00720400" w:rsidRPr="002B5FCA" w:rsidRDefault="00E12EDC" w:rsidP="00720400">
      <w:pPr>
        <w:pStyle w:val="Textoindependiente"/>
        <w:spacing w:before="120" w:after="120"/>
        <w:ind w:firstLine="357"/>
        <w:rPr>
          <w:rFonts w:ascii="Verdana" w:hAnsi="Verdana"/>
          <w:sz w:val="20"/>
        </w:rPr>
      </w:pPr>
      <w:r w:rsidRPr="002B5FCA">
        <w:rPr>
          <w:rFonts w:ascii="Verdana" w:hAnsi="Verdana"/>
          <w:sz w:val="20"/>
        </w:rPr>
        <w:t xml:space="preserve">Los </w:t>
      </w:r>
      <w:r w:rsidR="009E6C91" w:rsidRPr="002B5FCA">
        <w:rPr>
          <w:rFonts w:ascii="Verdana" w:hAnsi="Verdana"/>
          <w:sz w:val="20"/>
        </w:rPr>
        <w:t>j</w:t>
      </w:r>
      <w:r w:rsidRPr="002B5FCA">
        <w:rPr>
          <w:rFonts w:ascii="Verdana" w:hAnsi="Verdana"/>
          <w:sz w:val="20"/>
        </w:rPr>
        <w:t xml:space="preserve">uzgados de lo </w:t>
      </w:r>
      <w:r w:rsidR="009E6C91" w:rsidRPr="002B5FCA">
        <w:rPr>
          <w:rFonts w:ascii="Verdana" w:hAnsi="Verdana"/>
          <w:sz w:val="20"/>
        </w:rPr>
        <w:t>s</w:t>
      </w:r>
      <w:r w:rsidRPr="002B5FCA">
        <w:rPr>
          <w:rFonts w:ascii="Verdana" w:hAnsi="Verdana"/>
          <w:sz w:val="20"/>
        </w:rPr>
        <w:t xml:space="preserve">ocial han elevado </w:t>
      </w:r>
      <w:r w:rsidR="0066342B" w:rsidRPr="002B5FCA">
        <w:rPr>
          <w:rFonts w:ascii="Verdana" w:hAnsi="Verdana"/>
          <w:sz w:val="20"/>
        </w:rPr>
        <w:t>4</w:t>
      </w:r>
      <w:r w:rsidR="00761C74" w:rsidRPr="002B5FCA">
        <w:rPr>
          <w:rFonts w:ascii="Verdana" w:hAnsi="Verdana"/>
          <w:sz w:val="20"/>
        </w:rPr>
        <w:t>6</w:t>
      </w:r>
      <w:r w:rsidRPr="002B5FCA">
        <w:rPr>
          <w:rFonts w:ascii="Verdana" w:hAnsi="Verdana"/>
          <w:sz w:val="20"/>
        </w:rPr>
        <w:t>.</w:t>
      </w:r>
      <w:r w:rsidR="00763125" w:rsidRPr="002B5FCA">
        <w:rPr>
          <w:rFonts w:ascii="Verdana" w:hAnsi="Verdana"/>
          <w:sz w:val="20"/>
        </w:rPr>
        <w:t>186</w:t>
      </w:r>
      <w:r w:rsidRPr="002B5FCA">
        <w:rPr>
          <w:rFonts w:ascii="Verdana" w:hAnsi="Verdana"/>
          <w:sz w:val="20"/>
        </w:rPr>
        <w:t xml:space="preserve"> recursos de suplicación, un </w:t>
      </w:r>
      <w:r w:rsidR="00763125" w:rsidRPr="002B5FCA">
        <w:rPr>
          <w:rFonts w:ascii="Verdana" w:hAnsi="Verdana"/>
          <w:sz w:val="20"/>
        </w:rPr>
        <w:t>4</w:t>
      </w:r>
      <w:r w:rsidRPr="002B5FCA">
        <w:rPr>
          <w:rFonts w:ascii="Verdana" w:hAnsi="Verdana"/>
          <w:sz w:val="20"/>
        </w:rPr>
        <w:t>,</w:t>
      </w:r>
      <w:r w:rsidR="00763125" w:rsidRPr="002B5FCA">
        <w:rPr>
          <w:rFonts w:ascii="Verdana" w:hAnsi="Verdana"/>
          <w:sz w:val="20"/>
        </w:rPr>
        <w:t>8</w:t>
      </w:r>
      <w:r w:rsidRPr="002B5FCA">
        <w:rPr>
          <w:rFonts w:ascii="Verdana" w:hAnsi="Verdana"/>
          <w:sz w:val="20"/>
        </w:rPr>
        <w:t xml:space="preserve">% </w:t>
      </w:r>
      <w:r w:rsidR="0066342B" w:rsidRPr="002B5FCA">
        <w:rPr>
          <w:rFonts w:ascii="Verdana" w:hAnsi="Verdana"/>
          <w:sz w:val="20"/>
        </w:rPr>
        <w:t>más</w:t>
      </w:r>
      <w:r w:rsidRPr="002B5FCA">
        <w:rPr>
          <w:rFonts w:ascii="Verdana" w:hAnsi="Verdana"/>
          <w:sz w:val="20"/>
        </w:rPr>
        <w:t xml:space="preserve"> que en 201</w:t>
      </w:r>
      <w:r w:rsidR="00761C74" w:rsidRPr="002B5FCA">
        <w:rPr>
          <w:rFonts w:ascii="Verdana" w:hAnsi="Verdana"/>
          <w:sz w:val="20"/>
        </w:rPr>
        <w:t>5</w:t>
      </w:r>
      <w:r w:rsidRPr="002B5FCA">
        <w:rPr>
          <w:rFonts w:ascii="Verdana" w:hAnsi="Verdana"/>
          <w:sz w:val="20"/>
        </w:rPr>
        <w:t>.</w:t>
      </w:r>
      <w:r w:rsidR="00466B58" w:rsidRPr="002B5FCA">
        <w:rPr>
          <w:rFonts w:ascii="Verdana" w:hAnsi="Verdana"/>
          <w:sz w:val="20"/>
        </w:rPr>
        <w:t xml:space="preserve"> </w:t>
      </w:r>
      <w:r w:rsidRPr="002B5FCA">
        <w:rPr>
          <w:rFonts w:ascii="Verdana" w:hAnsi="Verdana"/>
          <w:sz w:val="20"/>
        </w:rPr>
        <w:t xml:space="preserve">El resultado de las sentencias </w:t>
      </w:r>
      <w:r w:rsidR="009E6C91" w:rsidRPr="002B5FCA">
        <w:rPr>
          <w:rFonts w:ascii="Verdana" w:hAnsi="Verdana"/>
          <w:sz w:val="20"/>
        </w:rPr>
        <w:t>devueltas a los juzgados de lo s</w:t>
      </w:r>
      <w:r w:rsidR="00720400" w:rsidRPr="002B5FCA">
        <w:rPr>
          <w:rFonts w:ascii="Verdana" w:hAnsi="Verdana"/>
          <w:sz w:val="20"/>
        </w:rPr>
        <w:t xml:space="preserve">ocial en el año </w:t>
      </w:r>
      <w:r w:rsidR="00A8065F" w:rsidRPr="002B5FCA">
        <w:rPr>
          <w:rFonts w:ascii="Verdana" w:hAnsi="Verdana"/>
          <w:sz w:val="20"/>
        </w:rPr>
        <w:t>20</w:t>
      </w:r>
      <w:r w:rsidR="00431CD5" w:rsidRPr="002B5FCA">
        <w:rPr>
          <w:rFonts w:ascii="Verdana" w:hAnsi="Verdana"/>
          <w:sz w:val="20"/>
        </w:rPr>
        <w:t>1</w:t>
      </w:r>
      <w:r w:rsidR="00903608" w:rsidRPr="002B5FCA">
        <w:rPr>
          <w:rFonts w:ascii="Verdana" w:hAnsi="Verdana"/>
          <w:sz w:val="20"/>
        </w:rPr>
        <w:t xml:space="preserve">7 </w:t>
      </w:r>
      <w:r w:rsidR="00720400" w:rsidRPr="002B5FCA">
        <w:rPr>
          <w:rFonts w:ascii="Verdana" w:hAnsi="Verdana"/>
          <w:sz w:val="20"/>
        </w:rPr>
        <w:t>relativas a recursos de suplicación muestra la siguiente distribución:</w:t>
      </w:r>
    </w:p>
    <w:p w:rsidR="00720400" w:rsidRPr="002B5FCA" w:rsidRDefault="00903608" w:rsidP="00720400">
      <w:pPr>
        <w:pStyle w:val="Textoindependiente"/>
        <w:spacing w:before="120" w:after="120"/>
        <w:ind w:firstLine="357"/>
        <w:jc w:val="center"/>
        <w:rPr>
          <w:rFonts w:ascii="Verdana" w:hAnsi="Verdana"/>
        </w:rPr>
      </w:pPr>
      <w:r w:rsidRPr="002B5FCA">
        <w:rPr>
          <w:noProof/>
        </w:rPr>
        <w:drawing>
          <wp:inline distT="0" distB="0" distL="0" distR="0" wp14:anchorId="7DD1918F" wp14:editId="6BCA189A">
            <wp:extent cx="4568825" cy="2740025"/>
            <wp:effectExtent l="0" t="0" r="22225" b="222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61C74" w:rsidRPr="002B5FCA" w:rsidRDefault="000014BA" w:rsidP="000014BA">
      <w:pPr>
        <w:pStyle w:val="Textoindependiente"/>
        <w:spacing w:before="120" w:after="120"/>
        <w:ind w:firstLine="357"/>
        <w:rPr>
          <w:rFonts w:ascii="Verdana" w:hAnsi="Verdana"/>
          <w:sz w:val="20"/>
        </w:rPr>
      </w:pPr>
      <w:r w:rsidRPr="002B5FCA">
        <w:rPr>
          <w:rFonts w:ascii="Verdana" w:hAnsi="Verdana"/>
          <w:sz w:val="20"/>
        </w:rPr>
        <w:t xml:space="preserve">Los mayores porcentajes de confirmación total se han dado en </w:t>
      </w:r>
      <w:r w:rsidR="0066342B" w:rsidRPr="002B5FCA">
        <w:rPr>
          <w:rFonts w:ascii="Verdana" w:hAnsi="Verdana"/>
          <w:sz w:val="20"/>
        </w:rPr>
        <w:t xml:space="preserve">Navarra, </w:t>
      </w:r>
      <w:r w:rsidR="00761C74" w:rsidRPr="002B5FCA">
        <w:rPr>
          <w:rFonts w:ascii="Verdana" w:hAnsi="Verdana"/>
          <w:sz w:val="20"/>
        </w:rPr>
        <w:t>9</w:t>
      </w:r>
      <w:r w:rsidR="00763125" w:rsidRPr="002B5FCA">
        <w:rPr>
          <w:rFonts w:ascii="Verdana" w:hAnsi="Verdana"/>
          <w:sz w:val="20"/>
        </w:rPr>
        <w:t>1</w:t>
      </w:r>
      <w:r w:rsidR="0066342B" w:rsidRPr="002B5FCA">
        <w:rPr>
          <w:rFonts w:ascii="Verdana" w:hAnsi="Verdana"/>
          <w:sz w:val="20"/>
        </w:rPr>
        <w:t>,</w:t>
      </w:r>
      <w:r w:rsidR="00763125" w:rsidRPr="002B5FCA">
        <w:rPr>
          <w:rFonts w:ascii="Verdana" w:hAnsi="Verdana"/>
          <w:sz w:val="20"/>
        </w:rPr>
        <w:t>4</w:t>
      </w:r>
      <w:r w:rsidR="0066342B" w:rsidRPr="002B5FCA">
        <w:rPr>
          <w:rFonts w:ascii="Verdana" w:hAnsi="Verdana"/>
          <w:sz w:val="20"/>
        </w:rPr>
        <w:t xml:space="preserve">%, </w:t>
      </w:r>
      <w:r w:rsidR="00761C74" w:rsidRPr="002B5FCA">
        <w:rPr>
          <w:rFonts w:ascii="Verdana" w:hAnsi="Verdana"/>
          <w:sz w:val="20"/>
        </w:rPr>
        <w:t>Aragón, 84,</w:t>
      </w:r>
      <w:r w:rsidR="00763125" w:rsidRPr="002B5FCA">
        <w:rPr>
          <w:rFonts w:ascii="Verdana" w:hAnsi="Verdana"/>
          <w:sz w:val="20"/>
        </w:rPr>
        <w:t>6</w:t>
      </w:r>
      <w:r w:rsidR="00761C74" w:rsidRPr="002B5FCA">
        <w:rPr>
          <w:rFonts w:ascii="Verdana" w:hAnsi="Verdana"/>
          <w:sz w:val="20"/>
        </w:rPr>
        <w:t xml:space="preserve">%; </w:t>
      </w:r>
      <w:r w:rsidR="00763125" w:rsidRPr="002B5FCA">
        <w:rPr>
          <w:rFonts w:ascii="Verdana" w:hAnsi="Verdana"/>
          <w:sz w:val="20"/>
        </w:rPr>
        <w:t xml:space="preserve">La Rioja, 82,3%; Galicia, 82,1%; </w:t>
      </w:r>
      <w:r w:rsidR="001E43FD" w:rsidRPr="002B5FCA">
        <w:rPr>
          <w:rFonts w:ascii="Verdana" w:hAnsi="Verdana"/>
          <w:sz w:val="20"/>
        </w:rPr>
        <w:t>Asturias</w:t>
      </w:r>
      <w:r w:rsidR="0066342B" w:rsidRPr="002B5FCA">
        <w:rPr>
          <w:rFonts w:ascii="Verdana" w:hAnsi="Verdana"/>
          <w:sz w:val="20"/>
        </w:rPr>
        <w:t xml:space="preserve">, </w:t>
      </w:r>
      <w:r w:rsidR="00761C74" w:rsidRPr="002B5FCA">
        <w:rPr>
          <w:rFonts w:ascii="Verdana" w:hAnsi="Verdana"/>
          <w:sz w:val="20"/>
        </w:rPr>
        <w:t>8</w:t>
      </w:r>
      <w:r w:rsidR="00763125" w:rsidRPr="002B5FCA">
        <w:rPr>
          <w:rFonts w:ascii="Verdana" w:hAnsi="Verdana"/>
          <w:sz w:val="20"/>
        </w:rPr>
        <w:t>2</w:t>
      </w:r>
      <w:r w:rsidR="00C37753" w:rsidRPr="002B5FCA">
        <w:rPr>
          <w:rFonts w:ascii="Verdana" w:hAnsi="Verdana"/>
          <w:sz w:val="20"/>
        </w:rPr>
        <w:t>%</w:t>
      </w:r>
      <w:r w:rsidR="00761C74" w:rsidRPr="002B5FCA">
        <w:rPr>
          <w:rFonts w:ascii="Verdana" w:hAnsi="Verdana"/>
          <w:sz w:val="20"/>
        </w:rPr>
        <w:t>;</w:t>
      </w:r>
      <w:r w:rsidR="006967B9" w:rsidRPr="002B5FCA">
        <w:rPr>
          <w:rFonts w:ascii="Verdana" w:hAnsi="Verdana"/>
          <w:sz w:val="20"/>
        </w:rPr>
        <w:t xml:space="preserve"> </w:t>
      </w:r>
      <w:r w:rsidR="00763125" w:rsidRPr="002B5FCA">
        <w:rPr>
          <w:rFonts w:ascii="Verdana" w:hAnsi="Verdana"/>
          <w:sz w:val="20"/>
        </w:rPr>
        <w:t xml:space="preserve">Cantabria, 81,8%; y </w:t>
      </w:r>
      <w:r w:rsidR="001E43FD" w:rsidRPr="002B5FCA">
        <w:rPr>
          <w:rFonts w:ascii="Verdana" w:hAnsi="Verdana"/>
          <w:sz w:val="20"/>
        </w:rPr>
        <w:t>Cataluña</w:t>
      </w:r>
      <w:r w:rsidR="006967B9" w:rsidRPr="002B5FCA">
        <w:rPr>
          <w:rFonts w:ascii="Verdana" w:hAnsi="Verdana"/>
          <w:sz w:val="20"/>
        </w:rPr>
        <w:t xml:space="preserve">, </w:t>
      </w:r>
      <w:r w:rsidR="001E43FD" w:rsidRPr="002B5FCA">
        <w:rPr>
          <w:rFonts w:ascii="Verdana" w:hAnsi="Verdana"/>
          <w:sz w:val="20"/>
        </w:rPr>
        <w:t>8</w:t>
      </w:r>
      <w:r w:rsidR="00763125" w:rsidRPr="002B5FCA">
        <w:rPr>
          <w:rFonts w:ascii="Verdana" w:hAnsi="Verdana"/>
          <w:sz w:val="20"/>
        </w:rPr>
        <w:t>1,5%.</w:t>
      </w:r>
      <w:r w:rsidR="00761C74" w:rsidRPr="002B5FCA">
        <w:rPr>
          <w:rFonts w:ascii="Verdana" w:hAnsi="Verdana"/>
          <w:sz w:val="20"/>
        </w:rPr>
        <w:t xml:space="preserve"> </w:t>
      </w:r>
      <w:r w:rsidR="00C37753" w:rsidRPr="002B5FCA">
        <w:rPr>
          <w:rFonts w:ascii="Verdana" w:hAnsi="Verdana"/>
          <w:sz w:val="20"/>
        </w:rPr>
        <w:t xml:space="preserve"> </w:t>
      </w:r>
      <w:r w:rsidR="0066342B" w:rsidRPr="002B5FCA">
        <w:rPr>
          <w:rFonts w:ascii="Verdana" w:hAnsi="Verdana"/>
          <w:sz w:val="20"/>
        </w:rPr>
        <w:t>Los</w:t>
      </w:r>
      <w:r w:rsidR="00384C7E" w:rsidRPr="002B5FCA">
        <w:rPr>
          <w:rFonts w:ascii="Verdana" w:hAnsi="Verdana"/>
          <w:sz w:val="20"/>
        </w:rPr>
        <w:t xml:space="preserve"> menor</w:t>
      </w:r>
      <w:r w:rsidR="0066342B" w:rsidRPr="002B5FCA">
        <w:rPr>
          <w:rFonts w:ascii="Verdana" w:hAnsi="Verdana"/>
          <w:sz w:val="20"/>
        </w:rPr>
        <w:t>es</w:t>
      </w:r>
      <w:r w:rsidR="00384C7E" w:rsidRPr="002B5FCA">
        <w:rPr>
          <w:rFonts w:ascii="Verdana" w:hAnsi="Verdana"/>
          <w:sz w:val="20"/>
        </w:rPr>
        <w:t xml:space="preserve"> </w:t>
      </w:r>
      <w:r w:rsidR="00BA1163" w:rsidRPr="002B5FCA">
        <w:rPr>
          <w:rFonts w:ascii="Verdana" w:hAnsi="Verdana"/>
          <w:sz w:val="20"/>
        </w:rPr>
        <w:t>porcentaje</w:t>
      </w:r>
      <w:r w:rsidR="0066342B" w:rsidRPr="002B5FCA">
        <w:rPr>
          <w:rFonts w:ascii="Verdana" w:hAnsi="Verdana"/>
          <w:sz w:val="20"/>
        </w:rPr>
        <w:t>s</w:t>
      </w:r>
      <w:r w:rsidR="00BA1163" w:rsidRPr="002B5FCA">
        <w:rPr>
          <w:rFonts w:ascii="Verdana" w:hAnsi="Verdana"/>
          <w:sz w:val="20"/>
        </w:rPr>
        <w:t xml:space="preserve"> se ha</w:t>
      </w:r>
      <w:r w:rsidR="0066342B" w:rsidRPr="002B5FCA">
        <w:rPr>
          <w:rFonts w:ascii="Verdana" w:hAnsi="Verdana"/>
          <w:sz w:val="20"/>
        </w:rPr>
        <w:t>n</w:t>
      </w:r>
      <w:r w:rsidR="00BA1163" w:rsidRPr="002B5FCA">
        <w:rPr>
          <w:rFonts w:ascii="Verdana" w:hAnsi="Verdana"/>
          <w:sz w:val="20"/>
        </w:rPr>
        <w:t xml:space="preserve"> dado en </w:t>
      </w:r>
      <w:r w:rsidR="009D7AB5" w:rsidRPr="002B5FCA">
        <w:rPr>
          <w:rFonts w:ascii="Verdana" w:hAnsi="Verdana"/>
          <w:sz w:val="20"/>
        </w:rPr>
        <w:t xml:space="preserve"> </w:t>
      </w:r>
      <w:r w:rsidR="00761C74" w:rsidRPr="002B5FCA">
        <w:rPr>
          <w:rFonts w:ascii="Verdana" w:hAnsi="Verdana"/>
          <w:sz w:val="20"/>
        </w:rPr>
        <w:t xml:space="preserve">Illes Balears, </w:t>
      </w:r>
      <w:r w:rsidR="00763125" w:rsidRPr="002B5FCA">
        <w:rPr>
          <w:rFonts w:ascii="Verdana" w:hAnsi="Verdana"/>
          <w:sz w:val="20"/>
        </w:rPr>
        <w:t>65,9; y Canarias, 68,7%.</w:t>
      </w:r>
    </w:p>
    <w:p w:rsidR="00720400" w:rsidRPr="002B5FCA" w:rsidRDefault="006967B9" w:rsidP="00720400">
      <w:pPr>
        <w:pStyle w:val="Textoindependiente"/>
        <w:spacing w:before="120" w:after="120"/>
        <w:ind w:firstLine="357"/>
        <w:rPr>
          <w:rFonts w:ascii="Verdana" w:hAnsi="Verdana"/>
          <w:sz w:val="20"/>
        </w:rPr>
      </w:pPr>
      <w:r w:rsidRPr="002B5FCA">
        <w:rPr>
          <w:rFonts w:ascii="Verdana" w:hAnsi="Verdana"/>
          <w:sz w:val="20"/>
        </w:rPr>
        <w:t xml:space="preserve"> </w:t>
      </w:r>
      <w:r w:rsidR="009E6C91" w:rsidRPr="002B5FCA">
        <w:rPr>
          <w:rFonts w:ascii="Verdana" w:hAnsi="Verdana"/>
          <w:sz w:val="20"/>
        </w:rPr>
        <w:t>Las s</w:t>
      </w:r>
      <w:r w:rsidR="00B27C99" w:rsidRPr="002B5FCA">
        <w:rPr>
          <w:rFonts w:ascii="Verdana" w:hAnsi="Verdana"/>
          <w:sz w:val="20"/>
        </w:rPr>
        <w:t xml:space="preserve">alas de lo </w:t>
      </w:r>
      <w:r w:rsidR="009E6C91" w:rsidRPr="002B5FCA">
        <w:rPr>
          <w:rFonts w:ascii="Verdana" w:hAnsi="Verdana"/>
          <w:sz w:val="20"/>
        </w:rPr>
        <w:t>social de los t</w:t>
      </w:r>
      <w:r w:rsidR="00B27C99" w:rsidRPr="002B5FCA">
        <w:rPr>
          <w:rFonts w:ascii="Verdana" w:hAnsi="Verdana"/>
          <w:sz w:val="20"/>
        </w:rPr>
        <w:t xml:space="preserve">ribunales </w:t>
      </w:r>
      <w:r w:rsidR="009E6C91" w:rsidRPr="002B5FCA">
        <w:rPr>
          <w:rFonts w:ascii="Verdana" w:hAnsi="Verdana"/>
          <w:sz w:val="20"/>
        </w:rPr>
        <w:t>superiores de j</w:t>
      </w:r>
      <w:r w:rsidR="00B27C99" w:rsidRPr="002B5FCA">
        <w:rPr>
          <w:rFonts w:ascii="Verdana" w:hAnsi="Verdana"/>
          <w:sz w:val="20"/>
        </w:rPr>
        <w:t>usticia elevaron en 201</w:t>
      </w:r>
      <w:r w:rsidR="00A47419" w:rsidRPr="002B5FCA">
        <w:rPr>
          <w:rFonts w:ascii="Verdana" w:hAnsi="Verdana"/>
          <w:sz w:val="20"/>
        </w:rPr>
        <w:t>7</w:t>
      </w:r>
      <w:r w:rsidR="00B27C99" w:rsidRPr="002B5FCA">
        <w:rPr>
          <w:rFonts w:ascii="Verdana" w:hAnsi="Verdana"/>
          <w:sz w:val="20"/>
        </w:rPr>
        <w:t xml:space="preserve"> un total de </w:t>
      </w:r>
      <w:r w:rsidR="00D14519" w:rsidRPr="002B5FCA">
        <w:rPr>
          <w:rFonts w:ascii="Verdana" w:hAnsi="Verdana"/>
          <w:sz w:val="20"/>
        </w:rPr>
        <w:t>4</w:t>
      </w:r>
      <w:r w:rsidR="00B27C99" w:rsidRPr="002B5FCA">
        <w:rPr>
          <w:rFonts w:ascii="Verdana" w:hAnsi="Verdana"/>
          <w:sz w:val="20"/>
        </w:rPr>
        <w:t>.</w:t>
      </w:r>
      <w:r w:rsidR="00A47419" w:rsidRPr="002B5FCA">
        <w:rPr>
          <w:rFonts w:ascii="Verdana" w:hAnsi="Verdana"/>
          <w:sz w:val="20"/>
        </w:rPr>
        <w:t>651</w:t>
      </w:r>
      <w:r w:rsidR="00B27C99" w:rsidRPr="002B5FCA">
        <w:rPr>
          <w:rFonts w:ascii="Verdana" w:hAnsi="Verdana"/>
          <w:sz w:val="20"/>
        </w:rPr>
        <w:t xml:space="preserve"> recursos de casación, un </w:t>
      </w:r>
      <w:r w:rsidR="00A47419" w:rsidRPr="002B5FCA">
        <w:rPr>
          <w:rFonts w:ascii="Verdana" w:hAnsi="Verdana"/>
          <w:sz w:val="20"/>
        </w:rPr>
        <w:t>12,1</w:t>
      </w:r>
      <w:r w:rsidR="002B5FCA">
        <w:rPr>
          <w:rFonts w:ascii="Verdana" w:hAnsi="Verdana"/>
          <w:sz w:val="20"/>
        </w:rPr>
        <w:t>%</w:t>
      </w:r>
      <w:r w:rsidR="00B27C99" w:rsidRPr="002B5FCA">
        <w:rPr>
          <w:rFonts w:ascii="Verdana" w:hAnsi="Verdana"/>
          <w:sz w:val="20"/>
        </w:rPr>
        <w:t xml:space="preserve"> </w:t>
      </w:r>
      <w:r w:rsidR="00FB648C" w:rsidRPr="002B5FCA">
        <w:rPr>
          <w:rFonts w:ascii="Verdana" w:hAnsi="Verdana"/>
          <w:sz w:val="20"/>
        </w:rPr>
        <w:t>más</w:t>
      </w:r>
      <w:r w:rsidR="00B27C99" w:rsidRPr="002B5FCA">
        <w:rPr>
          <w:rFonts w:ascii="Verdana" w:hAnsi="Verdana"/>
          <w:sz w:val="20"/>
        </w:rPr>
        <w:t xml:space="preserve"> que en 201</w:t>
      </w:r>
      <w:r w:rsidR="00A47419" w:rsidRPr="002B5FCA">
        <w:rPr>
          <w:rFonts w:ascii="Verdana" w:hAnsi="Verdana"/>
          <w:sz w:val="20"/>
        </w:rPr>
        <w:t>6</w:t>
      </w:r>
      <w:r w:rsidR="00B27C99" w:rsidRPr="002B5FCA">
        <w:rPr>
          <w:rFonts w:ascii="Verdana" w:hAnsi="Verdana"/>
          <w:sz w:val="20"/>
        </w:rPr>
        <w:t xml:space="preserve">. Por su parte, la Sala de la Audiencia Nacional elevó </w:t>
      </w:r>
      <w:r w:rsidR="0005710B" w:rsidRPr="002B5FCA">
        <w:rPr>
          <w:rFonts w:ascii="Verdana" w:hAnsi="Verdana"/>
          <w:sz w:val="20"/>
        </w:rPr>
        <w:t>162</w:t>
      </w:r>
      <w:r w:rsidR="00B27C99" w:rsidRPr="002B5FCA">
        <w:rPr>
          <w:rFonts w:ascii="Verdana" w:hAnsi="Verdana"/>
          <w:sz w:val="20"/>
        </w:rPr>
        <w:t xml:space="preserve"> recursos de casació</w:t>
      </w:r>
      <w:r w:rsidR="00FE175C" w:rsidRPr="002B5FCA">
        <w:rPr>
          <w:rFonts w:ascii="Verdana" w:hAnsi="Verdana"/>
          <w:sz w:val="20"/>
        </w:rPr>
        <w:t>n contra sentencias y autos</w:t>
      </w:r>
      <w:r w:rsidR="00B27C99" w:rsidRPr="002B5FCA">
        <w:rPr>
          <w:rFonts w:ascii="Verdana" w:hAnsi="Verdana"/>
          <w:sz w:val="20"/>
        </w:rPr>
        <w:t xml:space="preserve">, </w:t>
      </w:r>
      <w:r w:rsidR="0005710B" w:rsidRPr="002B5FCA">
        <w:rPr>
          <w:rFonts w:ascii="Verdana" w:hAnsi="Verdana"/>
          <w:sz w:val="20"/>
        </w:rPr>
        <w:t>un 18,6% menos que en 2016</w:t>
      </w:r>
      <w:r w:rsidR="00B27C99" w:rsidRPr="002B5FCA">
        <w:rPr>
          <w:rFonts w:ascii="Verdana" w:hAnsi="Verdana"/>
          <w:sz w:val="20"/>
        </w:rPr>
        <w:t xml:space="preserve">. </w:t>
      </w:r>
      <w:r w:rsidR="004807EE" w:rsidRPr="002B5FCA">
        <w:rPr>
          <w:rFonts w:ascii="Verdana" w:hAnsi="Verdana"/>
          <w:sz w:val="20"/>
        </w:rPr>
        <w:t>El resultado de</w:t>
      </w:r>
      <w:r w:rsidR="00720400" w:rsidRPr="002B5FCA">
        <w:rPr>
          <w:rFonts w:ascii="Verdana" w:hAnsi="Verdana"/>
          <w:sz w:val="20"/>
        </w:rPr>
        <w:t xml:space="preserve"> los recursos de casación devueltos en </w:t>
      </w:r>
      <w:r w:rsidR="00484164" w:rsidRPr="002B5FCA">
        <w:rPr>
          <w:rFonts w:ascii="Verdana" w:hAnsi="Verdana"/>
          <w:sz w:val="20"/>
        </w:rPr>
        <w:t>20</w:t>
      </w:r>
      <w:r w:rsidR="003D7C26" w:rsidRPr="002B5FCA">
        <w:rPr>
          <w:rFonts w:ascii="Verdana" w:hAnsi="Verdana"/>
          <w:sz w:val="20"/>
        </w:rPr>
        <w:t>1</w:t>
      </w:r>
      <w:r w:rsidR="00FB648C" w:rsidRPr="002B5FCA">
        <w:rPr>
          <w:rFonts w:ascii="Verdana" w:hAnsi="Verdana"/>
          <w:sz w:val="20"/>
        </w:rPr>
        <w:t>6</w:t>
      </w:r>
      <w:r w:rsidR="00720400" w:rsidRPr="002B5FCA">
        <w:rPr>
          <w:rFonts w:ascii="Verdana" w:hAnsi="Verdana"/>
          <w:sz w:val="20"/>
        </w:rPr>
        <w:t xml:space="preserve"> ha sido:</w:t>
      </w:r>
    </w:p>
    <w:tbl>
      <w:tblPr>
        <w:tblW w:w="8643" w:type="dxa"/>
        <w:jc w:val="center"/>
        <w:tblInd w:w="-26" w:type="dxa"/>
        <w:tblCellMar>
          <w:left w:w="70" w:type="dxa"/>
          <w:right w:w="70" w:type="dxa"/>
        </w:tblCellMar>
        <w:tblLook w:val="04A0" w:firstRow="1" w:lastRow="0" w:firstColumn="1" w:lastColumn="0" w:noHBand="0" w:noVBand="1"/>
      </w:tblPr>
      <w:tblGrid>
        <w:gridCol w:w="2612"/>
        <w:gridCol w:w="1582"/>
        <w:gridCol w:w="1373"/>
        <w:gridCol w:w="1756"/>
        <w:gridCol w:w="1320"/>
      </w:tblGrid>
      <w:tr w:rsidR="008B7464" w:rsidRPr="002B5FCA" w:rsidTr="00AA383A">
        <w:trPr>
          <w:trHeight w:val="743"/>
          <w:jc w:val="center"/>
        </w:trPr>
        <w:tc>
          <w:tcPr>
            <w:tcW w:w="2612" w:type="dxa"/>
            <w:tcBorders>
              <w:top w:val="nil"/>
              <w:left w:val="nil"/>
              <w:bottom w:val="single" w:sz="8" w:space="0" w:color="auto"/>
              <w:right w:val="nil"/>
            </w:tcBorders>
            <w:shd w:val="clear" w:color="auto" w:fill="auto"/>
            <w:vAlign w:val="center"/>
            <w:hideMark/>
          </w:tcPr>
          <w:p w:rsidR="008B7464" w:rsidRPr="002B5FCA" w:rsidRDefault="008B7464">
            <w:pPr>
              <w:rPr>
                <w:rFonts w:ascii="Verdana" w:hAnsi="Verdana" w:cs="Arial"/>
                <w:sz w:val="20"/>
                <w:szCs w:val="20"/>
              </w:rPr>
            </w:pPr>
            <w:r w:rsidRPr="002B5FCA">
              <w:rPr>
                <w:rFonts w:ascii="Verdana" w:hAnsi="Verdana" w:cs="Arial"/>
                <w:sz w:val="20"/>
                <w:szCs w:val="20"/>
              </w:rPr>
              <w:t> </w:t>
            </w:r>
          </w:p>
        </w:tc>
        <w:tc>
          <w:tcPr>
            <w:tcW w:w="1582" w:type="dxa"/>
            <w:tcBorders>
              <w:top w:val="single" w:sz="8" w:space="0" w:color="auto"/>
              <w:left w:val="nil"/>
              <w:bottom w:val="single" w:sz="8" w:space="0" w:color="auto"/>
              <w:right w:val="nil"/>
            </w:tcBorders>
            <w:shd w:val="clear" w:color="auto" w:fill="auto"/>
            <w:vAlign w:val="center"/>
            <w:hideMark/>
          </w:tcPr>
          <w:p w:rsidR="008B7464" w:rsidRPr="002B5FCA" w:rsidRDefault="008B7464">
            <w:pPr>
              <w:jc w:val="center"/>
              <w:rPr>
                <w:rFonts w:ascii="Verdana" w:hAnsi="Verdana" w:cs="Arial"/>
                <w:b/>
                <w:bCs/>
                <w:color w:val="000080"/>
                <w:sz w:val="20"/>
                <w:szCs w:val="20"/>
              </w:rPr>
            </w:pPr>
            <w:r w:rsidRPr="002B5FCA">
              <w:rPr>
                <w:rFonts w:ascii="Verdana" w:hAnsi="Verdana" w:cs="Arial"/>
                <w:b/>
                <w:bCs/>
                <w:color w:val="000080"/>
                <w:sz w:val="20"/>
                <w:szCs w:val="20"/>
              </w:rPr>
              <w:t xml:space="preserve">Confirmando </w:t>
            </w:r>
          </w:p>
        </w:tc>
        <w:tc>
          <w:tcPr>
            <w:tcW w:w="1373" w:type="dxa"/>
            <w:tcBorders>
              <w:top w:val="single" w:sz="8" w:space="0" w:color="auto"/>
              <w:left w:val="nil"/>
              <w:bottom w:val="single" w:sz="8" w:space="0" w:color="auto"/>
              <w:right w:val="nil"/>
            </w:tcBorders>
            <w:shd w:val="clear" w:color="auto" w:fill="auto"/>
            <w:vAlign w:val="center"/>
            <w:hideMark/>
          </w:tcPr>
          <w:p w:rsidR="008B7464" w:rsidRPr="002B5FCA" w:rsidRDefault="008B7464">
            <w:pPr>
              <w:jc w:val="center"/>
              <w:rPr>
                <w:rFonts w:ascii="Verdana" w:hAnsi="Verdana" w:cs="Arial"/>
                <w:b/>
                <w:bCs/>
                <w:color w:val="000080"/>
                <w:sz w:val="20"/>
                <w:szCs w:val="20"/>
              </w:rPr>
            </w:pPr>
            <w:r w:rsidRPr="002B5FCA">
              <w:rPr>
                <w:rFonts w:ascii="Verdana" w:hAnsi="Verdana" w:cs="Arial"/>
                <w:b/>
                <w:bCs/>
                <w:color w:val="000080"/>
                <w:sz w:val="20"/>
                <w:szCs w:val="20"/>
              </w:rPr>
              <w:t>Revocando totalmente</w:t>
            </w:r>
          </w:p>
        </w:tc>
        <w:tc>
          <w:tcPr>
            <w:tcW w:w="1756" w:type="dxa"/>
            <w:tcBorders>
              <w:top w:val="single" w:sz="8" w:space="0" w:color="auto"/>
              <w:left w:val="nil"/>
              <w:bottom w:val="single" w:sz="8" w:space="0" w:color="auto"/>
              <w:right w:val="nil"/>
            </w:tcBorders>
            <w:shd w:val="clear" w:color="auto" w:fill="auto"/>
            <w:vAlign w:val="center"/>
            <w:hideMark/>
          </w:tcPr>
          <w:p w:rsidR="008B7464" w:rsidRPr="002B5FCA" w:rsidRDefault="008B7464">
            <w:pPr>
              <w:jc w:val="center"/>
              <w:rPr>
                <w:rFonts w:ascii="Verdana" w:hAnsi="Verdana" w:cs="Arial"/>
                <w:b/>
                <w:bCs/>
                <w:color w:val="000080"/>
                <w:sz w:val="20"/>
                <w:szCs w:val="20"/>
              </w:rPr>
            </w:pPr>
            <w:r w:rsidRPr="002B5FCA">
              <w:rPr>
                <w:rFonts w:ascii="Verdana" w:hAnsi="Verdana" w:cs="Arial"/>
                <w:b/>
                <w:bCs/>
                <w:color w:val="000080"/>
                <w:sz w:val="20"/>
                <w:szCs w:val="20"/>
              </w:rPr>
              <w:t>Revocando parcialmente</w:t>
            </w:r>
          </w:p>
        </w:tc>
        <w:tc>
          <w:tcPr>
            <w:tcW w:w="1320" w:type="dxa"/>
            <w:tcBorders>
              <w:top w:val="single" w:sz="8" w:space="0" w:color="auto"/>
              <w:left w:val="nil"/>
              <w:bottom w:val="single" w:sz="8" w:space="0" w:color="auto"/>
              <w:right w:val="nil"/>
            </w:tcBorders>
            <w:shd w:val="clear" w:color="auto" w:fill="auto"/>
            <w:vAlign w:val="center"/>
            <w:hideMark/>
          </w:tcPr>
          <w:p w:rsidR="008B7464" w:rsidRPr="002B5FCA" w:rsidRDefault="008B7464">
            <w:pPr>
              <w:jc w:val="center"/>
              <w:rPr>
                <w:rFonts w:ascii="Verdana" w:hAnsi="Verdana" w:cs="Arial"/>
                <w:b/>
                <w:bCs/>
                <w:color w:val="000080"/>
                <w:sz w:val="20"/>
                <w:szCs w:val="20"/>
              </w:rPr>
            </w:pPr>
            <w:r w:rsidRPr="002B5FCA">
              <w:rPr>
                <w:rFonts w:ascii="Verdana" w:hAnsi="Verdana" w:cs="Arial"/>
                <w:b/>
                <w:bCs/>
                <w:color w:val="000080"/>
                <w:sz w:val="20"/>
                <w:szCs w:val="20"/>
              </w:rPr>
              <w:t>Anulando</w:t>
            </w:r>
          </w:p>
        </w:tc>
      </w:tr>
      <w:tr w:rsidR="00A47419" w:rsidRPr="002B5FCA" w:rsidTr="000E2714">
        <w:trPr>
          <w:trHeight w:val="243"/>
          <w:jc w:val="center"/>
        </w:trPr>
        <w:tc>
          <w:tcPr>
            <w:tcW w:w="2612" w:type="dxa"/>
            <w:tcBorders>
              <w:top w:val="nil"/>
              <w:left w:val="nil"/>
              <w:bottom w:val="nil"/>
              <w:right w:val="nil"/>
            </w:tcBorders>
            <w:shd w:val="clear" w:color="auto" w:fill="auto"/>
            <w:vAlign w:val="center"/>
            <w:hideMark/>
          </w:tcPr>
          <w:p w:rsidR="00A47419" w:rsidRPr="002B5FCA" w:rsidRDefault="00A47419">
            <w:pPr>
              <w:jc w:val="both"/>
              <w:rPr>
                <w:rFonts w:ascii="Verdana" w:hAnsi="Verdana" w:cs="Arial"/>
                <w:sz w:val="20"/>
                <w:szCs w:val="20"/>
              </w:rPr>
            </w:pPr>
            <w:r w:rsidRPr="002B5FCA">
              <w:rPr>
                <w:rFonts w:ascii="Verdana" w:hAnsi="Verdana" w:cs="Arial"/>
                <w:sz w:val="20"/>
                <w:szCs w:val="20"/>
              </w:rPr>
              <w:t>T.S.J. Sala de lo Social</w:t>
            </w:r>
          </w:p>
        </w:tc>
        <w:tc>
          <w:tcPr>
            <w:tcW w:w="1582" w:type="dxa"/>
            <w:tcBorders>
              <w:top w:val="nil"/>
              <w:left w:val="nil"/>
              <w:bottom w:val="nil"/>
              <w:right w:val="nil"/>
            </w:tcBorders>
            <w:shd w:val="clear" w:color="auto" w:fill="auto"/>
            <w:noWrap/>
            <w:vAlign w:val="bottom"/>
            <w:hideMark/>
          </w:tcPr>
          <w:p w:rsidR="00A47419" w:rsidRPr="002B5FCA" w:rsidRDefault="00A47419" w:rsidP="00A47419">
            <w:pPr>
              <w:jc w:val="center"/>
              <w:rPr>
                <w:rFonts w:ascii="Verdana" w:hAnsi="Verdana" w:cs="Arial"/>
                <w:sz w:val="20"/>
                <w:szCs w:val="20"/>
              </w:rPr>
            </w:pPr>
            <w:r w:rsidRPr="002B5FCA">
              <w:rPr>
                <w:rFonts w:ascii="Verdana" w:hAnsi="Verdana" w:cs="Arial"/>
                <w:sz w:val="20"/>
                <w:szCs w:val="20"/>
              </w:rPr>
              <w:t>85,8</w:t>
            </w:r>
          </w:p>
        </w:tc>
        <w:tc>
          <w:tcPr>
            <w:tcW w:w="1373" w:type="dxa"/>
            <w:tcBorders>
              <w:top w:val="nil"/>
              <w:left w:val="nil"/>
              <w:bottom w:val="nil"/>
              <w:right w:val="nil"/>
            </w:tcBorders>
            <w:shd w:val="clear" w:color="auto" w:fill="auto"/>
            <w:noWrap/>
            <w:vAlign w:val="bottom"/>
            <w:hideMark/>
          </w:tcPr>
          <w:p w:rsidR="00A47419" w:rsidRPr="002B5FCA" w:rsidRDefault="00A47419" w:rsidP="00A47419">
            <w:pPr>
              <w:jc w:val="center"/>
              <w:rPr>
                <w:rFonts w:ascii="Verdana" w:hAnsi="Verdana" w:cs="Arial"/>
                <w:sz w:val="20"/>
                <w:szCs w:val="20"/>
              </w:rPr>
            </w:pPr>
            <w:r w:rsidRPr="002B5FCA">
              <w:rPr>
                <w:rFonts w:ascii="Verdana" w:hAnsi="Verdana" w:cs="Arial"/>
                <w:sz w:val="20"/>
                <w:szCs w:val="20"/>
              </w:rPr>
              <w:t>10,8</w:t>
            </w:r>
          </w:p>
        </w:tc>
        <w:tc>
          <w:tcPr>
            <w:tcW w:w="1756" w:type="dxa"/>
            <w:tcBorders>
              <w:top w:val="nil"/>
              <w:left w:val="nil"/>
              <w:bottom w:val="nil"/>
              <w:right w:val="nil"/>
            </w:tcBorders>
            <w:shd w:val="clear" w:color="auto" w:fill="auto"/>
            <w:noWrap/>
            <w:vAlign w:val="bottom"/>
            <w:hideMark/>
          </w:tcPr>
          <w:p w:rsidR="00A47419" w:rsidRPr="002B5FCA" w:rsidRDefault="00A47419" w:rsidP="00A47419">
            <w:pPr>
              <w:jc w:val="center"/>
              <w:rPr>
                <w:rFonts w:ascii="Verdana" w:hAnsi="Verdana" w:cs="Arial"/>
                <w:sz w:val="20"/>
                <w:szCs w:val="20"/>
              </w:rPr>
            </w:pPr>
            <w:r w:rsidRPr="002B5FCA">
              <w:rPr>
                <w:rFonts w:ascii="Verdana" w:hAnsi="Verdana" w:cs="Arial"/>
                <w:sz w:val="20"/>
                <w:szCs w:val="20"/>
              </w:rPr>
              <w:t>1,1</w:t>
            </w:r>
          </w:p>
        </w:tc>
        <w:tc>
          <w:tcPr>
            <w:tcW w:w="1320" w:type="dxa"/>
            <w:tcBorders>
              <w:top w:val="nil"/>
              <w:left w:val="nil"/>
              <w:bottom w:val="nil"/>
              <w:right w:val="nil"/>
            </w:tcBorders>
            <w:shd w:val="clear" w:color="auto" w:fill="auto"/>
            <w:noWrap/>
            <w:vAlign w:val="bottom"/>
            <w:hideMark/>
          </w:tcPr>
          <w:p w:rsidR="00A47419" w:rsidRPr="002B5FCA" w:rsidRDefault="00A47419" w:rsidP="00A47419">
            <w:pPr>
              <w:jc w:val="center"/>
              <w:rPr>
                <w:rFonts w:ascii="Verdana" w:hAnsi="Verdana" w:cs="Arial"/>
                <w:sz w:val="20"/>
                <w:szCs w:val="20"/>
              </w:rPr>
            </w:pPr>
            <w:r w:rsidRPr="002B5FCA">
              <w:rPr>
                <w:rFonts w:ascii="Verdana" w:hAnsi="Verdana" w:cs="Arial"/>
                <w:sz w:val="20"/>
                <w:szCs w:val="20"/>
              </w:rPr>
              <w:t>2,2</w:t>
            </w:r>
          </w:p>
        </w:tc>
      </w:tr>
      <w:tr w:rsidR="0005710B" w:rsidRPr="002B5FCA" w:rsidTr="0005710B">
        <w:trPr>
          <w:trHeight w:val="257"/>
          <w:jc w:val="center"/>
        </w:trPr>
        <w:tc>
          <w:tcPr>
            <w:tcW w:w="2612" w:type="dxa"/>
            <w:tcBorders>
              <w:top w:val="nil"/>
              <w:left w:val="nil"/>
              <w:bottom w:val="single" w:sz="8" w:space="0" w:color="auto"/>
              <w:right w:val="nil"/>
            </w:tcBorders>
            <w:shd w:val="clear" w:color="auto" w:fill="auto"/>
            <w:vAlign w:val="center"/>
            <w:hideMark/>
          </w:tcPr>
          <w:p w:rsidR="0005710B" w:rsidRPr="002B5FCA" w:rsidRDefault="0005710B">
            <w:pPr>
              <w:jc w:val="both"/>
              <w:rPr>
                <w:rFonts w:ascii="Verdana" w:hAnsi="Verdana" w:cs="Arial"/>
                <w:sz w:val="20"/>
                <w:szCs w:val="20"/>
              </w:rPr>
            </w:pPr>
            <w:r w:rsidRPr="002B5FCA">
              <w:rPr>
                <w:rFonts w:ascii="Verdana" w:hAnsi="Verdana" w:cs="Arial"/>
                <w:sz w:val="20"/>
                <w:szCs w:val="20"/>
              </w:rPr>
              <w:t>A. Nacional. Sala de lo Social</w:t>
            </w:r>
          </w:p>
        </w:tc>
        <w:tc>
          <w:tcPr>
            <w:tcW w:w="1582" w:type="dxa"/>
            <w:tcBorders>
              <w:top w:val="nil"/>
              <w:left w:val="nil"/>
              <w:bottom w:val="single" w:sz="8" w:space="0" w:color="auto"/>
              <w:right w:val="nil"/>
            </w:tcBorders>
            <w:shd w:val="clear" w:color="auto" w:fill="auto"/>
            <w:noWrap/>
            <w:vAlign w:val="center"/>
            <w:hideMark/>
          </w:tcPr>
          <w:p w:rsidR="0005710B" w:rsidRPr="002B5FCA" w:rsidRDefault="0005710B" w:rsidP="0005710B">
            <w:pPr>
              <w:jc w:val="center"/>
              <w:rPr>
                <w:rFonts w:ascii="Verdana" w:hAnsi="Verdana" w:cs="Arial"/>
                <w:sz w:val="20"/>
                <w:szCs w:val="20"/>
              </w:rPr>
            </w:pPr>
            <w:r w:rsidRPr="002B5FCA">
              <w:rPr>
                <w:rFonts w:ascii="Verdana" w:hAnsi="Verdana" w:cs="Arial"/>
                <w:sz w:val="20"/>
                <w:szCs w:val="20"/>
              </w:rPr>
              <w:t>89,4</w:t>
            </w:r>
          </w:p>
        </w:tc>
        <w:tc>
          <w:tcPr>
            <w:tcW w:w="1373" w:type="dxa"/>
            <w:tcBorders>
              <w:top w:val="nil"/>
              <w:left w:val="nil"/>
              <w:bottom w:val="single" w:sz="8" w:space="0" w:color="auto"/>
              <w:right w:val="nil"/>
            </w:tcBorders>
            <w:shd w:val="clear" w:color="auto" w:fill="auto"/>
            <w:noWrap/>
            <w:vAlign w:val="center"/>
            <w:hideMark/>
          </w:tcPr>
          <w:p w:rsidR="0005710B" w:rsidRPr="002B5FCA" w:rsidRDefault="0005710B" w:rsidP="0005710B">
            <w:pPr>
              <w:jc w:val="center"/>
              <w:rPr>
                <w:rFonts w:ascii="Verdana" w:hAnsi="Verdana" w:cs="Arial"/>
                <w:sz w:val="20"/>
                <w:szCs w:val="20"/>
              </w:rPr>
            </w:pPr>
            <w:r w:rsidRPr="002B5FCA">
              <w:rPr>
                <w:rFonts w:ascii="Verdana" w:hAnsi="Verdana" w:cs="Arial"/>
                <w:sz w:val="20"/>
                <w:szCs w:val="20"/>
              </w:rPr>
              <w:t>4,3</w:t>
            </w:r>
          </w:p>
        </w:tc>
        <w:tc>
          <w:tcPr>
            <w:tcW w:w="1756" w:type="dxa"/>
            <w:tcBorders>
              <w:top w:val="nil"/>
              <w:left w:val="nil"/>
              <w:bottom w:val="single" w:sz="8" w:space="0" w:color="auto"/>
              <w:right w:val="nil"/>
            </w:tcBorders>
            <w:shd w:val="clear" w:color="auto" w:fill="auto"/>
            <w:noWrap/>
            <w:vAlign w:val="center"/>
            <w:hideMark/>
          </w:tcPr>
          <w:p w:rsidR="0005710B" w:rsidRPr="002B5FCA" w:rsidRDefault="0005710B" w:rsidP="0005710B">
            <w:pPr>
              <w:jc w:val="center"/>
              <w:rPr>
                <w:rFonts w:ascii="Verdana" w:hAnsi="Verdana" w:cs="Arial"/>
                <w:sz w:val="20"/>
                <w:szCs w:val="20"/>
              </w:rPr>
            </w:pPr>
            <w:r w:rsidRPr="002B5FCA">
              <w:rPr>
                <w:rFonts w:ascii="Verdana" w:hAnsi="Verdana" w:cs="Arial"/>
                <w:sz w:val="20"/>
                <w:szCs w:val="20"/>
              </w:rPr>
              <w:t>5,3</w:t>
            </w:r>
          </w:p>
        </w:tc>
        <w:tc>
          <w:tcPr>
            <w:tcW w:w="1320" w:type="dxa"/>
            <w:tcBorders>
              <w:top w:val="nil"/>
              <w:left w:val="nil"/>
              <w:bottom w:val="single" w:sz="8" w:space="0" w:color="auto"/>
              <w:right w:val="nil"/>
            </w:tcBorders>
            <w:shd w:val="clear" w:color="auto" w:fill="auto"/>
            <w:noWrap/>
            <w:vAlign w:val="center"/>
            <w:hideMark/>
          </w:tcPr>
          <w:p w:rsidR="0005710B" w:rsidRPr="002B5FCA" w:rsidRDefault="0005710B" w:rsidP="0005710B">
            <w:pPr>
              <w:jc w:val="center"/>
              <w:rPr>
                <w:rFonts w:ascii="Verdana" w:hAnsi="Verdana" w:cs="Arial"/>
                <w:sz w:val="20"/>
                <w:szCs w:val="20"/>
              </w:rPr>
            </w:pPr>
            <w:r w:rsidRPr="002B5FCA">
              <w:rPr>
                <w:rFonts w:ascii="Verdana" w:hAnsi="Verdana" w:cs="Arial"/>
                <w:sz w:val="20"/>
                <w:szCs w:val="20"/>
              </w:rPr>
              <w:t>1,1</w:t>
            </w:r>
          </w:p>
        </w:tc>
      </w:tr>
    </w:tbl>
    <w:p w:rsidR="001B4EE3" w:rsidRPr="002B5FCA" w:rsidRDefault="001B4EE3">
      <w:pPr>
        <w:pStyle w:val="Textoindependiente"/>
        <w:spacing w:before="120" w:after="120"/>
        <w:ind w:firstLine="357"/>
        <w:jc w:val="center"/>
        <w:rPr>
          <w:rFonts w:ascii="Verdana" w:hAnsi="Verdana"/>
          <w:sz w:val="20"/>
        </w:rPr>
      </w:pPr>
    </w:p>
    <w:p w:rsidR="00C071D7" w:rsidRDefault="00C071D7" w:rsidP="00C071D7">
      <w:pPr>
        <w:pStyle w:val="Textoindependiente"/>
        <w:spacing w:before="120" w:after="120"/>
        <w:ind w:firstLine="357"/>
        <w:rPr>
          <w:rFonts w:ascii="Verdana" w:hAnsi="Verdana"/>
          <w:sz w:val="20"/>
        </w:rPr>
      </w:pPr>
      <w:r w:rsidRPr="002B5FCA">
        <w:rPr>
          <w:rFonts w:ascii="Verdana" w:hAnsi="Verdana"/>
          <w:sz w:val="20"/>
        </w:rPr>
        <w:t xml:space="preserve">La estimación del </w:t>
      </w:r>
      <w:r w:rsidR="00A03F34" w:rsidRPr="002B5FCA">
        <w:rPr>
          <w:rFonts w:ascii="Verdana" w:hAnsi="Verdana"/>
          <w:sz w:val="20"/>
        </w:rPr>
        <w:t xml:space="preserve">porcentaje de sentencias </w:t>
      </w:r>
      <w:r w:rsidRPr="002B5FCA">
        <w:rPr>
          <w:rFonts w:ascii="Verdana" w:hAnsi="Verdana"/>
          <w:sz w:val="20"/>
        </w:rPr>
        <w:t>(y de sentenc</w:t>
      </w:r>
      <w:r w:rsidR="009E6C91" w:rsidRPr="002B5FCA">
        <w:rPr>
          <w:rFonts w:ascii="Verdana" w:hAnsi="Verdana"/>
          <w:sz w:val="20"/>
        </w:rPr>
        <w:t>ias y autos finales para los tribunales superiores de justicia</w:t>
      </w:r>
      <w:r w:rsidRPr="002B5FCA">
        <w:rPr>
          <w:rFonts w:ascii="Verdana" w:hAnsi="Verdana"/>
          <w:sz w:val="20"/>
        </w:rPr>
        <w:t xml:space="preserve"> y Sala Social de la </w:t>
      </w:r>
      <w:r w:rsidR="00A03F34" w:rsidRPr="002B5FCA">
        <w:rPr>
          <w:rFonts w:ascii="Verdana" w:hAnsi="Verdana"/>
          <w:sz w:val="20"/>
        </w:rPr>
        <w:t>A</w:t>
      </w:r>
      <w:r w:rsidRPr="002B5FCA">
        <w:rPr>
          <w:rFonts w:ascii="Verdana" w:hAnsi="Verdana"/>
          <w:sz w:val="20"/>
        </w:rPr>
        <w:t xml:space="preserve">udiencia </w:t>
      </w:r>
      <w:r w:rsidR="00A03F34" w:rsidRPr="002B5FCA">
        <w:rPr>
          <w:rFonts w:ascii="Verdana" w:hAnsi="Verdana"/>
          <w:sz w:val="20"/>
        </w:rPr>
        <w:t>N</w:t>
      </w:r>
      <w:r w:rsidRPr="002B5FCA">
        <w:rPr>
          <w:rFonts w:ascii="Verdana" w:hAnsi="Verdana"/>
          <w:sz w:val="20"/>
        </w:rPr>
        <w:t xml:space="preserve">acional) </w:t>
      </w:r>
      <w:r w:rsidR="00A03F34" w:rsidRPr="002B5FCA">
        <w:rPr>
          <w:rFonts w:ascii="Verdana" w:hAnsi="Verdana"/>
          <w:sz w:val="20"/>
        </w:rPr>
        <w:t xml:space="preserve">recurridas </w:t>
      </w:r>
      <w:r w:rsidR="00810BAC" w:rsidRPr="002B5FCA">
        <w:rPr>
          <w:rFonts w:ascii="Verdana" w:hAnsi="Verdana"/>
          <w:sz w:val="20"/>
        </w:rPr>
        <w:t>nos la ofrece el ratio entre recursos elevados y sentencias (y autos finales) dictadas</w:t>
      </w:r>
      <w:r w:rsidRPr="002B5FCA">
        <w:rPr>
          <w:rFonts w:ascii="Verdana" w:hAnsi="Verdana"/>
          <w:sz w:val="20"/>
        </w:rPr>
        <w:t>:</w:t>
      </w:r>
    </w:p>
    <w:p w:rsidR="00810BAC" w:rsidRDefault="00810BAC" w:rsidP="00C071D7">
      <w:pPr>
        <w:pStyle w:val="Textoindependiente"/>
        <w:spacing w:before="120" w:after="120"/>
        <w:ind w:firstLine="357"/>
        <w:rPr>
          <w:rFonts w:ascii="Verdana" w:hAnsi="Verdana"/>
          <w:sz w:val="20"/>
        </w:rPr>
      </w:pPr>
    </w:p>
    <w:p w:rsidR="00C30B74" w:rsidRPr="00810BAC" w:rsidRDefault="00C30B74" w:rsidP="00C071D7">
      <w:pPr>
        <w:pStyle w:val="Textoindependiente"/>
        <w:spacing w:before="120" w:after="120"/>
        <w:ind w:firstLine="357"/>
        <w:rPr>
          <w:rFonts w:ascii="Verdana" w:hAnsi="Verdana"/>
          <w:sz w:val="20"/>
        </w:rPr>
      </w:pPr>
    </w:p>
    <w:tbl>
      <w:tblPr>
        <w:tblW w:w="4874" w:type="dxa"/>
        <w:jc w:val="center"/>
        <w:tblInd w:w="55" w:type="dxa"/>
        <w:tblCellMar>
          <w:left w:w="70" w:type="dxa"/>
          <w:right w:w="70" w:type="dxa"/>
        </w:tblCellMar>
        <w:tblLook w:val="0000" w:firstRow="0" w:lastRow="0" w:firstColumn="0" w:lastColumn="0" w:noHBand="0" w:noVBand="0"/>
      </w:tblPr>
      <w:tblGrid>
        <w:gridCol w:w="3461"/>
        <w:gridCol w:w="1413"/>
      </w:tblGrid>
      <w:tr w:rsidR="00C071D7" w:rsidRPr="00810BAC" w:rsidTr="009E6C91">
        <w:trPr>
          <w:trHeight w:val="865"/>
          <w:jc w:val="center"/>
        </w:trPr>
        <w:tc>
          <w:tcPr>
            <w:tcW w:w="3461" w:type="dxa"/>
            <w:tcBorders>
              <w:top w:val="nil"/>
              <w:left w:val="nil"/>
              <w:bottom w:val="single" w:sz="8" w:space="0" w:color="auto"/>
              <w:right w:val="nil"/>
            </w:tcBorders>
            <w:shd w:val="clear" w:color="auto" w:fill="auto"/>
            <w:noWrap/>
            <w:vAlign w:val="bottom"/>
          </w:tcPr>
          <w:p w:rsidR="00C071D7" w:rsidRPr="00810BAC" w:rsidRDefault="00C071D7">
            <w:pPr>
              <w:rPr>
                <w:rFonts w:ascii="Verdana" w:hAnsi="Verdana" w:cs="Arial"/>
                <w:sz w:val="20"/>
                <w:szCs w:val="20"/>
              </w:rPr>
            </w:pPr>
            <w:bookmarkStart w:id="11" w:name="OLE_LINK8"/>
            <w:bookmarkStart w:id="12" w:name="OLE_LINK9"/>
          </w:p>
        </w:tc>
        <w:tc>
          <w:tcPr>
            <w:tcW w:w="1413" w:type="dxa"/>
            <w:tcBorders>
              <w:top w:val="single" w:sz="8" w:space="0" w:color="auto"/>
              <w:left w:val="nil"/>
              <w:bottom w:val="single" w:sz="8" w:space="0" w:color="auto"/>
              <w:right w:val="nil"/>
            </w:tcBorders>
            <w:shd w:val="clear" w:color="auto" w:fill="auto"/>
            <w:vAlign w:val="bottom"/>
          </w:tcPr>
          <w:p w:rsidR="00C071D7" w:rsidRPr="00810BAC" w:rsidRDefault="00C071D7">
            <w:pPr>
              <w:jc w:val="center"/>
              <w:rPr>
                <w:rFonts w:ascii="Verdana" w:hAnsi="Verdana" w:cs="Arial"/>
                <w:b/>
                <w:bCs/>
                <w:color w:val="000080"/>
                <w:sz w:val="20"/>
                <w:szCs w:val="20"/>
              </w:rPr>
            </w:pPr>
            <w:r w:rsidRPr="00810BAC">
              <w:rPr>
                <w:rFonts w:ascii="Verdana" w:hAnsi="Verdana" w:cs="Arial"/>
                <w:b/>
                <w:bCs/>
                <w:color w:val="000080"/>
                <w:sz w:val="20"/>
                <w:szCs w:val="20"/>
              </w:rPr>
              <w:t>Recursos elevados / sentencias dictadas</w:t>
            </w:r>
          </w:p>
        </w:tc>
      </w:tr>
      <w:tr w:rsidR="00C071D7" w:rsidRPr="00810BAC" w:rsidTr="009E6C91">
        <w:trPr>
          <w:trHeight w:val="213"/>
          <w:jc w:val="center"/>
        </w:trPr>
        <w:tc>
          <w:tcPr>
            <w:tcW w:w="3461" w:type="dxa"/>
            <w:tcBorders>
              <w:top w:val="single" w:sz="8" w:space="0" w:color="auto"/>
              <w:left w:val="nil"/>
              <w:bottom w:val="nil"/>
              <w:right w:val="nil"/>
            </w:tcBorders>
            <w:shd w:val="clear" w:color="auto" w:fill="auto"/>
            <w:vAlign w:val="bottom"/>
          </w:tcPr>
          <w:p w:rsidR="00C071D7" w:rsidRPr="00810BAC" w:rsidRDefault="00C071D7">
            <w:pPr>
              <w:rPr>
                <w:rFonts w:ascii="Verdana" w:hAnsi="Verdana" w:cs="Arial"/>
                <w:sz w:val="20"/>
                <w:szCs w:val="20"/>
              </w:rPr>
            </w:pPr>
            <w:r w:rsidRPr="00810BAC">
              <w:rPr>
                <w:rFonts w:ascii="Verdana" w:hAnsi="Verdana" w:cs="Arial"/>
                <w:sz w:val="20"/>
                <w:szCs w:val="20"/>
              </w:rPr>
              <w:t xml:space="preserve">Jdos. Social              </w:t>
            </w:r>
          </w:p>
        </w:tc>
        <w:tc>
          <w:tcPr>
            <w:tcW w:w="1413" w:type="dxa"/>
            <w:tcBorders>
              <w:top w:val="single" w:sz="8" w:space="0" w:color="auto"/>
              <w:left w:val="nil"/>
              <w:bottom w:val="nil"/>
              <w:right w:val="nil"/>
            </w:tcBorders>
            <w:shd w:val="clear" w:color="auto" w:fill="auto"/>
            <w:noWrap/>
            <w:vAlign w:val="bottom"/>
          </w:tcPr>
          <w:p w:rsidR="00C071D7" w:rsidRPr="002B5FCA" w:rsidRDefault="0005710B" w:rsidP="0005710B">
            <w:pPr>
              <w:jc w:val="right"/>
              <w:rPr>
                <w:rFonts w:ascii="Verdana" w:hAnsi="Verdana" w:cs="Arial"/>
                <w:sz w:val="20"/>
                <w:szCs w:val="20"/>
              </w:rPr>
            </w:pPr>
            <w:r w:rsidRPr="002B5FCA">
              <w:rPr>
                <w:rFonts w:ascii="Verdana" w:hAnsi="Verdana" w:cs="Calibri"/>
                <w:sz w:val="18"/>
                <w:szCs w:val="18"/>
              </w:rPr>
              <w:t>31</w:t>
            </w:r>
            <w:r w:rsidR="006967B9" w:rsidRPr="002B5FCA">
              <w:rPr>
                <w:rFonts w:ascii="Verdana" w:hAnsi="Verdana" w:cs="Calibri"/>
                <w:sz w:val="18"/>
                <w:szCs w:val="18"/>
              </w:rPr>
              <w:t>,</w:t>
            </w:r>
            <w:r w:rsidRPr="002B5FCA">
              <w:rPr>
                <w:rFonts w:ascii="Verdana" w:hAnsi="Verdana" w:cs="Calibri"/>
                <w:sz w:val="18"/>
                <w:szCs w:val="18"/>
              </w:rPr>
              <w:t>5</w:t>
            </w:r>
          </w:p>
        </w:tc>
      </w:tr>
      <w:tr w:rsidR="006967B9" w:rsidRPr="00810BAC" w:rsidTr="00CE0563">
        <w:trPr>
          <w:trHeight w:val="238"/>
          <w:jc w:val="center"/>
        </w:trPr>
        <w:tc>
          <w:tcPr>
            <w:tcW w:w="3461" w:type="dxa"/>
            <w:tcBorders>
              <w:top w:val="nil"/>
              <w:left w:val="nil"/>
              <w:bottom w:val="nil"/>
              <w:right w:val="nil"/>
            </w:tcBorders>
            <w:shd w:val="clear" w:color="auto" w:fill="auto"/>
            <w:vAlign w:val="bottom"/>
          </w:tcPr>
          <w:p w:rsidR="006967B9" w:rsidRPr="00810BAC" w:rsidRDefault="006967B9">
            <w:pPr>
              <w:rPr>
                <w:rFonts w:ascii="Verdana" w:hAnsi="Verdana" w:cs="Arial"/>
                <w:sz w:val="20"/>
                <w:szCs w:val="20"/>
              </w:rPr>
            </w:pPr>
            <w:r w:rsidRPr="00810BAC">
              <w:rPr>
                <w:rFonts w:ascii="Verdana" w:hAnsi="Verdana" w:cs="Arial"/>
                <w:sz w:val="20"/>
                <w:szCs w:val="20"/>
              </w:rPr>
              <w:t xml:space="preserve">A. Nacional Sala Social </w:t>
            </w:r>
          </w:p>
        </w:tc>
        <w:tc>
          <w:tcPr>
            <w:tcW w:w="1413" w:type="dxa"/>
            <w:tcBorders>
              <w:top w:val="nil"/>
              <w:left w:val="nil"/>
              <w:bottom w:val="nil"/>
              <w:right w:val="nil"/>
            </w:tcBorders>
            <w:shd w:val="clear" w:color="auto" w:fill="auto"/>
            <w:noWrap/>
            <w:vAlign w:val="center"/>
          </w:tcPr>
          <w:p w:rsidR="006967B9" w:rsidRPr="002B5FCA" w:rsidRDefault="0005710B" w:rsidP="0005710B">
            <w:pPr>
              <w:jc w:val="right"/>
              <w:rPr>
                <w:rFonts w:ascii="Verdana" w:hAnsi="Verdana" w:cs="Calibri"/>
                <w:sz w:val="18"/>
                <w:szCs w:val="18"/>
                <w:lang w:val="es-ES"/>
              </w:rPr>
            </w:pPr>
            <w:r w:rsidRPr="002B5FCA">
              <w:rPr>
                <w:rFonts w:ascii="Verdana" w:hAnsi="Verdana" w:cs="Calibri"/>
                <w:sz w:val="18"/>
                <w:szCs w:val="18"/>
              </w:rPr>
              <w:t>81</w:t>
            </w:r>
            <w:r w:rsidR="00C30B74" w:rsidRPr="002B5FCA">
              <w:rPr>
                <w:rFonts w:ascii="Verdana" w:hAnsi="Verdana" w:cs="Calibri"/>
                <w:sz w:val="18"/>
                <w:szCs w:val="18"/>
              </w:rPr>
              <w:t>,</w:t>
            </w:r>
            <w:r w:rsidRPr="002B5FCA">
              <w:rPr>
                <w:rFonts w:ascii="Verdana" w:hAnsi="Verdana" w:cs="Calibri"/>
                <w:sz w:val="18"/>
                <w:szCs w:val="18"/>
              </w:rPr>
              <w:t>4</w:t>
            </w:r>
          </w:p>
        </w:tc>
      </w:tr>
      <w:tr w:rsidR="006967B9" w:rsidRPr="00CE214A" w:rsidTr="00CE0563">
        <w:trPr>
          <w:trHeight w:val="251"/>
          <w:jc w:val="center"/>
        </w:trPr>
        <w:tc>
          <w:tcPr>
            <w:tcW w:w="3461" w:type="dxa"/>
            <w:tcBorders>
              <w:top w:val="nil"/>
              <w:left w:val="nil"/>
              <w:bottom w:val="single" w:sz="8" w:space="0" w:color="auto"/>
              <w:right w:val="nil"/>
            </w:tcBorders>
            <w:shd w:val="clear" w:color="auto" w:fill="auto"/>
            <w:vAlign w:val="bottom"/>
          </w:tcPr>
          <w:p w:rsidR="006967B9" w:rsidRPr="00810BAC" w:rsidRDefault="006967B9">
            <w:pPr>
              <w:rPr>
                <w:rFonts w:ascii="Verdana" w:hAnsi="Verdana" w:cs="Arial"/>
                <w:sz w:val="20"/>
                <w:szCs w:val="20"/>
              </w:rPr>
            </w:pPr>
            <w:r w:rsidRPr="00810BAC">
              <w:rPr>
                <w:rFonts w:ascii="Verdana" w:hAnsi="Verdana" w:cs="Arial"/>
                <w:sz w:val="20"/>
                <w:szCs w:val="20"/>
              </w:rPr>
              <w:t xml:space="preserve">T.S.J. Sala Social </w:t>
            </w:r>
          </w:p>
        </w:tc>
        <w:tc>
          <w:tcPr>
            <w:tcW w:w="1413" w:type="dxa"/>
            <w:tcBorders>
              <w:top w:val="nil"/>
              <w:left w:val="nil"/>
              <w:bottom w:val="single" w:sz="8" w:space="0" w:color="auto"/>
              <w:right w:val="nil"/>
            </w:tcBorders>
            <w:shd w:val="clear" w:color="auto" w:fill="auto"/>
            <w:noWrap/>
            <w:vAlign w:val="center"/>
          </w:tcPr>
          <w:p w:rsidR="006967B9" w:rsidRPr="002B5FCA" w:rsidRDefault="0005710B" w:rsidP="0005710B">
            <w:pPr>
              <w:jc w:val="right"/>
              <w:rPr>
                <w:rFonts w:ascii="Verdana" w:hAnsi="Verdana" w:cs="Calibri"/>
                <w:sz w:val="18"/>
                <w:szCs w:val="18"/>
                <w:lang w:val="es-ES"/>
              </w:rPr>
            </w:pPr>
            <w:r w:rsidRPr="002B5FCA">
              <w:rPr>
                <w:rFonts w:ascii="Verdana" w:hAnsi="Verdana" w:cs="Calibri"/>
                <w:sz w:val="18"/>
                <w:szCs w:val="18"/>
                <w:lang w:val="es-ES"/>
              </w:rPr>
              <w:t>9</w:t>
            </w:r>
            <w:r w:rsidR="006967B9" w:rsidRPr="002B5FCA">
              <w:rPr>
                <w:rFonts w:ascii="Verdana" w:hAnsi="Verdana" w:cs="Calibri"/>
                <w:sz w:val="18"/>
                <w:szCs w:val="18"/>
                <w:lang w:val="es-ES"/>
              </w:rPr>
              <w:t>,</w:t>
            </w:r>
            <w:r w:rsidRPr="002B5FCA">
              <w:rPr>
                <w:rFonts w:ascii="Verdana" w:hAnsi="Verdana" w:cs="Calibri"/>
                <w:sz w:val="18"/>
                <w:szCs w:val="18"/>
                <w:lang w:val="es-ES"/>
              </w:rPr>
              <w:t>2</w:t>
            </w:r>
          </w:p>
        </w:tc>
      </w:tr>
      <w:bookmarkEnd w:id="11"/>
      <w:bookmarkEnd w:id="12"/>
    </w:tbl>
    <w:p w:rsidR="002B21AB" w:rsidRPr="00CE214A" w:rsidRDefault="002B21AB" w:rsidP="003C2AEE">
      <w:pPr>
        <w:pStyle w:val="Textoindependiente"/>
        <w:spacing w:before="120" w:after="120"/>
        <w:ind w:firstLine="357"/>
        <w:rPr>
          <w:rFonts w:ascii="Verdana" w:hAnsi="Verdana"/>
          <w:sz w:val="20"/>
        </w:rPr>
      </w:pPr>
    </w:p>
    <w:p w:rsidR="00C30B74" w:rsidRPr="002B5FCA" w:rsidRDefault="007B1BD0" w:rsidP="003C2AEE">
      <w:pPr>
        <w:pStyle w:val="Textoindependiente"/>
        <w:spacing w:before="120" w:after="120"/>
        <w:ind w:firstLine="357"/>
        <w:rPr>
          <w:rFonts w:ascii="Verdana" w:hAnsi="Verdana"/>
          <w:sz w:val="20"/>
        </w:rPr>
      </w:pPr>
      <w:r w:rsidRPr="002B5FCA">
        <w:rPr>
          <w:rFonts w:ascii="Verdana" w:hAnsi="Verdana"/>
          <w:sz w:val="20"/>
        </w:rPr>
        <w:lastRenderedPageBreak/>
        <w:t xml:space="preserve">En los juzgados de lo social, el ratio recursos elevados/sentencias dictadas se ha incrementado en un </w:t>
      </w:r>
      <w:r w:rsidR="0005710B" w:rsidRPr="002B5FCA">
        <w:rPr>
          <w:rFonts w:ascii="Verdana" w:hAnsi="Verdana"/>
          <w:sz w:val="20"/>
        </w:rPr>
        <w:t>7</w:t>
      </w:r>
      <w:r w:rsidRPr="002B5FCA">
        <w:rPr>
          <w:rFonts w:ascii="Verdana" w:hAnsi="Verdana"/>
          <w:sz w:val="20"/>
        </w:rPr>
        <w:t>,</w:t>
      </w:r>
      <w:r w:rsidR="0005710B" w:rsidRPr="002B5FCA">
        <w:rPr>
          <w:rFonts w:ascii="Verdana" w:hAnsi="Verdana"/>
          <w:sz w:val="20"/>
        </w:rPr>
        <w:t>8</w:t>
      </w:r>
      <w:r w:rsidRPr="002B5FCA">
        <w:rPr>
          <w:rFonts w:ascii="Verdana" w:hAnsi="Verdana"/>
          <w:sz w:val="20"/>
        </w:rPr>
        <w:t>% respecto a 201</w:t>
      </w:r>
      <w:r w:rsidR="0005710B" w:rsidRPr="002B5FCA">
        <w:rPr>
          <w:rFonts w:ascii="Verdana" w:hAnsi="Verdana"/>
          <w:sz w:val="20"/>
        </w:rPr>
        <w:t>6</w:t>
      </w:r>
      <w:r w:rsidRPr="002B5FCA">
        <w:rPr>
          <w:rFonts w:ascii="Verdana" w:hAnsi="Verdana"/>
          <w:sz w:val="20"/>
        </w:rPr>
        <w:t xml:space="preserve">; </w:t>
      </w:r>
      <w:r w:rsidR="006858CF" w:rsidRPr="002B5FCA">
        <w:rPr>
          <w:rFonts w:ascii="Verdana" w:hAnsi="Verdana"/>
          <w:sz w:val="20"/>
        </w:rPr>
        <w:t xml:space="preserve">en las salas de los TSJ </w:t>
      </w:r>
      <w:r w:rsidR="0005710B" w:rsidRPr="002B5FCA">
        <w:rPr>
          <w:rFonts w:ascii="Verdana" w:hAnsi="Verdana"/>
          <w:sz w:val="20"/>
        </w:rPr>
        <w:t>un</w:t>
      </w:r>
      <w:r w:rsidRPr="002B5FCA">
        <w:rPr>
          <w:rFonts w:ascii="Verdana" w:hAnsi="Verdana"/>
          <w:sz w:val="20"/>
        </w:rPr>
        <w:t xml:space="preserve"> </w:t>
      </w:r>
      <w:r w:rsidR="0005710B" w:rsidRPr="002B5FCA">
        <w:rPr>
          <w:rFonts w:ascii="Verdana" w:hAnsi="Verdana"/>
          <w:sz w:val="20"/>
        </w:rPr>
        <w:t>10,9</w:t>
      </w:r>
      <w:r w:rsidRPr="002B5FCA">
        <w:rPr>
          <w:rFonts w:ascii="Verdana" w:hAnsi="Verdana"/>
          <w:sz w:val="20"/>
        </w:rPr>
        <w:t xml:space="preserve">% % </w:t>
      </w:r>
      <w:r w:rsidR="006858CF" w:rsidRPr="002B5FCA">
        <w:rPr>
          <w:rFonts w:ascii="Verdana" w:hAnsi="Verdana"/>
          <w:sz w:val="20"/>
        </w:rPr>
        <w:t xml:space="preserve">y en la Sala de la Audiencia Nacional ha </w:t>
      </w:r>
      <w:r w:rsidR="0005710B" w:rsidRPr="002B5FCA">
        <w:rPr>
          <w:rFonts w:ascii="Verdana" w:hAnsi="Verdana"/>
          <w:sz w:val="20"/>
        </w:rPr>
        <w:t>disminuido un 12,5%.</w:t>
      </w:r>
    </w:p>
    <w:p w:rsidR="002D645C" w:rsidRPr="002B5FCA" w:rsidRDefault="003C2AEE" w:rsidP="003C2AEE">
      <w:pPr>
        <w:pStyle w:val="Textoindependiente"/>
        <w:spacing w:before="120" w:after="120"/>
        <w:ind w:firstLine="357"/>
        <w:rPr>
          <w:rFonts w:ascii="Verdana" w:hAnsi="Verdana"/>
          <w:sz w:val="20"/>
        </w:rPr>
      </w:pPr>
      <w:r w:rsidRPr="002B5FCA">
        <w:rPr>
          <w:rFonts w:ascii="Verdana" w:hAnsi="Verdana"/>
          <w:sz w:val="20"/>
        </w:rPr>
        <w:t xml:space="preserve">En los </w:t>
      </w:r>
      <w:r w:rsidR="009E6C91" w:rsidRPr="002B5FCA">
        <w:rPr>
          <w:rFonts w:ascii="Verdana" w:hAnsi="Verdana"/>
          <w:sz w:val="20"/>
        </w:rPr>
        <w:t>j</w:t>
      </w:r>
      <w:r w:rsidRPr="002B5FCA">
        <w:rPr>
          <w:rFonts w:ascii="Verdana" w:hAnsi="Verdana"/>
          <w:sz w:val="20"/>
        </w:rPr>
        <w:t xml:space="preserve">uzgados de lo </w:t>
      </w:r>
      <w:r w:rsidR="009E6C91" w:rsidRPr="002B5FCA">
        <w:rPr>
          <w:rFonts w:ascii="Verdana" w:hAnsi="Verdana"/>
          <w:sz w:val="20"/>
        </w:rPr>
        <w:t>s</w:t>
      </w:r>
      <w:r w:rsidRPr="002B5FCA">
        <w:rPr>
          <w:rFonts w:ascii="Verdana" w:hAnsi="Verdana"/>
          <w:sz w:val="20"/>
        </w:rPr>
        <w:t xml:space="preserve">ocial, en el </w:t>
      </w:r>
      <w:r w:rsidR="0066342B" w:rsidRPr="002B5FCA">
        <w:rPr>
          <w:rFonts w:ascii="Verdana" w:hAnsi="Verdana"/>
          <w:sz w:val="20"/>
        </w:rPr>
        <w:t>7</w:t>
      </w:r>
      <w:r w:rsidR="007D3C87" w:rsidRPr="002B5FCA">
        <w:rPr>
          <w:rFonts w:ascii="Verdana" w:hAnsi="Verdana"/>
          <w:sz w:val="20"/>
        </w:rPr>
        <w:t>7</w:t>
      </w:r>
      <w:r w:rsidR="0066342B" w:rsidRPr="002B5FCA">
        <w:rPr>
          <w:rFonts w:ascii="Verdana" w:hAnsi="Verdana"/>
          <w:sz w:val="20"/>
        </w:rPr>
        <w:t>,</w:t>
      </w:r>
      <w:r w:rsidR="00AA7CBD" w:rsidRPr="002B5FCA">
        <w:rPr>
          <w:rFonts w:ascii="Verdana" w:hAnsi="Verdana"/>
          <w:sz w:val="20"/>
        </w:rPr>
        <w:t>6</w:t>
      </w:r>
      <w:r w:rsidRPr="002B5FCA">
        <w:rPr>
          <w:rFonts w:ascii="Verdana" w:hAnsi="Verdana"/>
          <w:sz w:val="20"/>
        </w:rPr>
        <w:t xml:space="preserve">% de los de recursos de revisión contra decretos se ha producido la confirmación.  </w:t>
      </w:r>
    </w:p>
    <w:p w:rsidR="00DB0830" w:rsidRPr="002B5FCA" w:rsidRDefault="00DB0830" w:rsidP="003C2AEE">
      <w:pPr>
        <w:pStyle w:val="Textoindependiente"/>
        <w:spacing w:before="120" w:after="120"/>
        <w:ind w:firstLine="357"/>
        <w:rPr>
          <w:rFonts w:ascii="Verdana" w:hAnsi="Verdana"/>
          <w:sz w:val="20"/>
        </w:rPr>
      </w:pPr>
    </w:p>
    <w:tbl>
      <w:tblPr>
        <w:tblW w:w="5520" w:type="dxa"/>
        <w:jc w:val="center"/>
        <w:tblInd w:w="55" w:type="dxa"/>
        <w:tblCellMar>
          <w:left w:w="70" w:type="dxa"/>
          <w:right w:w="70" w:type="dxa"/>
        </w:tblCellMar>
        <w:tblLook w:val="0000" w:firstRow="0" w:lastRow="0" w:firstColumn="0" w:lastColumn="0" w:noHBand="0" w:noVBand="0"/>
      </w:tblPr>
      <w:tblGrid>
        <w:gridCol w:w="2980"/>
        <w:gridCol w:w="1414"/>
        <w:gridCol w:w="1248"/>
      </w:tblGrid>
      <w:tr w:rsidR="00DB0830" w:rsidRPr="002B5FCA" w:rsidTr="00DB0830">
        <w:trPr>
          <w:trHeight w:val="1215"/>
          <w:jc w:val="center"/>
        </w:trPr>
        <w:tc>
          <w:tcPr>
            <w:tcW w:w="2980" w:type="dxa"/>
            <w:tcBorders>
              <w:top w:val="nil"/>
              <w:left w:val="nil"/>
              <w:bottom w:val="nil"/>
              <w:right w:val="nil"/>
            </w:tcBorders>
            <w:shd w:val="clear" w:color="auto" w:fill="auto"/>
            <w:noWrap/>
            <w:vAlign w:val="bottom"/>
          </w:tcPr>
          <w:p w:rsidR="00DB0830" w:rsidRPr="002B5FCA" w:rsidRDefault="00DB0830">
            <w:pPr>
              <w:rPr>
                <w:rFonts w:ascii="Verdana" w:hAnsi="Verdana"/>
                <w:sz w:val="16"/>
                <w:szCs w:val="16"/>
              </w:rPr>
            </w:pPr>
          </w:p>
        </w:tc>
        <w:tc>
          <w:tcPr>
            <w:tcW w:w="1300" w:type="dxa"/>
            <w:tcBorders>
              <w:top w:val="single" w:sz="8" w:space="0" w:color="auto"/>
              <w:left w:val="nil"/>
              <w:bottom w:val="single" w:sz="8" w:space="0" w:color="auto"/>
              <w:right w:val="nil"/>
            </w:tcBorders>
            <w:shd w:val="clear" w:color="auto" w:fill="auto"/>
            <w:vAlign w:val="center"/>
          </w:tcPr>
          <w:p w:rsidR="00DB0830" w:rsidRPr="002B5FCA" w:rsidRDefault="00DB0830">
            <w:pPr>
              <w:jc w:val="center"/>
              <w:rPr>
                <w:rFonts w:ascii="Verdana" w:hAnsi="Verdana" w:cs="Arial"/>
                <w:b/>
                <w:bCs/>
                <w:color w:val="000080"/>
                <w:sz w:val="18"/>
                <w:szCs w:val="18"/>
              </w:rPr>
            </w:pPr>
            <w:r w:rsidRPr="002B5FCA">
              <w:rPr>
                <w:rFonts w:ascii="Verdana" w:hAnsi="Verdana" w:cs="Arial"/>
                <w:b/>
                <w:bCs/>
                <w:color w:val="000080"/>
                <w:sz w:val="18"/>
                <w:szCs w:val="18"/>
              </w:rPr>
              <w:t>Porcentaje de recursos de revisión devueltos confirmando</w:t>
            </w:r>
          </w:p>
        </w:tc>
        <w:tc>
          <w:tcPr>
            <w:tcW w:w="1240" w:type="dxa"/>
            <w:tcBorders>
              <w:top w:val="single" w:sz="8" w:space="0" w:color="auto"/>
              <w:left w:val="nil"/>
              <w:bottom w:val="single" w:sz="8" w:space="0" w:color="auto"/>
              <w:right w:val="nil"/>
            </w:tcBorders>
            <w:shd w:val="clear" w:color="auto" w:fill="auto"/>
            <w:vAlign w:val="center"/>
          </w:tcPr>
          <w:p w:rsidR="00DB0830" w:rsidRPr="002B5FCA" w:rsidRDefault="00DB0830">
            <w:pPr>
              <w:jc w:val="center"/>
              <w:rPr>
                <w:rFonts w:ascii="Verdana" w:hAnsi="Verdana" w:cs="Arial"/>
                <w:b/>
                <w:bCs/>
                <w:color w:val="000080"/>
                <w:sz w:val="18"/>
                <w:szCs w:val="18"/>
              </w:rPr>
            </w:pPr>
            <w:r w:rsidRPr="002B5FCA">
              <w:rPr>
                <w:rFonts w:ascii="Verdana" w:hAnsi="Verdana" w:cs="Arial"/>
                <w:b/>
                <w:bCs/>
                <w:color w:val="000080"/>
                <w:sz w:val="18"/>
                <w:szCs w:val="18"/>
              </w:rPr>
              <w:t>Recursos de revisión ingresados / decretos finales</w:t>
            </w:r>
          </w:p>
        </w:tc>
      </w:tr>
      <w:tr w:rsidR="00DB0830" w:rsidRPr="002B5FCA" w:rsidTr="00DB0830">
        <w:trPr>
          <w:trHeight w:val="255"/>
          <w:jc w:val="center"/>
        </w:trPr>
        <w:tc>
          <w:tcPr>
            <w:tcW w:w="2980" w:type="dxa"/>
            <w:tcBorders>
              <w:top w:val="single" w:sz="8" w:space="0" w:color="000080"/>
              <w:left w:val="nil"/>
              <w:bottom w:val="nil"/>
              <w:right w:val="nil"/>
            </w:tcBorders>
            <w:shd w:val="clear" w:color="auto" w:fill="auto"/>
            <w:noWrap/>
            <w:vAlign w:val="bottom"/>
          </w:tcPr>
          <w:p w:rsidR="00DB0830" w:rsidRPr="002B5FCA" w:rsidRDefault="00DB0830">
            <w:pPr>
              <w:rPr>
                <w:rFonts w:ascii="Verdana" w:hAnsi="Verdana" w:cs="Arial"/>
                <w:sz w:val="20"/>
                <w:szCs w:val="20"/>
              </w:rPr>
            </w:pPr>
            <w:r w:rsidRPr="002B5FCA">
              <w:rPr>
                <w:rFonts w:ascii="Verdana" w:hAnsi="Verdana" w:cs="Arial"/>
                <w:sz w:val="20"/>
                <w:szCs w:val="20"/>
              </w:rPr>
              <w:t xml:space="preserve">Jdos. de lo Social                              </w:t>
            </w:r>
          </w:p>
        </w:tc>
        <w:tc>
          <w:tcPr>
            <w:tcW w:w="1300" w:type="dxa"/>
            <w:tcBorders>
              <w:top w:val="nil"/>
              <w:left w:val="nil"/>
              <w:bottom w:val="nil"/>
              <w:right w:val="nil"/>
            </w:tcBorders>
            <w:shd w:val="clear" w:color="auto" w:fill="auto"/>
            <w:noWrap/>
            <w:vAlign w:val="bottom"/>
          </w:tcPr>
          <w:p w:rsidR="00DB0830" w:rsidRPr="002B5FCA" w:rsidRDefault="00D01CD1" w:rsidP="007D3C87">
            <w:pPr>
              <w:jc w:val="right"/>
              <w:rPr>
                <w:rFonts w:ascii="Verdana" w:hAnsi="Verdana" w:cs="Arial"/>
                <w:sz w:val="20"/>
                <w:szCs w:val="20"/>
              </w:rPr>
            </w:pPr>
            <w:r w:rsidRPr="002B5FCA">
              <w:rPr>
                <w:rFonts w:ascii="Verdana" w:hAnsi="Verdana" w:cs="Arial"/>
                <w:sz w:val="20"/>
                <w:szCs w:val="20"/>
              </w:rPr>
              <w:t>7</w:t>
            </w:r>
            <w:r w:rsidR="007D3C87" w:rsidRPr="002B5FCA">
              <w:rPr>
                <w:rFonts w:ascii="Verdana" w:hAnsi="Verdana" w:cs="Arial"/>
                <w:sz w:val="20"/>
                <w:szCs w:val="20"/>
              </w:rPr>
              <w:t>7</w:t>
            </w:r>
            <w:r w:rsidR="00DB0830" w:rsidRPr="002B5FCA">
              <w:rPr>
                <w:rFonts w:ascii="Verdana" w:hAnsi="Verdana" w:cs="Arial"/>
                <w:sz w:val="20"/>
                <w:szCs w:val="20"/>
              </w:rPr>
              <w:t>,</w:t>
            </w:r>
            <w:r w:rsidR="00AA7CBD" w:rsidRPr="002B5FCA">
              <w:rPr>
                <w:rFonts w:ascii="Verdana" w:hAnsi="Verdana" w:cs="Arial"/>
                <w:sz w:val="20"/>
                <w:szCs w:val="20"/>
              </w:rPr>
              <w:t>6</w:t>
            </w:r>
            <w:r w:rsidR="00DB0830" w:rsidRPr="002B5FCA">
              <w:rPr>
                <w:rFonts w:ascii="Verdana" w:hAnsi="Verdana" w:cs="Arial"/>
                <w:sz w:val="20"/>
                <w:szCs w:val="20"/>
              </w:rPr>
              <w:t>%</w:t>
            </w:r>
          </w:p>
        </w:tc>
        <w:tc>
          <w:tcPr>
            <w:tcW w:w="1240" w:type="dxa"/>
            <w:tcBorders>
              <w:top w:val="nil"/>
              <w:left w:val="nil"/>
              <w:bottom w:val="nil"/>
              <w:right w:val="nil"/>
            </w:tcBorders>
            <w:shd w:val="clear" w:color="auto" w:fill="auto"/>
            <w:noWrap/>
            <w:vAlign w:val="bottom"/>
          </w:tcPr>
          <w:p w:rsidR="00DB0830" w:rsidRPr="002B5FCA" w:rsidRDefault="00DB0830" w:rsidP="007D3C87">
            <w:pPr>
              <w:jc w:val="right"/>
              <w:rPr>
                <w:rFonts w:ascii="Verdana" w:hAnsi="Verdana" w:cs="Arial"/>
                <w:sz w:val="20"/>
                <w:szCs w:val="20"/>
              </w:rPr>
            </w:pPr>
            <w:r w:rsidRPr="002B5FCA">
              <w:rPr>
                <w:rFonts w:ascii="Verdana" w:hAnsi="Verdana" w:cs="Arial"/>
                <w:sz w:val="20"/>
                <w:szCs w:val="20"/>
              </w:rPr>
              <w:t>0,</w:t>
            </w:r>
            <w:r w:rsidR="007D3C87" w:rsidRPr="002B5FCA">
              <w:rPr>
                <w:rFonts w:ascii="Verdana" w:hAnsi="Verdana" w:cs="Arial"/>
                <w:sz w:val="20"/>
                <w:szCs w:val="20"/>
              </w:rPr>
              <w:t>7</w:t>
            </w:r>
            <w:r w:rsidRPr="002B5FCA">
              <w:rPr>
                <w:rFonts w:ascii="Verdana" w:hAnsi="Verdana" w:cs="Arial"/>
                <w:sz w:val="20"/>
                <w:szCs w:val="20"/>
              </w:rPr>
              <w:t>%</w:t>
            </w:r>
          </w:p>
        </w:tc>
      </w:tr>
      <w:tr w:rsidR="00DB0830" w:rsidRPr="002B5FCA" w:rsidTr="00DB0830">
        <w:trPr>
          <w:trHeight w:val="255"/>
          <w:jc w:val="center"/>
        </w:trPr>
        <w:tc>
          <w:tcPr>
            <w:tcW w:w="2980" w:type="dxa"/>
            <w:tcBorders>
              <w:top w:val="nil"/>
              <w:left w:val="nil"/>
              <w:bottom w:val="nil"/>
              <w:right w:val="nil"/>
            </w:tcBorders>
            <w:shd w:val="clear" w:color="auto" w:fill="auto"/>
            <w:noWrap/>
            <w:vAlign w:val="bottom"/>
          </w:tcPr>
          <w:p w:rsidR="00DB0830" w:rsidRPr="002B5FCA" w:rsidRDefault="00DB0830">
            <w:pPr>
              <w:rPr>
                <w:rFonts w:ascii="Verdana" w:hAnsi="Verdana" w:cs="Arial"/>
                <w:sz w:val="20"/>
                <w:szCs w:val="20"/>
              </w:rPr>
            </w:pPr>
            <w:r w:rsidRPr="002B5FCA">
              <w:rPr>
                <w:rFonts w:ascii="Verdana" w:hAnsi="Verdana" w:cs="Arial"/>
                <w:sz w:val="20"/>
                <w:szCs w:val="20"/>
              </w:rPr>
              <w:t xml:space="preserve">T.S.J. Sala Social         </w:t>
            </w:r>
          </w:p>
        </w:tc>
        <w:tc>
          <w:tcPr>
            <w:tcW w:w="1300" w:type="dxa"/>
            <w:tcBorders>
              <w:top w:val="nil"/>
              <w:left w:val="nil"/>
              <w:bottom w:val="nil"/>
              <w:right w:val="nil"/>
            </w:tcBorders>
            <w:shd w:val="clear" w:color="auto" w:fill="auto"/>
            <w:noWrap/>
            <w:vAlign w:val="bottom"/>
          </w:tcPr>
          <w:p w:rsidR="00DB0830" w:rsidRPr="002B5FCA" w:rsidRDefault="00AA7CBD" w:rsidP="00C30B74">
            <w:pPr>
              <w:jc w:val="right"/>
              <w:rPr>
                <w:rFonts w:ascii="Verdana" w:hAnsi="Verdana" w:cs="Arial"/>
                <w:sz w:val="20"/>
                <w:szCs w:val="20"/>
              </w:rPr>
            </w:pPr>
            <w:r w:rsidRPr="002B5FCA">
              <w:rPr>
                <w:rFonts w:ascii="Verdana" w:hAnsi="Verdana" w:cs="Arial"/>
                <w:sz w:val="20"/>
                <w:szCs w:val="20"/>
              </w:rPr>
              <w:t>81,0</w:t>
            </w:r>
            <w:r w:rsidR="00DB0830" w:rsidRPr="002B5FCA">
              <w:rPr>
                <w:rFonts w:ascii="Verdana" w:hAnsi="Verdana" w:cs="Arial"/>
                <w:sz w:val="20"/>
                <w:szCs w:val="20"/>
              </w:rPr>
              <w:t>%</w:t>
            </w:r>
          </w:p>
        </w:tc>
        <w:tc>
          <w:tcPr>
            <w:tcW w:w="1240" w:type="dxa"/>
            <w:tcBorders>
              <w:top w:val="nil"/>
              <w:left w:val="nil"/>
              <w:bottom w:val="nil"/>
              <w:right w:val="nil"/>
            </w:tcBorders>
            <w:shd w:val="clear" w:color="auto" w:fill="auto"/>
            <w:noWrap/>
            <w:vAlign w:val="bottom"/>
          </w:tcPr>
          <w:p w:rsidR="00DB0830" w:rsidRPr="002B5FCA" w:rsidRDefault="004A0FA1" w:rsidP="00AA7CBD">
            <w:pPr>
              <w:jc w:val="right"/>
              <w:rPr>
                <w:rFonts w:ascii="Verdana" w:hAnsi="Verdana" w:cs="Arial"/>
                <w:sz w:val="20"/>
                <w:szCs w:val="20"/>
              </w:rPr>
            </w:pPr>
            <w:r w:rsidRPr="002B5FCA">
              <w:rPr>
                <w:rFonts w:ascii="Verdana" w:hAnsi="Verdana" w:cs="Arial"/>
                <w:sz w:val="20"/>
                <w:szCs w:val="20"/>
              </w:rPr>
              <w:t>2</w:t>
            </w:r>
            <w:r w:rsidR="00DB0830" w:rsidRPr="002B5FCA">
              <w:rPr>
                <w:rFonts w:ascii="Verdana" w:hAnsi="Verdana" w:cs="Arial"/>
                <w:sz w:val="20"/>
                <w:szCs w:val="20"/>
              </w:rPr>
              <w:t>,</w:t>
            </w:r>
            <w:r w:rsidR="00AA7CBD" w:rsidRPr="002B5FCA">
              <w:rPr>
                <w:rFonts w:ascii="Verdana" w:hAnsi="Verdana" w:cs="Arial"/>
                <w:sz w:val="20"/>
                <w:szCs w:val="20"/>
              </w:rPr>
              <w:t>8</w:t>
            </w:r>
            <w:r w:rsidR="00DB0830" w:rsidRPr="002B5FCA">
              <w:rPr>
                <w:rFonts w:ascii="Verdana" w:hAnsi="Verdana" w:cs="Arial"/>
                <w:sz w:val="20"/>
                <w:szCs w:val="20"/>
              </w:rPr>
              <w:t>%</w:t>
            </w:r>
          </w:p>
        </w:tc>
      </w:tr>
      <w:tr w:rsidR="00DB0830" w:rsidRPr="00CE214A" w:rsidTr="00DB0830">
        <w:trPr>
          <w:trHeight w:val="270"/>
          <w:jc w:val="center"/>
        </w:trPr>
        <w:tc>
          <w:tcPr>
            <w:tcW w:w="2980" w:type="dxa"/>
            <w:tcBorders>
              <w:top w:val="nil"/>
              <w:left w:val="nil"/>
              <w:bottom w:val="single" w:sz="8" w:space="0" w:color="000080"/>
              <w:right w:val="nil"/>
            </w:tcBorders>
            <w:shd w:val="clear" w:color="auto" w:fill="auto"/>
            <w:noWrap/>
            <w:vAlign w:val="bottom"/>
          </w:tcPr>
          <w:p w:rsidR="00DB0830" w:rsidRPr="002B5FCA" w:rsidRDefault="00DB0830">
            <w:pPr>
              <w:rPr>
                <w:rFonts w:ascii="Verdana" w:hAnsi="Verdana" w:cs="Arial"/>
                <w:sz w:val="20"/>
                <w:szCs w:val="20"/>
              </w:rPr>
            </w:pPr>
            <w:r w:rsidRPr="002B5FCA">
              <w:rPr>
                <w:rFonts w:ascii="Verdana" w:hAnsi="Verdana" w:cs="Arial"/>
                <w:sz w:val="20"/>
                <w:szCs w:val="20"/>
              </w:rPr>
              <w:t xml:space="preserve">A.N. Sala Social           </w:t>
            </w:r>
          </w:p>
        </w:tc>
        <w:tc>
          <w:tcPr>
            <w:tcW w:w="1300" w:type="dxa"/>
            <w:tcBorders>
              <w:top w:val="nil"/>
              <w:left w:val="nil"/>
              <w:bottom w:val="single" w:sz="8" w:space="0" w:color="auto"/>
              <w:right w:val="nil"/>
            </w:tcBorders>
            <w:shd w:val="clear" w:color="auto" w:fill="auto"/>
            <w:noWrap/>
            <w:vAlign w:val="bottom"/>
          </w:tcPr>
          <w:p w:rsidR="00DB0830" w:rsidRPr="002B5FCA" w:rsidRDefault="00996A59" w:rsidP="00996A59">
            <w:pPr>
              <w:jc w:val="center"/>
              <w:rPr>
                <w:rFonts w:ascii="Verdana" w:hAnsi="Verdana" w:cs="Arial"/>
                <w:sz w:val="20"/>
                <w:szCs w:val="20"/>
              </w:rPr>
            </w:pPr>
            <w:r w:rsidRPr="002B5FCA">
              <w:rPr>
                <w:rFonts w:ascii="Verdana" w:hAnsi="Verdana" w:cs="Arial"/>
                <w:sz w:val="20"/>
                <w:szCs w:val="20"/>
              </w:rPr>
              <w:t>-</w:t>
            </w:r>
          </w:p>
        </w:tc>
        <w:tc>
          <w:tcPr>
            <w:tcW w:w="1240" w:type="dxa"/>
            <w:tcBorders>
              <w:top w:val="nil"/>
              <w:left w:val="nil"/>
              <w:bottom w:val="single" w:sz="8" w:space="0" w:color="auto"/>
              <w:right w:val="nil"/>
            </w:tcBorders>
            <w:shd w:val="clear" w:color="auto" w:fill="auto"/>
            <w:noWrap/>
            <w:vAlign w:val="bottom"/>
          </w:tcPr>
          <w:p w:rsidR="00DB0830" w:rsidRPr="00996A59" w:rsidRDefault="00996A59" w:rsidP="00996A59">
            <w:pPr>
              <w:jc w:val="center"/>
              <w:rPr>
                <w:rFonts w:ascii="Verdana" w:hAnsi="Verdana" w:cs="Arial"/>
                <w:sz w:val="20"/>
                <w:szCs w:val="20"/>
              </w:rPr>
            </w:pPr>
            <w:r w:rsidRPr="002B5FCA">
              <w:rPr>
                <w:rFonts w:ascii="Verdana" w:hAnsi="Verdana" w:cs="Arial"/>
                <w:sz w:val="20"/>
                <w:szCs w:val="20"/>
              </w:rPr>
              <w:t>-</w:t>
            </w:r>
          </w:p>
        </w:tc>
      </w:tr>
    </w:tbl>
    <w:p w:rsidR="006B142C" w:rsidRPr="00CE214A" w:rsidRDefault="006B142C" w:rsidP="00C031C0">
      <w:pPr>
        <w:autoSpaceDE w:val="0"/>
        <w:autoSpaceDN w:val="0"/>
        <w:adjustRightInd w:val="0"/>
        <w:jc w:val="center"/>
        <w:rPr>
          <w:rFonts w:ascii="Verdana" w:hAnsi="Verdana"/>
          <w:sz w:val="20"/>
        </w:rPr>
      </w:pPr>
    </w:p>
    <w:p w:rsidR="006B142C" w:rsidRPr="00CE214A" w:rsidRDefault="006B142C" w:rsidP="00C031C0">
      <w:pPr>
        <w:autoSpaceDE w:val="0"/>
        <w:autoSpaceDN w:val="0"/>
        <w:adjustRightInd w:val="0"/>
        <w:jc w:val="center"/>
        <w:rPr>
          <w:rFonts w:ascii="Verdana" w:hAnsi="Verdana"/>
          <w:sz w:val="20"/>
        </w:rPr>
      </w:pPr>
    </w:p>
    <w:p w:rsidR="00415290" w:rsidRDefault="00415290">
      <w:pPr>
        <w:rPr>
          <w:rFonts w:ascii="Verdana" w:hAnsi="Verdana" w:cs="Arial"/>
          <w:b/>
          <w:color w:val="333399"/>
          <w:lang w:val="es-ES"/>
        </w:rPr>
      </w:pPr>
      <w:r>
        <w:rPr>
          <w:rFonts w:ascii="Verdana" w:hAnsi="Verdana" w:cs="Arial"/>
          <w:b/>
          <w:color w:val="333399"/>
          <w:lang w:val="es-ES"/>
        </w:rPr>
        <w:br w:type="page"/>
      </w:r>
    </w:p>
    <w:p w:rsidR="00DB55BA" w:rsidRPr="00D85F6F" w:rsidRDefault="00DB55BA" w:rsidP="00DB55BA">
      <w:pPr>
        <w:spacing w:after="240"/>
        <w:jc w:val="center"/>
        <w:rPr>
          <w:b/>
          <w:color w:val="1F497D" w:themeColor="text2"/>
          <w:szCs w:val="20"/>
        </w:rPr>
      </w:pPr>
      <w:r w:rsidRPr="00D85F6F">
        <w:rPr>
          <w:b/>
          <w:color w:val="1F497D" w:themeColor="text2"/>
          <w:szCs w:val="20"/>
        </w:rPr>
        <w:lastRenderedPageBreak/>
        <w:t>INDICADORES CLAVE DE LA JURISDICCIÓN SOCIAL</w:t>
      </w:r>
    </w:p>
    <w:p w:rsidR="00DB55BA" w:rsidRPr="00CB5A9E" w:rsidRDefault="00DB55BA" w:rsidP="00DB55BA">
      <w:pPr>
        <w:spacing w:after="120"/>
        <w:jc w:val="center"/>
        <w:rPr>
          <w:b/>
          <w:color w:val="4F81BD" w:themeColor="accent1"/>
          <w:szCs w:val="20"/>
        </w:rPr>
      </w:pPr>
      <w:r>
        <w:rPr>
          <w:b/>
          <w:color w:val="4F81BD" w:themeColor="accent1"/>
          <w:szCs w:val="20"/>
        </w:rPr>
        <w:t>Tasas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Resolución</w:t>
            </w:r>
          </w:p>
        </w:tc>
        <w:tc>
          <w:tcPr>
            <w:tcW w:w="1947" w:type="dxa"/>
            <w:vAlign w:val="center"/>
          </w:tcPr>
          <w:p w:rsidR="00DB55BA" w:rsidRDefault="00DB55BA" w:rsidP="007F5E11">
            <w:pPr>
              <w:jc w:val="right"/>
              <w:rPr>
                <w:rFonts w:cs="Arial"/>
                <w:color w:val="000000"/>
                <w:szCs w:val="20"/>
              </w:rPr>
            </w:pPr>
            <w:r>
              <w:rPr>
                <w:rFonts w:cs="Arial"/>
                <w:color w:val="000000"/>
                <w:szCs w:val="20"/>
              </w:rPr>
              <w:t>1,05</w:t>
            </w:r>
          </w:p>
        </w:tc>
        <w:tc>
          <w:tcPr>
            <w:tcW w:w="1947" w:type="dxa"/>
            <w:vAlign w:val="center"/>
          </w:tcPr>
          <w:p w:rsidR="00DB55BA" w:rsidRDefault="00DB55BA" w:rsidP="007F5E11">
            <w:pPr>
              <w:jc w:val="right"/>
              <w:rPr>
                <w:rFonts w:cs="Arial"/>
                <w:color w:val="000000"/>
                <w:szCs w:val="20"/>
              </w:rPr>
            </w:pPr>
            <w:r>
              <w:rPr>
                <w:rFonts w:cs="Arial"/>
                <w:color w:val="000000"/>
                <w:szCs w:val="20"/>
              </w:rPr>
              <w:t>0,97</w:t>
            </w:r>
          </w:p>
        </w:tc>
        <w:tc>
          <w:tcPr>
            <w:tcW w:w="1948" w:type="dxa"/>
            <w:vAlign w:val="center"/>
          </w:tcPr>
          <w:p w:rsidR="00DB55BA" w:rsidRDefault="00DB55BA" w:rsidP="007F5E11">
            <w:pPr>
              <w:jc w:val="right"/>
              <w:rPr>
                <w:rFonts w:cs="Arial"/>
                <w:color w:val="000000"/>
                <w:szCs w:val="20"/>
              </w:rPr>
            </w:pPr>
            <w:r>
              <w:rPr>
                <w:rFonts w:cs="Arial"/>
                <w:color w:val="000000"/>
                <w:szCs w:val="20"/>
              </w:rPr>
              <w:t>-7,4%</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Pendencia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0,71</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0,72</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1,9%</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CB5A9E">
              <w:rPr>
                <w:rFonts w:eastAsia="Times New Roman" w:cs="Arial"/>
                <w:b/>
                <w:color w:val="4F81BD" w:themeColor="accent1"/>
                <w:szCs w:val="20"/>
                <w:lang w:eastAsia="es-ES"/>
              </w:rPr>
              <w:t>Congestión</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1,73</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1,75</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0,9%</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Tasa de Litigiosidad</w:t>
      </w:r>
      <w:r w:rsidRPr="00CB5A9E">
        <w:rPr>
          <w:b/>
          <w:color w:val="4F81BD" w:themeColor="accent1"/>
          <w:szCs w:val="20"/>
        </w:rPr>
        <w:t xml:space="preserve"> (</w:t>
      </w:r>
      <w:r>
        <w:rPr>
          <w:b/>
          <w:color w:val="4F81BD" w:themeColor="accent1"/>
          <w:szCs w:val="20"/>
        </w:rPr>
        <w:t>asuntos i</w:t>
      </w:r>
      <w:r w:rsidRPr="00CB5A9E">
        <w:rPr>
          <w:b/>
          <w:color w:val="4F81BD" w:themeColor="accent1"/>
          <w:szCs w:val="20"/>
        </w:rPr>
        <w:t>ngresados</w:t>
      </w:r>
      <w:r>
        <w:rPr>
          <w:b/>
          <w:color w:val="4F81BD" w:themeColor="accent1"/>
          <w:szCs w:val="20"/>
        </w:rPr>
        <w:t xml:space="preserve"> po</w:t>
      </w:r>
      <w:r w:rsidRPr="00CB5A9E">
        <w:rPr>
          <w:b/>
          <w:color w:val="4F81BD" w:themeColor="accent1"/>
          <w:szCs w:val="20"/>
        </w:rPr>
        <w:t xml:space="preserve">r </w:t>
      </w:r>
      <w:r>
        <w:rPr>
          <w:b/>
          <w:color w:val="4F81BD" w:themeColor="accent1"/>
          <w:szCs w:val="20"/>
        </w:rPr>
        <w:t xml:space="preserve">cada </w:t>
      </w:r>
      <w:r w:rsidRPr="00CB5A9E">
        <w:rPr>
          <w:b/>
          <w:color w:val="4F81BD" w:themeColor="accent1"/>
          <w:szCs w:val="20"/>
        </w:rPr>
        <w:t xml:space="preserve">1000 </w:t>
      </w:r>
      <w:r>
        <w:rPr>
          <w:b/>
          <w:color w:val="4F81BD" w:themeColor="accent1"/>
          <w:szCs w:val="20"/>
        </w:rPr>
        <w:t>habitantes</w:t>
      </w:r>
      <w:r w:rsidRPr="00CB5A9E">
        <w:rPr>
          <w:b/>
          <w:color w:val="4F81BD" w:themeColor="accent1"/>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8,2</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8,7</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5,8%</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asuntos ingresados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713,8</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755,3</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5,8%</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Número de sentencias por magistrado/juez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395,7</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388,3</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-1,9%</w:t>
            </w:r>
          </w:p>
        </w:tc>
      </w:tr>
    </w:tbl>
    <w:p w:rsidR="00DB55BA" w:rsidRPr="00CB5A9E" w:rsidRDefault="00DB55BA" w:rsidP="00DB55BA">
      <w:pPr>
        <w:spacing w:before="240" w:after="120"/>
        <w:jc w:val="center"/>
        <w:rPr>
          <w:b/>
          <w:color w:val="4F81BD" w:themeColor="accent1"/>
          <w:szCs w:val="20"/>
        </w:rPr>
      </w:pPr>
      <w:r>
        <w:rPr>
          <w:b/>
          <w:color w:val="4F81BD" w:themeColor="accent1"/>
          <w:szCs w:val="20"/>
        </w:rPr>
        <w:t>E</w:t>
      </w:r>
      <w:r w:rsidRPr="00EB1F7C">
        <w:rPr>
          <w:b/>
          <w:color w:val="4F81BD" w:themeColor="accent1"/>
          <w:szCs w:val="20"/>
        </w:rPr>
        <w:t>stimación del porcentaje de sentencias recurridas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29,2%</w:t>
            </w:r>
          </w:p>
        </w:tc>
        <w:tc>
          <w:tcPr>
            <w:tcW w:w="2881"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31,5%</w:t>
            </w:r>
          </w:p>
        </w:tc>
        <w:tc>
          <w:tcPr>
            <w:tcW w:w="2882" w:type="dxa"/>
            <w:tcBorders>
              <w:bottom w:val="single" w:sz="12" w:space="0" w:color="4F81BD" w:themeColor="accent1"/>
            </w:tcBorders>
            <w:vAlign w:val="center"/>
          </w:tcPr>
          <w:p w:rsidR="00DB55BA" w:rsidRDefault="00DB55BA" w:rsidP="007F5E11">
            <w:pPr>
              <w:jc w:val="center"/>
              <w:rPr>
                <w:rFonts w:cs="Arial"/>
                <w:color w:val="000000"/>
                <w:szCs w:val="20"/>
              </w:rPr>
            </w:pPr>
            <w:r>
              <w:rPr>
                <w:rFonts w:cs="Arial"/>
                <w:color w:val="000000"/>
                <w:szCs w:val="20"/>
              </w:rPr>
              <w:t>7,8%</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recursos devueltos confirmando totalmente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apelación</w:t>
            </w:r>
          </w:p>
        </w:tc>
        <w:tc>
          <w:tcPr>
            <w:tcW w:w="1947" w:type="dxa"/>
            <w:vAlign w:val="center"/>
          </w:tcPr>
          <w:p w:rsidR="00DB55BA" w:rsidRDefault="00DB55BA" w:rsidP="007F5E11">
            <w:pPr>
              <w:jc w:val="right"/>
              <w:rPr>
                <w:rFonts w:cs="Arial"/>
                <w:color w:val="000000"/>
                <w:szCs w:val="20"/>
              </w:rPr>
            </w:pPr>
            <w:r>
              <w:rPr>
                <w:rFonts w:cs="Arial"/>
                <w:color w:val="000000"/>
                <w:szCs w:val="20"/>
              </w:rPr>
              <w:t>78,4%</w:t>
            </w:r>
          </w:p>
        </w:tc>
        <w:tc>
          <w:tcPr>
            <w:tcW w:w="1947" w:type="dxa"/>
            <w:vAlign w:val="center"/>
          </w:tcPr>
          <w:p w:rsidR="00DB55BA" w:rsidRDefault="00DB55BA" w:rsidP="007F5E11">
            <w:pPr>
              <w:jc w:val="right"/>
              <w:rPr>
                <w:rFonts w:cs="Arial"/>
                <w:color w:val="000000"/>
                <w:szCs w:val="20"/>
              </w:rPr>
            </w:pPr>
            <w:r>
              <w:rPr>
                <w:rFonts w:cs="Arial"/>
                <w:color w:val="000000"/>
                <w:szCs w:val="20"/>
              </w:rPr>
              <w:t>77,4%</w:t>
            </w:r>
          </w:p>
        </w:tc>
        <w:tc>
          <w:tcPr>
            <w:tcW w:w="1948" w:type="dxa"/>
            <w:vAlign w:val="center"/>
          </w:tcPr>
          <w:p w:rsidR="00DB55BA" w:rsidRDefault="00DB55BA" w:rsidP="007F5E11">
            <w:pPr>
              <w:jc w:val="right"/>
              <w:rPr>
                <w:rFonts w:cs="Arial"/>
                <w:color w:val="000000"/>
                <w:szCs w:val="20"/>
              </w:rPr>
            </w:pPr>
            <w:r>
              <w:rPr>
                <w:rFonts w:cs="Arial"/>
                <w:color w:val="000000"/>
                <w:szCs w:val="20"/>
              </w:rPr>
              <w:t>-1,25%</w:t>
            </w:r>
          </w:p>
        </w:tc>
      </w:tr>
      <w:tr w:rsidR="00DB55BA" w:rsidRPr="00CB5A9E" w:rsidTr="007F5E11">
        <w:trPr>
          <w:trHeight w:val="340"/>
        </w:trPr>
        <w:tc>
          <w:tcPr>
            <w:tcW w:w="2802" w:type="dxa"/>
            <w:tcBorders>
              <w:bottom w:val="single" w:sz="12" w:space="0" w:color="4F81BD" w:themeColor="accent1"/>
            </w:tcBorders>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Recursos de casación</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87,0%</w:t>
            </w:r>
          </w:p>
        </w:tc>
        <w:tc>
          <w:tcPr>
            <w:tcW w:w="1947"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86,0%</w:t>
            </w:r>
          </w:p>
        </w:tc>
        <w:tc>
          <w:tcPr>
            <w:tcW w:w="1948" w:type="dxa"/>
            <w:tcBorders>
              <w:bottom w:val="single" w:sz="12" w:space="0" w:color="4F81BD" w:themeColor="accent1"/>
            </w:tcBorders>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-1,19%</w:t>
            </w:r>
          </w:p>
        </w:tc>
      </w:tr>
    </w:tbl>
    <w:p w:rsidR="00DB55BA" w:rsidRPr="00CB5A9E" w:rsidRDefault="00DB55BA" w:rsidP="00DB55BA">
      <w:pPr>
        <w:spacing w:before="240" w:after="120"/>
        <w:jc w:val="center"/>
        <w:rPr>
          <w:b/>
          <w:color w:val="4F81BD" w:themeColor="accent1"/>
          <w:szCs w:val="20"/>
        </w:rPr>
      </w:pPr>
      <w:r w:rsidRPr="00EB1F7C">
        <w:rPr>
          <w:b/>
          <w:color w:val="4F81BD" w:themeColor="accent1"/>
          <w:szCs w:val="20"/>
        </w:rPr>
        <w:t>Porcentaje de sentencias dictadas por jueces de carrera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DB55BA" w:rsidRPr="00CB5A9E" w:rsidTr="007F5E11">
        <w:trPr>
          <w:trHeight w:val="340"/>
        </w:trPr>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2016</w:t>
            </w:r>
          </w:p>
        </w:tc>
        <w:tc>
          <w:tcPr>
            <w:tcW w:w="2881" w:type="dxa"/>
            <w:shd w:val="clear" w:color="auto" w:fill="4F81BD" w:themeFill="accent1"/>
            <w:vAlign w:val="center"/>
          </w:tcPr>
          <w:p w:rsidR="00DB55BA" w:rsidRPr="00CB5A9E" w:rsidRDefault="00DB55BA" w:rsidP="007F5E11">
            <w:pPr>
              <w:jc w:val="center"/>
              <w:rPr>
                <w:rFonts w:cs="Arial"/>
                <w:b/>
                <w:bCs/>
                <w:color w:val="FFFFFF" w:themeColor="background1"/>
              </w:rPr>
            </w:pPr>
            <w:r>
              <w:rPr>
                <w:rFonts w:cs="Arial"/>
                <w:b/>
                <w:bCs/>
                <w:color w:val="FFFFFF" w:themeColor="background1"/>
              </w:rPr>
              <w:t>2017</w:t>
            </w:r>
          </w:p>
        </w:tc>
        <w:tc>
          <w:tcPr>
            <w:tcW w:w="2882" w:type="dxa"/>
            <w:shd w:val="clear" w:color="auto" w:fill="4F81BD" w:themeFill="accent1"/>
            <w:vAlign w:val="center"/>
          </w:tcPr>
          <w:p w:rsidR="00DB55BA" w:rsidRPr="00CB5A9E" w:rsidRDefault="00DB55BA" w:rsidP="007F5E11">
            <w:pPr>
              <w:jc w:val="center"/>
              <w:rPr>
                <w:rFonts w:cs="Arial"/>
                <w:b/>
                <w:bCs/>
                <w:color w:val="FFFFFF" w:themeColor="background1"/>
              </w:rPr>
            </w:pPr>
            <w:r w:rsidRPr="00CB5A9E">
              <w:rPr>
                <w:rFonts w:cs="Arial"/>
                <w:b/>
                <w:bCs/>
                <w:color w:val="FFFFFF" w:themeColor="background1"/>
              </w:rPr>
              <w:t>Evolución</w:t>
            </w:r>
          </w:p>
        </w:tc>
      </w:tr>
      <w:tr w:rsidR="00E460E6" w:rsidRPr="00CB5A9E" w:rsidTr="00E53EBF">
        <w:trPr>
          <w:trHeight w:val="340"/>
        </w:trPr>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bookmarkStart w:id="13" w:name="_GoBack" w:colFirst="0" w:colLast="2"/>
            <w:r w:rsidRPr="00E460E6">
              <w:rPr>
                <w:rFonts w:cs="Arial"/>
                <w:color w:val="000000"/>
                <w:szCs w:val="20"/>
              </w:rPr>
              <w:t>92,2%</w:t>
            </w:r>
          </w:p>
        </w:tc>
        <w:tc>
          <w:tcPr>
            <w:tcW w:w="2881"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93,2%</w:t>
            </w:r>
          </w:p>
        </w:tc>
        <w:tc>
          <w:tcPr>
            <w:tcW w:w="2882" w:type="dxa"/>
            <w:tcBorders>
              <w:bottom w:val="single" w:sz="12" w:space="0" w:color="4F81BD" w:themeColor="accent1"/>
            </w:tcBorders>
            <w:vAlign w:val="bottom"/>
          </w:tcPr>
          <w:p w:rsidR="00E460E6" w:rsidRPr="00E460E6" w:rsidRDefault="00E460E6" w:rsidP="00E460E6">
            <w:pPr>
              <w:jc w:val="center"/>
              <w:rPr>
                <w:rFonts w:cs="Arial"/>
                <w:color w:val="000000"/>
                <w:szCs w:val="20"/>
              </w:rPr>
            </w:pPr>
            <w:r w:rsidRPr="00E460E6">
              <w:rPr>
                <w:rFonts w:cs="Arial"/>
                <w:color w:val="000000"/>
                <w:szCs w:val="20"/>
              </w:rPr>
              <w:t>1,1%</w:t>
            </w:r>
          </w:p>
        </w:tc>
      </w:tr>
    </w:tbl>
    <w:bookmarkEnd w:id="13"/>
    <w:p w:rsidR="00DB55BA" w:rsidRPr="00CB5A9E" w:rsidRDefault="00DB55BA" w:rsidP="00DB55BA">
      <w:pPr>
        <w:spacing w:before="240" w:after="120"/>
        <w:jc w:val="center"/>
        <w:rPr>
          <w:b/>
          <w:color w:val="4F81BD" w:themeColor="accent1"/>
          <w:szCs w:val="20"/>
        </w:rPr>
      </w:pPr>
      <w:r w:rsidRPr="00EB1F7C">
        <w:rPr>
          <w:b/>
          <w:color w:val="4F81BD" w:themeColor="accent1"/>
          <w:szCs w:val="20"/>
        </w:rPr>
        <w:t>Duraciones medias estimadas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47"/>
        <w:gridCol w:w="1947"/>
        <w:gridCol w:w="1948"/>
      </w:tblGrid>
      <w:tr w:rsidR="00DB55BA" w:rsidRPr="00CB5A9E" w:rsidTr="007F5E11">
        <w:trPr>
          <w:trHeight w:val="397"/>
        </w:trPr>
        <w:tc>
          <w:tcPr>
            <w:tcW w:w="2802" w:type="dxa"/>
            <w:shd w:val="clear" w:color="auto" w:fill="4F81BD" w:themeFill="accent1"/>
            <w:vAlign w:val="center"/>
          </w:tcPr>
          <w:p w:rsidR="00DB55BA" w:rsidRPr="00CB5A9E" w:rsidRDefault="00DB55BA" w:rsidP="007F5E11">
            <w:pPr>
              <w:rPr>
                <w:b/>
                <w:color w:val="FFFFFF" w:themeColor="background1"/>
                <w:lang w:eastAsia="es-ES"/>
              </w:rPr>
            </w:pP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2016</w:t>
            </w:r>
          </w:p>
        </w:tc>
        <w:tc>
          <w:tcPr>
            <w:tcW w:w="1947" w:type="dxa"/>
            <w:shd w:val="clear" w:color="auto" w:fill="4F81BD" w:themeFill="accent1"/>
            <w:vAlign w:val="center"/>
          </w:tcPr>
          <w:p w:rsidR="00DB55BA" w:rsidRPr="00CB5A9E" w:rsidRDefault="00DB55BA" w:rsidP="007F5E11">
            <w:pPr>
              <w:jc w:val="right"/>
              <w:rPr>
                <w:rFonts w:cs="Arial"/>
                <w:b/>
                <w:bCs/>
                <w:color w:val="FFFFFF" w:themeColor="background1"/>
              </w:rPr>
            </w:pPr>
            <w:r>
              <w:rPr>
                <w:rFonts w:cs="Arial"/>
                <w:b/>
                <w:bCs/>
                <w:color w:val="FFFFFF" w:themeColor="background1"/>
              </w:rPr>
              <w:t>2017</w:t>
            </w:r>
          </w:p>
        </w:tc>
        <w:tc>
          <w:tcPr>
            <w:tcW w:w="1948" w:type="dxa"/>
            <w:shd w:val="clear" w:color="auto" w:fill="4F81BD" w:themeFill="accent1"/>
            <w:vAlign w:val="center"/>
          </w:tcPr>
          <w:p w:rsidR="00DB55BA" w:rsidRPr="00CB5A9E" w:rsidRDefault="00DB55BA" w:rsidP="007F5E11">
            <w:pPr>
              <w:jc w:val="right"/>
              <w:rPr>
                <w:rFonts w:cs="Arial"/>
                <w:b/>
                <w:bCs/>
                <w:color w:val="FFFFFF" w:themeColor="background1"/>
              </w:rPr>
            </w:pPr>
            <w:r w:rsidRPr="00CB5A9E">
              <w:rPr>
                <w:rFonts w:cs="Arial"/>
                <w:b/>
                <w:bCs/>
                <w:color w:val="FFFFFF" w:themeColor="background1"/>
              </w:rPr>
              <w:t>Evolución</w:t>
            </w:r>
          </w:p>
        </w:tc>
      </w:tr>
      <w:tr w:rsidR="00DB55BA" w:rsidRPr="00CB5A9E" w:rsidTr="007F5E11">
        <w:trPr>
          <w:trHeight w:val="340"/>
        </w:trPr>
        <w:tc>
          <w:tcPr>
            <w:tcW w:w="2802" w:type="dxa"/>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1ª Instancia</w:t>
            </w:r>
          </w:p>
        </w:tc>
        <w:tc>
          <w:tcPr>
            <w:tcW w:w="1947" w:type="dxa"/>
            <w:vAlign w:val="center"/>
          </w:tcPr>
          <w:p w:rsidR="00DB55BA" w:rsidRDefault="00DB55BA" w:rsidP="007F5E11">
            <w:pPr>
              <w:jc w:val="right"/>
              <w:rPr>
                <w:rFonts w:cs="Arial"/>
                <w:color w:val="000000"/>
                <w:szCs w:val="20"/>
              </w:rPr>
            </w:pPr>
            <w:r>
              <w:rPr>
                <w:rFonts w:cs="Arial"/>
                <w:color w:val="000000"/>
                <w:szCs w:val="20"/>
              </w:rPr>
              <w:t>10,1</w:t>
            </w:r>
          </w:p>
        </w:tc>
        <w:tc>
          <w:tcPr>
            <w:tcW w:w="1947" w:type="dxa"/>
            <w:vAlign w:val="center"/>
          </w:tcPr>
          <w:p w:rsidR="00DB55BA" w:rsidRDefault="00DB55BA" w:rsidP="007F5E11">
            <w:pPr>
              <w:jc w:val="right"/>
              <w:rPr>
                <w:rFonts w:cs="Arial"/>
                <w:color w:val="000000"/>
                <w:szCs w:val="20"/>
              </w:rPr>
            </w:pPr>
            <w:r>
              <w:rPr>
                <w:rFonts w:cs="Arial"/>
                <w:color w:val="000000"/>
                <w:szCs w:val="20"/>
              </w:rPr>
              <w:t>9,4</w:t>
            </w:r>
          </w:p>
        </w:tc>
        <w:tc>
          <w:tcPr>
            <w:tcW w:w="1948" w:type="dxa"/>
            <w:vAlign w:val="center"/>
          </w:tcPr>
          <w:p w:rsidR="00DB55BA" w:rsidRDefault="00DB55BA" w:rsidP="007F5E11">
            <w:pPr>
              <w:jc w:val="right"/>
              <w:rPr>
                <w:rFonts w:cs="Arial"/>
                <w:color w:val="000000"/>
                <w:szCs w:val="20"/>
              </w:rPr>
            </w:pPr>
            <w:r>
              <w:rPr>
                <w:rFonts w:cs="Arial"/>
                <w:color w:val="000000"/>
                <w:szCs w:val="20"/>
              </w:rPr>
              <w:t>-6,9%</w:t>
            </w:r>
          </w:p>
        </w:tc>
      </w:tr>
      <w:tr w:rsidR="00DB55BA" w:rsidRPr="00CB5A9E" w:rsidTr="007F5E11">
        <w:trPr>
          <w:trHeight w:val="340"/>
        </w:trPr>
        <w:tc>
          <w:tcPr>
            <w:tcW w:w="2802" w:type="dxa"/>
            <w:shd w:val="clear" w:color="auto" w:fill="DBE5F1" w:themeFill="accent1" w:themeFillTint="33"/>
            <w:vAlign w:val="center"/>
          </w:tcPr>
          <w:p w:rsidR="00DB55BA" w:rsidRPr="00CB5A9E" w:rsidRDefault="00DB55BA" w:rsidP="007F5E11">
            <w:pPr>
              <w:rPr>
                <w:rFonts w:eastAsia="Times New Roman" w:cs="Arial"/>
                <w:b/>
                <w:color w:val="4F81BD" w:themeColor="accent1"/>
                <w:szCs w:val="20"/>
                <w:lang w:eastAsia="es-ES"/>
              </w:rPr>
            </w:pPr>
            <w:r>
              <w:rPr>
                <w:rFonts w:eastAsia="Times New Roman" w:cs="Arial"/>
                <w:b/>
                <w:color w:val="4F81BD" w:themeColor="accent1"/>
                <w:szCs w:val="20"/>
                <w:lang w:eastAsia="es-ES"/>
              </w:rPr>
              <w:t>2ª Instancia</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4,5</w:t>
            </w:r>
          </w:p>
        </w:tc>
        <w:tc>
          <w:tcPr>
            <w:tcW w:w="1947"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4,5</w:t>
            </w:r>
          </w:p>
        </w:tc>
        <w:tc>
          <w:tcPr>
            <w:tcW w:w="1948" w:type="dxa"/>
            <w:shd w:val="clear" w:color="auto" w:fill="DBE5F1" w:themeFill="accent1" w:themeFillTint="33"/>
            <w:vAlign w:val="center"/>
          </w:tcPr>
          <w:p w:rsidR="00DB55BA" w:rsidRDefault="00DB55BA" w:rsidP="007F5E11">
            <w:pPr>
              <w:jc w:val="right"/>
              <w:rPr>
                <w:rFonts w:cs="Arial"/>
                <w:color w:val="000000"/>
                <w:szCs w:val="20"/>
              </w:rPr>
            </w:pPr>
            <w:r>
              <w:rPr>
                <w:rFonts w:cs="Arial"/>
                <w:color w:val="000000"/>
                <w:szCs w:val="20"/>
              </w:rPr>
              <w:t>0,8%</w:t>
            </w:r>
          </w:p>
        </w:tc>
      </w:tr>
      <w:tr w:rsidR="00DB55BA" w:rsidRPr="00CB5A9E" w:rsidTr="007F5E11">
        <w:trPr>
          <w:trHeight w:val="340"/>
        </w:trPr>
        <w:tc>
          <w:tcPr>
            <w:tcW w:w="2802" w:type="dxa"/>
            <w:tcBorders>
              <w:bottom w:val="single" w:sz="12" w:space="0" w:color="4F81BD" w:themeColor="accent1"/>
            </w:tcBorders>
            <w:vAlign w:val="center"/>
          </w:tcPr>
          <w:p w:rsidR="00DB55BA" w:rsidRPr="00CB5A9E" w:rsidRDefault="00DB55BA" w:rsidP="007F5E11">
            <w:pPr>
              <w:rPr>
                <w:rFonts w:eastAsia="Times New Roman" w:cs="Arial"/>
                <w:b/>
                <w:color w:val="4F81BD" w:themeColor="accent1"/>
                <w:szCs w:val="20"/>
                <w:lang w:eastAsia="es-ES"/>
              </w:rPr>
            </w:pPr>
            <w:r w:rsidRPr="00EB1F7C">
              <w:rPr>
                <w:rFonts w:eastAsia="Times New Roman" w:cs="Arial"/>
                <w:b/>
                <w:color w:val="4F81BD" w:themeColor="accent1"/>
                <w:szCs w:val="20"/>
                <w:lang w:eastAsia="es-ES"/>
              </w:rPr>
              <w:t>Supremo</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14,0</w:t>
            </w:r>
          </w:p>
        </w:tc>
        <w:tc>
          <w:tcPr>
            <w:tcW w:w="1947"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14,1</w:t>
            </w:r>
          </w:p>
        </w:tc>
        <w:tc>
          <w:tcPr>
            <w:tcW w:w="1948" w:type="dxa"/>
            <w:tcBorders>
              <w:bottom w:val="single" w:sz="12" w:space="0" w:color="4F81BD" w:themeColor="accent1"/>
            </w:tcBorders>
            <w:vAlign w:val="center"/>
          </w:tcPr>
          <w:p w:rsidR="00DB55BA" w:rsidRDefault="00DB55BA" w:rsidP="007F5E11">
            <w:pPr>
              <w:jc w:val="right"/>
              <w:rPr>
                <w:rFonts w:cs="Arial"/>
                <w:color w:val="000000"/>
                <w:szCs w:val="20"/>
              </w:rPr>
            </w:pPr>
            <w:r>
              <w:rPr>
                <w:rFonts w:cs="Arial"/>
                <w:color w:val="000000"/>
                <w:szCs w:val="20"/>
              </w:rPr>
              <w:t>0,6%</w:t>
            </w:r>
          </w:p>
        </w:tc>
      </w:tr>
    </w:tbl>
    <w:p w:rsidR="006B142C" w:rsidRDefault="006B142C" w:rsidP="006B142C">
      <w:pPr>
        <w:autoSpaceDE w:val="0"/>
        <w:autoSpaceDN w:val="0"/>
        <w:adjustRightInd w:val="0"/>
        <w:jc w:val="center"/>
        <w:rPr>
          <w:rFonts w:ascii="Verdana" w:hAnsi="Verdana" w:cs="Arial"/>
          <w:b/>
          <w:color w:val="333399"/>
          <w:lang w:val="es-ES"/>
        </w:rPr>
      </w:pPr>
    </w:p>
    <w:p w:rsidR="00DB55BA" w:rsidRDefault="00DB55BA">
      <w:pPr>
        <w:rPr>
          <w:rFonts w:ascii="Verdana" w:hAnsi="Verdana" w:cs="Arial"/>
          <w:sz w:val="20"/>
          <w:lang w:val="es-ES"/>
        </w:rPr>
      </w:pPr>
      <w:r>
        <w:rPr>
          <w:rFonts w:ascii="Verdana" w:hAnsi="Verdana"/>
          <w:sz w:val="20"/>
        </w:rPr>
        <w:br w:type="page"/>
      </w:r>
    </w:p>
    <w:p w:rsidR="00C071D7" w:rsidRPr="00CE214A" w:rsidRDefault="00C071D7" w:rsidP="00C031C0">
      <w:pPr>
        <w:pStyle w:val="Textoindependiente"/>
        <w:spacing w:before="120" w:after="120"/>
        <w:ind w:firstLine="357"/>
        <w:rPr>
          <w:rFonts w:ascii="Verdana" w:hAnsi="Verdana"/>
          <w:sz w:val="20"/>
        </w:rPr>
      </w:pPr>
    </w:p>
    <w:p w:rsidR="00992284" w:rsidRPr="00CE214A" w:rsidRDefault="00992284">
      <w:pPr>
        <w:pStyle w:val="Textoindependiente"/>
        <w:spacing w:before="120" w:after="120"/>
        <w:ind w:firstLine="357"/>
        <w:jc w:val="center"/>
        <w:rPr>
          <w:rFonts w:ascii="Verdana" w:hAnsi="Verdana"/>
          <w:sz w:val="20"/>
        </w:rPr>
      </w:pPr>
    </w:p>
    <w:p w:rsidR="00341E39" w:rsidRPr="00CE214A" w:rsidRDefault="00341E39">
      <w:pPr>
        <w:pStyle w:val="Textoindependiente"/>
        <w:spacing w:before="120" w:after="120"/>
        <w:ind w:firstLine="357"/>
        <w:jc w:val="center"/>
        <w:rPr>
          <w:rFonts w:ascii="Verdana" w:hAnsi="Verdana"/>
          <w:sz w:val="20"/>
        </w:rPr>
      </w:pPr>
    </w:p>
    <w:p w:rsidR="00341E39" w:rsidRPr="00CE214A" w:rsidRDefault="00341E39">
      <w:pPr>
        <w:pStyle w:val="Textoindependiente"/>
        <w:spacing w:before="120" w:after="120"/>
        <w:ind w:firstLine="357"/>
        <w:jc w:val="center"/>
        <w:rPr>
          <w:rFonts w:ascii="Verdana" w:hAnsi="Verdana"/>
          <w:sz w:val="20"/>
        </w:rPr>
      </w:pPr>
    </w:p>
    <w:p w:rsidR="007D0513" w:rsidRPr="00CE214A" w:rsidRDefault="007D0513" w:rsidP="00567FED">
      <w:pPr>
        <w:pStyle w:val="Ttulo2"/>
        <w:numPr>
          <w:ilvl w:val="0"/>
          <w:numId w:val="18"/>
        </w:numPr>
        <w:rPr>
          <w:rFonts w:ascii="Verdana" w:hAnsi="Verdana"/>
          <w:color w:val="333399"/>
        </w:rPr>
      </w:pPr>
      <w:r w:rsidRPr="00CE214A">
        <w:rPr>
          <w:rFonts w:ascii="Verdana" w:hAnsi="Verdana"/>
          <w:color w:val="333399"/>
        </w:rPr>
        <w:t>Movimientos de personal</w:t>
      </w:r>
    </w:p>
    <w:p w:rsidR="00B60675" w:rsidRPr="00CE214A" w:rsidRDefault="00B60675" w:rsidP="00992284">
      <w:pPr>
        <w:pStyle w:val="Textoindependiente"/>
        <w:spacing w:before="120" w:after="120"/>
        <w:ind w:firstLine="357"/>
        <w:rPr>
          <w:rFonts w:ascii="Verdana" w:hAnsi="Verdana"/>
          <w:sz w:val="20"/>
        </w:rPr>
      </w:pPr>
      <w:r w:rsidRPr="00CE214A">
        <w:rPr>
          <w:rFonts w:ascii="Verdana" w:hAnsi="Verdana"/>
          <w:sz w:val="20"/>
        </w:rPr>
        <w:t>Utilizando el dato de plantilla orgánica de los órganos judiciales y las situaciones de la plantilla recogidas en los boletines estadísticos se han elaborado tres indicadores sobre la situación de la plantilla, aplicados para cada una de las categorías profesionales. Estos indicadores son:</w:t>
      </w:r>
    </w:p>
    <w:p w:rsidR="00B60675" w:rsidRPr="00CE214A" w:rsidRDefault="00B60675" w:rsidP="00B60675">
      <w:pPr>
        <w:autoSpaceDE w:val="0"/>
        <w:autoSpaceDN w:val="0"/>
        <w:adjustRightInd w:val="0"/>
        <w:ind w:right="642"/>
        <w:jc w:val="both"/>
        <w:rPr>
          <w:rFonts w:ascii="Verdana" w:hAnsi="Verdana" w:cs="Arial,BoldItalic"/>
          <w:bCs/>
          <w:i/>
          <w:iCs/>
          <w:sz w:val="20"/>
          <w:szCs w:val="20"/>
          <w:lang w:val="es-ES"/>
        </w:rPr>
      </w:pPr>
    </w:p>
    <w:p w:rsidR="00B60675" w:rsidRPr="00CE214A" w:rsidRDefault="00B60675" w:rsidP="00992284">
      <w:pPr>
        <w:pStyle w:val="Textoindependiente"/>
        <w:spacing w:before="120" w:after="120"/>
        <w:ind w:firstLine="357"/>
        <w:rPr>
          <w:rFonts w:ascii="Verdana" w:hAnsi="Verdana"/>
          <w:sz w:val="20"/>
        </w:rPr>
      </w:pPr>
      <w:r w:rsidRPr="00CE214A">
        <w:rPr>
          <w:rFonts w:ascii="Verdana" w:hAnsi="Verdana"/>
          <w:b/>
          <w:sz w:val="20"/>
        </w:rPr>
        <w:t>Porcentaje de cobertura por no titulares   (PCNT)</w:t>
      </w:r>
      <w:r w:rsidRPr="00CE214A">
        <w:rPr>
          <w:rFonts w:ascii="Verdana" w:hAnsi="Verdana"/>
          <w:sz w:val="20"/>
        </w:rPr>
        <w:t>: número total de días en los que se han ocupado puestos de una determinada categoría por no titulares, dividido por el número efectivos en plantilla de esa categoría multiplicado por 365. Se expresa en tanto por cien.</w:t>
      </w:r>
    </w:p>
    <w:p w:rsidR="00B60675" w:rsidRPr="00CE214A" w:rsidRDefault="00B60675" w:rsidP="00992284">
      <w:pPr>
        <w:pStyle w:val="Textoindependiente"/>
        <w:spacing w:before="120" w:after="120"/>
        <w:ind w:firstLine="357"/>
        <w:rPr>
          <w:rFonts w:ascii="Verdana" w:hAnsi="Verdana"/>
          <w:sz w:val="20"/>
        </w:rPr>
      </w:pPr>
      <w:r w:rsidRPr="00CE214A">
        <w:rPr>
          <w:rFonts w:ascii="Verdana" w:hAnsi="Verdana"/>
          <w:b/>
          <w:sz w:val="20"/>
        </w:rPr>
        <w:t>Porcentaje de días sin cubrir   (PDSC)</w:t>
      </w:r>
      <w:r w:rsidRPr="00CE214A">
        <w:rPr>
          <w:rFonts w:ascii="Verdana" w:hAnsi="Verdana"/>
          <w:sz w:val="20"/>
        </w:rPr>
        <w:t>: número total de días en los que los puestos de una determinada categoría han quedado sin cubrir, dividido por el número efectivos en plantilla de esa categoría multiplicado por 365. Se expresa en tanto por cien.</w:t>
      </w:r>
    </w:p>
    <w:p w:rsidR="00EF4F64" w:rsidRPr="00CE214A" w:rsidRDefault="00EF4F64" w:rsidP="00EF4F64">
      <w:pPr>
        <w:pStyle w:val="Textoindependiente"/>
        <w:spacing w:before="120" w:after="120"/>
        <w:ind w:firstLine="357"/>
        <w:rPr>
          <w:rFonts w:ascii="Verdana" w:hAnsi="Verdana"/>
          <w:sz w:val="20"/>
        </w:rPr>
      </w:pPr>
      <w:r w:rsidRPr="00CE214A">
        <w:rPr>
          <w:rFonts w:ascii="Verdana" w:hAnsi="Verdana"/>
          <w:b/>
          <w:sz w:val="20"/>
        </w:rPr>
        <w:t>Índice de rotación (IR)</w:t>
      </w:r>
      <w:r w:rsidRPr="00CE214A">
        <w:rPr>
          <w:rFonts w:ascii="Verdana" w:hAnsi="Verdana"/>
          <w:sz w:val="20"/>
        </w:rPr>
        <w:t>: número de tomas de posesión, tanto de titulares como  de otros,  dividido por la plantilla orgánica en la categoría.  Mide la estabilidad de la plantilla</w:t>
      </w:r>
    </w:p>
    <w:p w:rsidR="00992284" w:rsidRPr="00CE214A" w:rsidRDefault="00992284" w:rsidP="00992284">
      <w:pPr>
        <w:pStyle w:val="Textoindependiente"/>
        <w:spacing w:before="120" w:after="120"/>
        <w:ind w:firstLine="357"/>
        <w:rPr>
          <w:rFonts w:ascii="Verdana" w:hAnsi="Verdana"/>
          <w:sz w:val="20"/>
        </w:rPr>
      </w:pPr>
      <w:r w:rsidRPr="00CE214A">
        <w:rPr>
          <w:rFonts w:ascii="Verdana" w:hAnsi="Verdana"/>
          <w:sz w:val="20"/>
        </w:rPr>
        <w:t>Estos indicadores, aplicados a diferentes tipos de órganos nos ofrecen los siguientes resultados:</w:t>
      </w:r>
    </w:p>
    <w:p w:rsidR="00520CFE" w:rsidRPr="00CE214A" w:rsidRDefault="00520CFE" w:rsidP="00B60675">
      <w:pPr>
        <w:jc w:val="center"/>
        <w:rPr>
          <w:rFonts w:ascii="Verdana" w:hAnsi="Verdana" w:cs="Arial"/>
          <w:b/>
          <w:bCs/>
          <w:color w:val="000080"/>
        </w:rPr>
      </w:pPr>
    </w:p>
    <w:p w:rsidR="00B60675" w:rsidRPr="00D85F6F" w:rsidRDefault="00B60675" w:rsidP="00B60675">
      <w:pPr>
        <w:jc w:val="center"/>
        <w:rPr>
          <w:rFonts w:ascii="Verdana" w:eastAsia="MS Mincho" w:hAnsi="Verdana" w:cs="Arial"/>
          <w:b/>
          <w:bCs/>
          <w:color w:val="FF0000"/>
          <w:sz w:val="22"/>
          <w:szCs w:val="22"/>
          <w:lang w:eastAsia="ja-JP"/>
        </w:rPr>
      </w:pPr>
      <w:r w:rsidRPr="00D85F6F">
        <w:rPr>
          <w:rFonts w:ascii="Verdana" w:hAnsi="Verdana" w:cs="Arial"/>
          <w:b/>
          <w:bCs/>
          <w:color w:val="000080"/>
          <w:sz w:val="22"/>
          <w:szCs w:val="22"/>
        </w:rPr>
        <w:t>Audiencia Nacional</w:t>
      </w:r>
    </w:p>
    <w:p w:rsidR="00B60675" w:rsidRPr="00D85F6F" w:rsidRDefault="00B60675" w:rsidP="00B60675">
      <w:pPr>
        <w:jc w:val="center"/>
        <w:rPr>
          <w:rFonts w:ascii="Verdana" w:hAnsi="Verdana"/>
          <w:lang w:val="es-ES"/>
        </w:rPr>
      </w:pPr>
    </w:p>
    <w:tbl>
      <w:tblPr>
        <w:tblW w:w="7700" w:type="dxa"/>
        <w:tblInd w:w="55" w:type="dxa"/>
        <w:tblCellMar>
          <w:left w:w="70" w:type="dxa"/>
          <w:right w:w="70" w:type="dxa"/>
        </w:tblCellMar>
        <w:tblLook w:val="04A0" w:firstRow="1" w:lastRow="0" w:firstColumn="1" w:lastColumn="0" w:noHBand="0" w:noVBand="1"/>
      </w:tblPr>
      <w:tblGrid>
        <w:gridCol w:w="1200"/>
        <w:gridCol w:w="1392"/>
        <w:gridCol w:w="1300"/>
        <w:gridCol w:w="1200"/>
        <w:gridCol w:w="1480"/>
        <w:gridCol w:w="1200"/>
      </w:tblGrid>
      <w:tr w:rsidR="00600C9B" w:rsidRPr="00D85F6F"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36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3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44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RPr="00D85F6F"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bookmarkStart w:id="14" w:name="RANGE!A15"/>
            <w:r w:rsidRPr="00D85F6F">
              <w:rPr>
                <w:rFonts w:ascii="Verdana" w:hAnsi="Verdana" w:cs="Arial"/>
                <w:b/>
                <w:bCs/>
                <w:color w:val="000080"/>
                <w:sz w:val="20"/>
                <w:szCs w:val="20"/>
              </w:rPr>
              <w:t>PCNT</w:t>
            </w:r>
            <w:bookmarkEnd w:id="14"/>
          </w:p>
        </w:tc>
        <w:tc>
          <w:tcPr>
            <w:tcW w:w="13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1,8%</w:t>
            </w:r>
          </w:p>
        </w:tc>
        <w:tc>
          <w:tcPr>
            <w:tcW w:w="13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9,3%</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5,3%</w:t>
            </w:r>
          </w:p>
        </w:tc>
        <w:tc>
          <w:tcPr>
            <w:tcW w:w="144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26,3%</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41,5%</w:t>
            </w:r>
          </w:p>
        </w:tc>
      </w:tr>
      <w:tr w:rsidR="00600C9B" w:rsidRPr="00D85F6F" w:rsidTr="00600C9B">
        <w:trPr>
          <w:trHeight w:val="255"/>
        </w:trPr>
        <w:tc>
          <w:tcPr>
            <w:tcW w:w="1200" w:type="dxa"/>
            <w:tcBorders>
              <w:top w:val="nil"/>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3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0,2%</w:t>
            </w:r>
          </w:p>
        </w:tc>
        <w:tc>
          <w:tcPr>
            <w:tcW w:w="13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0,6%</w:t>
            </w:r>
          </w:p>
        </w:tc>
        <w:tc>
          <w:tcPr>
            <w:tcW w:w="144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1,1%</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0,5%</w:t>
            </w:r>
          </w:p>
        </w:tc>
      </w:tr>
      <w:tr w:rsidR="00600C9B" w:rsidRPr="00D85F6F"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36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3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44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r>
    </w:tbl>
    <w:p w:rsidR="00992284" w:rsidRPr="00D85F6F" w:rsidRDefault="00992284" w:rsidP="00B60675">
      <w:pPr>
        <w:jc w:val="center"/>
        <w:rPr>
          <w:rFonts w:ascii="Verdana" w:eastAsia="MS Mincho" w:hAnsi="Verdana" w:cs="Arial"/>
          <w:b/>
          <w:bCs/>
          <w:color w:val="244061"/>
          <w:lang w:eastAsia="ja-JP"/>
        </w:rPr>
      </w:pPr>
    </w:p>
    <w:p w:rsidR="00B60675" w:rsidRPr="00D85F6F" w:rsidRDefault="00B60675" w:rsidP="00B60675">
      <w:pPr>
        <w:jc w:val="center"/>
        <w:rPr>
          <w:rFonts w:ascii="Verdana" w:hAnsi="Verdana" w:cs="Arial"/>
          <w:b/>
          <w:bCs/>
          <w:color w:val="000080"/>
          <w:sz w:val="22"/>
          <w:szCs w:val="22"/>
        </w:rPr>
      </w:pPr>
      <w:r w:rsidRPr="00D85F6F">
        <w:rPr>
          <w:rFonts w:ascii="Verdana" w:hAnsi="Verdana" w:cs="Arial"/>
          <w:b/>
          <w:bCs/>
          <w:color w:val="000080"/>
          <w:sz w:val="22"/>
          <w:szCs w:val="22"/>
        </w:rPr>
        <w:t>Tribunales Superiores de Justicia</w:t>
      </w:r>
    </w:p>
    <w:p w:rsidR="00B60675" w:rsidRPr="00D85F6F" w:rsidRDefault="00B60675" w:rsidP="00B60675">
      <w:pPr>
        <w:jc w:val="center"/>
        <w:rPr>
          <w:rFonts w:ascii="Verdana" w:hAnsi="Verdana"/>
          <w:lang w:val="es-ES"/>
        </w:rPr>
      </w:pPr>
    </w:p>
    <w:tbl>
      <w:tblPr>
        <w:tblW w:w="8180" w:type="dxa"/>
        <w:tblInd w:w="55" w:type="dxa"/>
        <w:tblCellMar>
          <w:left w:w="70" w:type="dxa"/>
          <w:right w:w="70" w:type="dxa"/>
        </w:tblCellMar>
        <w:tblLook w:val="04A0" w:firstRow="1" w:lastRow="0" w:firstColumn="1" w:lastColumn="0" w:noHBand="0" w:noVBand="1"/>
      </w:tblPr>
      <w:tblGrid>
        <w:gridCol w:w="1200"/>
        <w:gridCol w:w="1480"/>
        <w:gridCol w:w="1520"/>
        <w:gridCol w:w="1200"/>
        <w:gridCol w:w="1580"/>
        <w:gridCol w:w="1200"/>
      </w:tblGrid>
      <w:tr w:rsidR="00600C9B" w:rsidRPr="00D85F6F"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4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52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5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RPr="00D85F6F"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1,4%</w:t>
            </w:r>
          </w:p>
        </w:tc>
        <w:tc>
          <w:tcPr>
            <w:tcW w:w="15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6,8%</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1,7%</w:t>
            </w:r>
          </w:p>
        </w:tc>
        <w:tc>
          <w:tcPr>
            <w:tcW w:w="15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1,6%</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4,9%</w:t>
            </w:r>
          </w:p>
        </w:tc>
      </w:tr>
      <w:tr w:rsidR="00600C9B" w:rsidRPr="00D85F6F" w:rsidTr="00600C9B">
        <w:trPr>
          <w:trHeight w:val="255"/>
        </w:trPr>
        <w:tc>
          <w:tcPr>
            <w:tcW w:w="1200" w:type="dxa"/>
            <w:tcBorders>
              <w:top w:val="nil"/>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0,5%</w:t>
            </w:r>
          </w:p>
        </w:tc>
        <w:tc>
          <w:tcPr>
            <w:tcW w:w="15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5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1,0%</w:t>
            </w:r>
          </w:p>
        </w:tc>
      </w:tr>
      <w:tr w:rsidR="00600C9B" w:rsidRPr="00D85F6F"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48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52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0,0</w:t>
            </w:r>
          </w:p>
        </w:tc>
        <w:tc>
          <w:tcPr>
            <w:tcW w:w="158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0,0</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0,0</w:t>
            </w:r>
          </w:p>
        </w:tc>
      </w:tr>
    </w:tbl>
    <w:p w:rsidR="001D6A3A" w:rsidRPr="00D85F6F" w:rsidRDefault="001D6A3A" w:rsidP="00B60675">
      <w:pPr>
        <w:jc w:val="center"/>
        <w:rPr>
          <w:rFonts w:ascii="Verdana" w:eastAsia="MS Mincho" w:hAnsi="Verdana" w:cs="Arial"/>
          <w:b/>
          <w:bCs/>
          <w:color w:val="244061"/>
          <w:lang w:eastAsia="ja-JP"/>
        </w:rPr>
      </w:pPr>
    </w:p>
    <w:p w:rsidR="0050756D" w:rsidRPr="00D85F6F" w:rsidRDefault="0050756D" w:rsidP="00B60675">
      <w:pPr>
        <w:jc w:val="center"/>
        <w:rPr>
          <w:rFonts w:ascii="Verdana" w:eastAsia="MS Mincho" w:hAnsi="Verdana" w:cs="Arial"/>
          <w:b/>
          <w:bCs/>
          <w:color w:val="244061"/>
          <w:lang w:eastAsia="ja-JP"/>
        </w:rPr>
      </w:pPr>
    </w:p>
    <w:p w:rsidR="00B60675" w:rsidRPr="00D85F6F" w:rsidRDefault="00B60675" w:rsidP="00B60675">
      <w:pPr>
        <w:jc w:val="center"/>
        <w:rPr>
          <w:rFonts w:ascii="Verdana" w:hAnsi="Verdana" w:cs="Arial"/>
          <w:b/>
          <w:bCs/>
          <w:color w:val="000080"/>
          <w:sz w:val="22"/>
          <w:szCs w:val="22"/>
        </w:rPr>
      </w:pPr>
      <w:r w:rsidRPr="00D85F6F">
        <w:rPr>
          <w:rFonts w:ascii="Verdana" w:hAnsi="Verdana" w:cs="Arial"/>
          <w:b/>
          <w:bCs/>
          <w:color w:val="000080"/>
          <w:sz w:val="22"/>
          <w:szCs w:val="22"/>
        </w:rPr>
        <w:t xml:space="preserve">Audiencias </w:t>
      </w:r>
      <w:r w:rsidR="00992284" w:rsidRPr="00D85F6F">
        <w:rPr>
          <w:rFonts w:ascii="Verdana" w:hAnsi="Verdana" w:cs="Arial"/>
          <w:b/>
          <w:bCs/>
          <w:color w:val="000080"/>
          <w:sz w:val="22"/>
          <w:szCs w:val="22"/>
        </w:rPr>
        <w:t>P</w:t>
      </w:r>
      <w:r w:rsidRPr="00D85F6F">
        <w:rPr>
          <w:rFonts w:ascii="Verdana" w:hAnsi="Verdana" w:cs="Arial"/>
          <w:b/>
          <w:bCs/>
          <w:color w:val="000080"/>
          <w:sz w:val="22"/>
          <w:szCs w:val="22"/>
        </w:rPr>
        <w:t>rovinciales</w:t>
      </w:r>
    </w:p>
    <w:p w:rsidR="00B60675" w:rsidRPr="00D85F6F" w:rsidRDefault="00B60675" w:rsidP="00B60675">
      <w:pPr>
        <w:jc w:val="center"/>
        <w:rPr>
          <w:rFonts w:ascii="Verdana" w:hAnsi="Verdana"/>
          <w:lang w:val="es-ES"/>
        </w:rPr>
      </w:pPr>
    </w:p>
    <w:tbl>
      <w:tblPr>
        <w:tblW w:w="8100" w:type="dxa"/>
        <w:tblInd w:w="55" w:type="dxa"/>
        <w:tblCellMar>
          <w:left w:w="70" w:type="dxa"/>
          <w:right w:w="70" w:type="dxa"/>
        </w:tblCellMar>
        <w:tblLook w:val="04A0" w:firstRow="1" w:lastRow="0" w:firstColumn="1" w:lastColumn="0" w:noHBand="0" w:noVBand="1"/>
      </w:tblPr>
      <w:tblGrid>
        <w:gridCol w:w="1240"/>
        <w:gridCol w:w="1420"/>
        <w:gridCol w:w="1460"/>
        <w:gridCol w:w="1200"/>
        <w:gridCol w:w="1580"/>
        <w:gridCol w:w="1200"/>
      </w:tblGrid>
      <w:tr w:rsidR="00600C9B" w:rsidTr="00600C9B">
        <w:trPr>
          <w:trHeight w:val="525"/>
        </w:trPr>
        <w:tc>
          <w:tcPr>
            <w:tcW w:w="124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42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46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5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Tr="00600C9B">
        <w:trPr>
          <w:trHeight w:val="255"/>
        </w:trPr>
        <w:tc>
          <w:tcPr>
            <w:tcW w:w="1240" w:type="dxa"/>
            <w:tcBorders>
              <w:top w:val="single" w:sz="8" w:space="0" w:color="auto"/>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PCNT</w:t>
            </w:r>
          </w:p>
        </w:tc>
        <w:tc>
          <w:tcPr>
            <w:tcW w:w="142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2,2%</w:t>
            </w:r>
          </w:p>
        </w:tc>
        <w:tc>
          <w:tcPr>
            <w:tcW w:w="146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8,1%</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8,6%</w:t>
            </w:r>
          </w:p>
        </w:tc>
        <w:tc>
          <w:tcPr>
            <w:tcW w:w="15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11,5%</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21,5%</w:t>
            </w:r>
          </w:p>
        </w:tc>
      </w:tr>
      <w:tr w:rsidR="00600C9B" w:rsidTr="00600C9B">
        <w:trPr>
          <w:trHeight w:val="255"/>
        </w:trPr>
        <w:tc>
          <w:tcPr>
            <w:tcW w:w="1240" w:type="dxa"/>
            <w:tcBorders>
              <w:top w:val="nil"/>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PDSC</w:t>
            </w:r>
          </w:p>
        </w:tc>
        <w:tc>
          <w:tcPr>
            <w:tcW w:w="142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0,4%</w:t>
            </w:r>
          </w:p>
        </w:tc>
        <w:tc>
          <w:tcPr>
            <w:tcW w:w="146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1,7%</w:t>
            </w:r>
          </w:p>
        </w:tc>
        <w:tc>
          <w:tcPr>
            <w:tcW w:w="15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2,8%</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1,6%</w:t>
            </w:r>
          </w:p>
        </w:tc>
      </w:tr>
      <w:tr w:rsidR="00600C9B" w:rsidTr="00600C9B">
        <w:trPr>
          <w:trHeight w:val="270"/>
        </w:trPr>
        <w:tc>
          <w:tcPr>
            <w:tcW w:w="1240" w:type="dxa"/>
            <w:tcBorders>
              <w:top w:val="nil"/>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IR</w:t>
            </w:r>
          </w:p>
        </w:tc>
        <w:tc>
          <w:tcPr>
            <w:tcW w:w="142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46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58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r>
    </w:tbl>
    <w:p w:rsidR="00992284" w:rsidRPr="00E92E28" w:rsidRDefault="00992284" w:rsidP="00992284">
      <w:pPr>
        <w:jc w:val="center"/>
        <w:rPr>
          <w:rFonts w:ascii="Verdana" w:hAnsi="Verdana"/>
          <w:lang w:val="es-ES"/>
        </w:rPr>
      </w:pPr>
    </w:p>
    <w:p w:rsidR="00F337C6" w:rsidRDefault="00F337C6" w:rsidP="00992284">
      <w:pPr>
        <w:jc w:val="center"/>
        <w:rPr>
          <w:rFonts w:ascii="Verdana" w:eastAsia="MS Mincho" w:hAnsi="Verdana" w:cs="Arial"/>
          <w:b/>
          <w:bCs/>
          <w:color w:val="244061"/>
          <w:lang w:eastAsia="ja-JP"/>
        </w:rPr>
      </w:pPr>
    </w:p>
    <w:p w:rsidR="00415290" w:rsidRDefault="00415290" w:rsidP="00992284">
      <w:pPr>
        <w:jc w:val="center"/>
        <w:rPr>
          <w:rFonts w:ascii="Verdana" w:eastAsia="MS Mincho" w:hAnsi="Verdana" w:cs="Arial"/>
          <w:b/>
          <w:bCs/>
          <w:color w:val="244061"/>
          <w:lang w:eastAsia="ja-JP"/>
        </w:rPr>
      </w:pPr>
    </w:p>
    <w:p w:rsidR="00415290" w:rsidRDefault="00415290" w:rsidP="00992284">
      <w:pPr>
        <w:jc w:val="center"/>
        <w:rPr>
          <w:rFonts w:ascii="Verdana" w:eastAsia="MS Mincho" w:hAnsi="Verdana" w:cs="Arial"/>
          <w:b/>
          <w:bCs/>
          <w:color w:val="244061"/>
          <w:lang w:eastAsia="ja-JP"/>
        </w:rPr>
      </w:pPr>
    </w:p>
    <w:p w:rsidR="00415290" w:rsidRPr="00E92E28" w:rsidRDefault="00415290" w:rsidP="00992284">
      <w:pPr>
        <w:jc w:val="center"/>
        <w:rPr>
          <w:rFonts w:ascii="Verdana" w:eastAsia="MS Mincho" w:hAnsi="Verdana" w:cs="Arial"/>
          <w:b/>
          <w:bCs/>
          <w:color w:val="244061"/>
          <w:lang w:eastAsia="ja-JP"/>
        </w:rPr>
      </w:pPr>
    </w:p>
    <w:p w:rsidR="00992284" w:rsidRPr="00D85F6F" w:rsidRDefault="00992284" w:rsidP="00992284">
      <w:pPr>
        <w:jc w:val="center"/>
        <w:rPr>
          <w:rFonts w:ascii="Verdana" w:hAnsi="Verdana" w:cs="Arial"/>
          <w:b/>
          <w:bCs/>
          <w:color w:val="000080"/>
          <w:sz w:val="22"/>
          <w:szCs w:val="22"/>
        </w:rPr>
      </w:pPr>
      <w:r w:rsidRPr="00D85F6F">
        <w:rPr>
          <w:rFonts w:ascii="Verdana" w:hAnsi="Verdana" w:cs="Arial"/>
          <w:b/>
          <w:bCs/>
          <w:color w:val="000080"/>
          <w:sz w:val="22"/>
          <w:szCs w:val="22"/>
        </w:rPr>
        <w:t xml:space="preserve">Juzgados de Instrucción, Primera Instancia y Primera Instancia e Instrucción </w:t>
      </w:r>
    </w:p>
    <w:p w:rsidR="00992284" w:rsidRPr="00D85F6F" w:rsidRDefault="00992284" w:rsidP="00992284">
      <w:pPr>
        <w:jc w:val="center"/>
        <w:rPr>
          <w:rFonts w:ascii="Verdana" w:hAnsi="Verdana"/>
        </w:rPr>
      </w:pPr>
    </w:p>
    <w:tbl>
      <w:tblPr>
        <w:tblW w:w="8020" w:type="dxa"/>
        <w:tblInd w:w="55" w:type="dxa"/>
        <w:tblCellMar>
          <w:left w:w="70" w:type="dxa"/>
          <w:right w:w="70" w:type="dxa"/>
        </w:tblCellMar>
        <w:tblLook w:val="04A0" w:firstRow="1" w:lastRow="0" w:firstColumn="1" w:lastColumn="0" w:noHBand="0" w:noVBand="1"/>
      </w:tblPr>
      <w:tblGrid>
        <w:gridCol w:w="1200"/>
        <w:gridCol w:w="1420"/>
        <w:gridCol w:w="1400"/>
        <w:gridCol w:w="1200"/>
        <w:gridCol w:w="1600"/>
        <w:gridCol w:w="1200"/>
      </w:tblGrid>
      <w:tr w:rsidR="00600C9B" w:rsidRPr="00D85F6F"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42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4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6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RPr="00D85F6F"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4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9,6%</w:t>
            </w:r>
          </w:p>
        </w:tc>
        <w:tc>
          <w:tcPr>
            <w:tcW w:w="14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17,5%</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16,0%</w:t>
            </w:r>
          </w:p>
        </w:tc>
        <w:tc>
          <w:tcPr>
            <w:tcW w:w="16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20,2%</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27,6%</w:t>
            </w:r>
          </w:p>
        </w:tc>
      </w:tr>
      <w:tr w:rsidR="00600C9B" w:rsidRPr="00D85F6F" w:rsidTr="00600C9B">
        <w:trPr>
          <w:trHeight w:val="255"/>
        </w:trPr>
        <w:tc>
          <w:tcPr>
            <w:tcW w:w="1200" w:type="dxa"/>
            <w:tcBorders>
              <w:top w:val="nil"/>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4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0,2%</w:t>
            </w:r>
          </w:p>
        </w:tc>
        <w:tc>
          <w:tcPr>
            <w:tcW w:w="14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1,1%</w:t>
            </w:r>
          </w:p>
        </w:tc>
        <w:tc>
          <w:tcPr>
            <w:tcW w:w="16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1,3%</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0,9%</w:t>
            </w:r>
          </w:p>
        </w:tc>
      </w:tr>
      <w:tr w:rsidR="00600C9B" w:rsidRPr="00D85F6F"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42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4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0,2</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6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r>
    </w:tbl>
    <w:p w:rsidR="00992284" w:rsidRPr="00D85F6F" w:rsidRDefault="00992284" w:rsidP="00992284">
      <w:pPr>
        <w:jc w:val="center"/>
        <w:rPr>
          <w:rFonts w:ascii="Verdana" w:hAnsi="Verdana"/>
          <w:lang w:val="es-ES"/>
        </w:rPr>
      </w:pPr>
    </w:p>
    <w:p w:rsidR="00992284" w:rsidRPr="00D85F6F" w:rsidRDefault="00992284" w:rsidP="00992284">
      <w:pPr>
        <w:jc w:val="center"/>
        <w:rPr>
          <w:rFonts w:ascii="Verdana" w:hAnsi="Verdana"/>
          <w:lang w:val="es-ES"/>
        </w:rPr>
      </w:pPr>
    </w:p>
    <w:p w:rsidR="00992284" w:rsidRPr="00D85F6F" w:rsidRDefault="00992284" w:rsidP="00992284">
      <w:pPr>
        <w:jc w:val="center"/>
        <w:rPr>
          <w:rFonts w:ascii="Verdana" w:eastAsia="MS Mincho" w:hAnsi="Verdana" w:cs="Arial"/>
          <w:b/>
          <w:bCs/>
          <w:color w:val="FF0000"/>
          <w:lang w:eastAsia="ja-JP"/>
        </w:rPr>
      </w:pPr>
      <w:r w:rsidRPr="00D85F6F">
        <w:rPr>
          <w:rFonts w:ascii="Verdana" w:hAnsi="Verdana" w:cs="Arial"/>
          <w:b/>
          <w:bCs/>
          <w:color w:val="000080"/>
          <w:sz w:val="22"/>
          <w:szCs w:val="22"/>
        </w:rPr>
        <w:t>Juzgados de lo Mercantil</w:t>
      </w:r>
    </w:p>
    <w:p w:rsidR="00992284" w:rsidRPr="00D85F6F" w:rsidRDefault="00992284" w:rsidP="00992284">
      <w:pPr>
        <w:jc w:val="center"/>
        <w:rPr>
          <w:rFonts w:ascii="Verdana" w:hAnsi="Verdana"/>
          <w:color w:val="FF0000"/>
          <w:lang w:val="es-ES"/>
        </w:rPr>
      </w:pPr>
    </w:p>
    <w:tbl>
      <w:tblPr>
        <w:tblW w:w="7840" w:type="dxa"/>
        <w:tblInd w:w="55" w:type="dxa"/>
        <w:tblCellMar>
          <w:left w:w="70" w:type="dxa"/>
          <w:right w:w="70" w:type="dxa"/>
        </w:tblCellMar>
        <w:tblLook w:val="04A0" w:firstRow="1" w:lastRow="0" w:firstColumn="1" w:lastColumn="0" w:noHBand="0" w:noVBand="1"/>
      </w:tblPr>
      <w:tblGrid>
        <w:gridCol w:w="1200"/>
        <w:gridCol w:w="1392"/>
        <w:gridCol w:w="1360"/>
        <w:gridCol w:w="1200"/>
        <w:gridCol w:w="1560"/>
        <w:gridCol w:w="1200"/>
      </w:tblGrid>
      <w:tr w:rsidR="00600C9B" w:rsidRPr="00D85F6F"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32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36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56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RPr="00D85F6F"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3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7,9%</w:t>
            </w:r>
          </w:p>
        </w:tc>
        <w:tc>
          <w:tcPr>
            <w:tcW w:w="13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10,1%</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17,5%</w:t>
            </w:r>
          </w:p>
        </w:tc>
        <w:tc>
          <w:tcPr>
            <w:tcW w:w="15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28,7%</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37,1%</w:t>
            </w:r>
          </w:p>
        </w:tc>
      </w:tr>
      <w:tr w:rsidR="00600C9B" w:rsidRPr="00D85F6F" w:rsidTr="00600C9B">
        <w:trPr>
          <w:trHeight w:val="255"/>
        </w:trPr>
        <w:tc>
          <w:tcPr>
            <w:tcW w:w="1200" w:type="dxa"/>
            <w:tcBorders>
              <w:top w:val="nil"/>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3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3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1,4%</w:t>
            </w:r>
          </w:p>
        </w:tc>
        <w:tc>
          <w:tcPr>
            <w:tcW w:w="156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0,7%</w:t>
            </w:r>
          </w:p>
        </w:tc>
      </w:tr>
      <w:tr w:rsidR="00600C9B" w:rsidRPr="00D85F6F"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32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36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56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0,2</w:t>
            </w:r>
          </w:p>
        </w:tc>
      </w:tr>
    </w:tbl>
    <w:p w:rsidR="00B37FAC" w:rsidRPr="00D85F6F" w:rsidRDefault="00B37FAC" w:rsidP="00992284">
      <w:pPr>
        <w:jc w:val="center"/>
        <w:rPr>
          <w:rFonts w:ascii="Verdana" w:hAnsi="Verdana" w:cs="Arial"/>
          <w:b/>
          <w:bCs/>
          <w:color w:val="000080"/>
        </w:rPr>
      </w:pPr>
    </w:p>
    <w:p w:rsidR="00B37FAC" w:rsidRPr="00D85F6F" w:rsidRDefault="00B37FAC" w:rsidP="00992284">
      <w:pPr>
        <w:jc w:val="center"/>
        <w:rPr>
          <w:rFonts w:ascii="Verdana" w:eastAsia="MS Mincho" w:hAnsi="Verdana" w:cs="Arial"/>
          <w:b/>
          <w:bCs/>
          <w:color w:val="000080"/>
          <w:lang w:eastAsia="ja-JP"/>
        </w:rPr>
      </w:pPr>
    </w:p>
    <w:p w:rsidR="00992284" w:rsidRPr="00D85F6F" w:rsidRDefault="00992284" w:rsidP="00992284">
      <w:pPr>
        <w:jc w:val="center"/>
        <w:rPr>
          <w:rFonts w:ascii="Verdana" w:hAnsi="Verdana" w:cs="Arial"/>
          <w:b/>
          <w:bCs/>
          <w:color w:val="000080"/>
          <w:sz w:val="22"/>
          <w:szCs w:val="22"/>
        </w:rPr>
      </w:pPr>
      <w:r w:rsidRPr="00D85F6F">
        <w:rPr>
          <w:rFonts w:ascii="Verdana" w:hAnsi="Verdana" w:cs="Arial"/>
          <w:b/>
          <w:bCs/>
          <w:color w:val="000080"/>
          <w:sz w:val="22"/>
          <w:szCs w:val="22"/>
        </w:rPr>
        <w:t xml:space="preserve">Juzgados de Violencia contra la </w:t>
      </w:r>
      <w:r w:rsidR="003E637B" w:rsidRPr="00D85F6F">
        <w:rPr>
          <w:rFonts w:ascii="Verdana" w:hAnsi="Verdana" w:cs="Arial"/>
          <w:b/>
          <w:bCs/>
          <w:color w:val="000080"/>
          <w:sz w:val="22"/>
          <w:szCs w:val="22"/>
        </w:rPr>
        <w:t>M</w:t>
      </w:r>
      <w:r w:rsidRPr="00D85F6F">
        <w:rPr>
          <w:rFonts w:ascii="Verdana" w:hAnsi="Verdana" w:cs="Arial"/>
          <w:b/>
          <w:bCs/>
          <w:color w:val="000080"/>
          <w:sz w:val="22"/>
          <w:szCs w:val="22"/>
        </w:rPr>
        <w:t>ujer</w:t>
      </w:r>
    </w:p>
    <w:p w:rsidR="00F43F65" w:rsidRPr="00D85F6F" w:rsidRDefault="00F43F65" w:rsidP="00992284">
      <w:pPr>
        <w:jc w:val="center"/>
        <w:rPr>
          <w:rFonts w:ascii="Verdana" w:hAnsi="Verdana" w:cs="Arial"/>
          <w:b/>
          <w:bCs/>
          <w:color w:val="000080"/>
          <w:sz w:val="22"/>
          <w:szCs w:val="22"/>
        </w:rPr>
      </w:pPr>
    </w:p>
    <w:tbl>
      <w:tblPr>
        <w:tblW w:w="8140" w:type="dxa"/>
        <w:tblInd w:w="55" w:type="dxa"/>
        <w:tblCellMar>
          <w:left w:w="70" w:type="dxa"/>
          <w:right w:w="70" w:type="dxa"/>
        </w:tblCellMar>
        <w:tblLook w:val="04A0" w:firstRow="1" w:lastRow="0" w:firstColumn="1" w:lastColumn="0" w:noHBand="0" w:noVBand="1"/>
      </w:tblPr>
      <w:tblGrid>
        <w:gridCol w:w="1400"/>
        <w:gridCol w:w="1420"/>
        <w:gridCol w:w="1300"/>
        <w:gridCol w:w="1200"/>
        <w:gridCol w:w="1480"/>
        <w:gridCol w:w="1380"/>
      </w:tblGrid>
      <w:tr w:rsidR="0002756F" w:rsidRPr="00D85F6F" w:rsidTr="0002756F">
        <w:trPr>
          <w:trHeight w:val="525"/>
        </w:trPr>
        <w:tc>
          <w:tcPr>
            <w:tcW w:w="1400" w:type="dxa"/>
            <w:tcBorders>
              <w:top w:val="nil"/>
              <w:left w:val="nil"/>
              <w:bottom w:val="nil"/>
              <w:right w:val="nil"/>
            </w:tcBorders>
            <w:shd w:val="clear" w:color="auto" w:fill="auto"/>
            <w:noWrap/>
            <w:vAlign w:val="center"/>
            <w:hideMark/>
          </w:tcPr>
          <w:p w:rsidR="0002756F" w:rsidRPr="00D85F6F" w:rsidRDefault="0002756F">
            <w:pPr>
              <w:jc w:val="center"/>
              <w:rPr>
                <w:rFonts w:ascii="Verdana" w:hAnsi="Verdana" w:cs="Arial"/>
                <w:sz w:val="20"/>
                <w:szCs w:val="20"/>
              </w:rPr>
            </w:pPr>
          </w:p>
        </w:tc>
        <w:tc>
          <w:tcPr>
            <w:tcW w:w="142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3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44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38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02756F" w:rsidRPr="00D85F6F" w:rsidTr="0002756F">
        <w:trPr>
          <w:trHeight w:val="255"/>
        </w:trPr>
        <w:tc>
          <w:tcPr>
            <w:tcW w:w="1400" w:type="dxa"/>
            <w:tcBorders>
              <w:top w:val="single" w:sz="8" w:space="0" w:color="auto"/>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12,2%</w:t>
            </w:r>
          </w:p>
        </w:tc>
        <w:tc>
          <w:tcPr>
            <w:tcW w:w="13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29,6%</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14,1%</w:t>
            </w:r>
          </w:p>
        </w:tc>
        <w:tc>
          <w:tcPr>
            <w:tcW w:w="14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17,0%</w:t>
            </w:r>
          </w:p>
        </w:tc>
        <w:tc>
          <w:tcPr>
            <w:tcW w:w="138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24,2%</w:t>
            </w:r>
          </w:p>
        </w:tc>
      </w:tr>
      <w:tr w:rsidR="0002756F" w:rsidRPr="00D85F6F" w:rsidTr="0002756F">
        <w:trPr>
          <w:trHeight w:val="255"/>
        </w:trPr>
        <w:tc>
          <w:tcPr>
            <w:tcW w:w="1400" w:type="dxa"/>
            <w:tcBorders>
              <w:top w:val="nil"/>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c>
          <w:tcPr>
            <w:tcW w:w="13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0,5%</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1,3%</w:t>
            </w:r>
          </w:p>
        </w:tc>
        <w:tc>
          <w:tcPr>
            <w:tcW w:w="14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1,5%</w:t>
            </w:r>
          </w:p>
        </w:tc>
        <w:tc>
          <w:tcPr>
            <w:tcW w:w="138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1,2%</w:t>
            </w:r>
          </w:p>
        </w:tc>
      </w:tr>
      <w:tr w:rsidR="0002756F" w:rsidRPr="00D85F6F" w:rsidTr="0002756F">
        <w:trPr>
          <w:trHeight w:val="270"/>
        </w:trPr>
        <w:tc>
          <w:tcPr>
            <w:tcW w:w="1400" w:type="dxa"/>
            <w:tcBorders>
              <w:top w:val="nil"/>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42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c>
          <w:tcPr>
            <w:tcW w:w="13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0,3</w:t>
            </w:r>
          </w:p>
        </w:tc>
        <w:tc>
          <w:tcPr>
            <w:tcW w:w="12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44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38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r>
    </w:tbl>
    <w:p w:rsidR="00992284" w:rsidRPr="00D85F6F" w:rsidRDefault="00992284" w:rsidP="00992284">
      <w:pPr>
        <w:jc w:val="center"/>
        <w:rPr>
          <w:rFonts w:ascii="Verdana" w:hAnsi="Verdana"/>
        </w:rPr>
      </w:pPr>
    </w:p>
    <w:p w:rsidR="00992284" w:rsidRPr="00D85F6F" w:rsidRDefault="00992284" w:rsidP="00992284">
      <w:pPr>
        <w:jc w:val="center"/>
        <w:rPr>
          <w:rFonts w:ascii="Verdana" w:hAnsi="Verdana"/>
          <w:lang w:val="es-ES"/>
        </w:rPr>
      </w:pPr>
    </w:p>
    <w:p w:rsidR="00992284" w:rsidRPr="00D85F6F" w:rsidRDefault="00992284" w:rsidP="00992284">
      <w:pPr>
        <w:jc w:val="center"/>
        <w:rPr>
          <w:rFonts w:ascii="Verdana" w:hAnsi="Verdana" w:cs="Arial"/>
          <w:b/>
          <w:bCs/>
          <w:color w:val="000080"/>
          <w:sz w:val="22"/>
          <w:szCs w:val="22"/>
        </w:rPr>
      </w:pPr>
      <w:r w:rsidRPr="00D85F6F">
        <w:rPr>
          <w:rFonts w:ascii="Verdana" w:hAnsi="Verdana" w:cs="Arial"/>
          <w:b/>
          <w:bCs/>
          <w:color w:val="000080"/>
          <w:sz w:val="22"/>
          <w:szCs w:val="22"/>
        </w:rPr>
        <w:t>Juzgados de lo Penal</w:t>
      </w:r>
    </w:p>
    <w:p w:rsidR="00992284" w:rsidRPr="00D85F6F" w:rsidRDefault="00992284" w:rsidP="00992284">
      <w:pPr>
        <w:jc w:val="center"/>
        <w:rPr>
          <w:rFonts w:ascii="Verdana" w:hAnsi="Verdana"/>
          <w:lang w:val="es-ES"/>
        </w:rPr>
      </w:pPr>
    </w:p>
    <w:tbl>
      <w:tblPr>
        <w:tblW w:w="8040" w:type="dxa"/>
        <w:tblInd w:w="55" w:type="dxa"/>
        <w:tblCellMar>
          <w:left w:w="70" w:type="dxa"/>
          <w:right w:w="70" w:type="dxa"/>
        </w:tblCellMar>
        <w:tblLook w:val="04A0" w:firstRow="1" w:lastRow="0" w:firstColumn="1" w:lastColumn="0" w:noHBand="0" w:noVBand="1"/>
      </w:tblPr>
      <w:tblGrid>
        <w:gridCol w:w="1420"/>
        <w:gridCol w:w="1400"/>
        <w:gridCol w:w="1340"/>
        <w:gridCol w:w="1200"/>
        <w:gridCol w:w="1480"/>
        <w:gridCol w:w="1200"/>
      </w:tblGrid>
      <w:tr w:rsidR="0002756F" w:rsidRPr="00D85F6F" w:rsidTr="0002756F">
        <w:trPr>
          <w:trHeight w:val="525"/>
        </w:trPr>
        <w:tc>
          <w:tcPr>
            <w:tcW w:w="1420" w:type="dxa"/>
            <w:tcBorders>
              <w:top w:val="nil"/>
              <w:left w:val="nil"/>
              <w:bottom w:val="nil"/>
              <w:right w:val="nil"/>
            </w:tcBorders>
            <w:shd w:val="clear" w:color="auto" w:fill="auto"/>
            <w:noWrap/>
            <w:vAlign w:val="center"/>
            <w:hideMark/>
          </w:tcPr>
          <w:p w:rsidR="0002756F" w:rsidRPr="00D85F6F" w:rsidRDefault="0002756F">
            <w:pPr>
              <w:rPr>
                <w:rFonts w:ascii="Verdana" w:hAnsi="Verdana" w:cs="Arial"/>
                <w:sz w:val="20"/>
                <w:szCs w:val="20"/>
              </w:rPr>
            </w:pPr>
          </w:p>
        </w:tc>
        <w:tc>
          <w:tcPr>
            <w:tcW w:w="14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34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48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02756F" w:rsidRPr="00D85F6F" w:rsidTr="0002756F">
        <w:trPr>
          <w:trHeight w:val="255"/>
        </w:trPr>
        <w:tc>
          <w:tcPr>
            <w:tcW w:w="1420" w:type="dxa"/>
            <w:tcBorders>
              <w:top w:val="single" w:sz="8" w:space="0" w:color="auto"/>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4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6,4%</w:t>
            </w:r>
          </w:p>
        </w:tc>
        <w:tc>
          <w:tcPr>
            <w:tcW w:w="13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15,6%</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20,2%</w:t>
            </w:r>
          </w:p>
        </w:tc>
        <w:tc>
          <w:tcPr>
            <w:tcW w:w="148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29,4%</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36,7%</w:t>
            </w:r>
          </w:p>
        </w:tc>
      </w:tr>
      <w:tr w:rsidR="0002756F" w:rsidRPr="00D85F6F" w:rsidTr="0002756F">
        <w:trPr>
          <w:trHeight w:val="255"/>
        </w:trPr>
        <w:tc>
          <w:tcPr>
            <w:tcW w:w="1420" w:type="dxa"/>
            <w:tcBorders>
              <w:top w:val="nil"/>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4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c>
          <w:tcPr>
            <w:tcW w:w="13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0,5%</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1,6%</w:t>
            </w:r>
          </w:p>
        </w:tc>
        <w:tc>
          <w:tcPr>
            <w:tcW w:w="148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1,4%</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1,6%</w:t>
            </w:r>
          </w:p>
        </w:tc>
      </w:tr>
      <w:tr w:rsidR="0002756F" w:rsidRPr="00D85F6F" w:rsidTr="0002756F">
        <w:trPr>
          <w:trHeight w:val="270"/>
        </w:trPr>
        <w:tc>
          <w:tcPr>
            <w:tcW w:w="1420" w:type="dxa"/>
            <w:tcBorders>
              <w:top w:val="nil"/>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4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34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c>
          <w:tcPr>
            <w:tcW w:w="12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48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r>
    </w:tbl>
    <w:p w:rsidR="00CB4CF0" w:rsidRPr="00D85F6F" w:rsidRDefault="00CB4CF0" w:rsidP="00992284">
      <w:pPr>
        <w:jc w:val="center"/>
        <w:rPr>
          <w:rFonts w:ascii="Verdana" w:hAnsi="Verdana" w:cs="Arial"/>
          <w:b/>
          <w:bCs/>
          <w:color w:val="000080"/>
        </w:rPr>
      </w:pPr>
    </w:p>
    <w:p w:rsidR="00BA1163" w:rsidRPr="00D85F6F" w:rsidRDefault="00BA1163" w:rsidP="00992284">
      <w:pPr>
        <w:jc w:val="center"/>
        <w:rPr>
          <w:rFonts w:ascii="Verdana" w:hAnsi="Verdana" w:cs="Arial"/>
          <w:b/>
          <w:bCs/>
          <w:color w:val="000080"/>
        </w:rPr>
      </w:pPr>
    </w:p>
    <w:p w:rsidR="0050756D" w:rsidRPr="00D85F6F" w:rsidRDefault="0050756D" w:rsidP="00992284">
      <w:pPr>
        <w:jc w:val="center"/>
        <w:rPr>
          <w:rFonts w:ascii="Verdana" w:eastAsia="MS Mincho" w:hAnsi="Verdana" w:cs="Arial"/>
          <w:b/>
          <w:bCs/>
          <w:color w:val="FF0000"/>
          <w:lang w:eastAsia="ja-JP"/>
        </w:rPr>
      </w:pPr>
    </w:p>
    <w:p w:rsidR="0050756D" w:rsidRPr="00D85F6F" w:rsidRDefault="0050756D" w:rsidP="00992284">
      <w:pPr>
        <w:jc w:val="center"/>
        <w:rPr>
          <w:rFonts w:ascii="Verdana" w:eastAsia="MS Mincho" w:hAnsi="Verdana" w:cs="Arial"/>
          <w:b/>
          <w:bCs/>
          <w:color w:val="FF0000"/>
          <w:lang w:eastAsia="ja-JP"/>
        </w:rPr>
      </w:pPr>
    </w:p>
    <w:p w:rsidR="0050756D" w:rsidRPr="00D85F6F" w:rsidRDefault="0050756D" w:rsidP="00992284">
      <w:pPr>
        <w:jc w:val="center"/>
        <w:rPr>
          <w:rFonts w:ascii="Verdana" w:eastAsia="MS Mincho" w:hAnsi="Verdana" w:cs="Arial"/>
          <w:b/>
          <w:bCs/>
          <w:color w:val="FF0000"/>
          <w:lang w:eastAsia="ja-JP"/>
        </w:rPr>
      </w:pPr>
    </w:p>
    <w:p w:rsidR="00992284" w:rsidRPr="00D85F6F" w:rsidRDefault="00992284" w:rsidP="00992284">
      <w:pPr>
        <w:jc w:val="center"/>
        <w:rPr>
          <w:rFonts w:ascii="Verdana" w:hAnsi="Verdana" w:cs="Arial"/>
          <w:b/>
          <w:bCs/>
          <w:color w:val="000080"/>
          <w:sz w:val="22"/>
          <w:szCs w:val="22"/>
        </w:rPr>
      </w:pPr>
      <w:r w:rsidRPr="00D85F6F">
        <w:rPr>
          <w:rFonts w:ascii="Verdana" w:hAnsi="Verdana" w:cs="Arial"/>
          <w:b/>
          <w:bCs/>
          <w:color w:val="000080"/>
          <w:sz w:val="22"/>
          <w:szCs w:val="22"/>
        </w:rPr>
        <w:t>Juzgados de Menores</w:t>
      </w:r>
    </w:p>
    <w:p w:rsidR="00992284" w:rsidRPr="00D85F6F" w:rsidRDefault="00992284" w:rsidP="00B60675">
      <w:pPr>
        <w:jc w:val="center"/>
        <w:rPr>
          <w:rFonts w:ascii="Verdana" w:hAnsi="Verdana"/>
          <w:lang w:val="es-ES"/>
        </w:rPr>
      </w:pPr>
    </w:p>
    <w:tbl>
      <w:tblPr>
        <w:tblW w:w="7880" w:type="dxa"/>
        <w:tblInd w:w="55" w:type="dxa"/>
        <w:tblCellMar>
          <w:left w:w="70" w:type="dxa"/>
          <w:right w:w="70" w:type="dxa"/>
        </w:tblCellMar>
        <w:tblLook w:val="04A0" w:firstRow="1" w:lastRow="0" w:firstColumn="1" w:lastColumn="0" w:noHBand="0" w:noVBand="1"/>
      </w:tblPr>
      <w:tblGrid>
        <w:gridCol w:w="1200"/>
        <w:gridCol w:w="1392"/>
        <w:gridCol w:w="1480"/>
        <w:gridCol w:w="1200"/>
        <w:gridCol w:w="1480"/>
        <w:gridCol w:w="1200"/>
      </w:tblGrid>
      <w:tr w:rsidR="00600C9B" w:rsidRPr="00D85F6F"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32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4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4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RPr="00D85F6F"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3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2,8%</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4,0%</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7,8%</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10,0%</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22,2%</w:t>
            </w:r>
          </w:p>
        </w:tc>
      </w:tr>
      <w:tr w:rsidR="00600C9B" w:rsidRPr="00D85F6F" w:rsidTr="00600C9B">
        <w:trPr>
          <w:trHeight w:val="255"/>
        </w:trPr>
        <w:tc>
          <w:tcPr>
            <w:tcW w:w="1200" w:type="dxa"/>
            <w:tcBorders>
              <w:top w:val="nil"/>
              <w:left w:val="nil"/>
              <w:bottom w:val="nil"/>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32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0,4%</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1,3%</w:t>
            </w:r>
          </w:p>
        </w:tc>
        <w:tc>
          <w:tcPr>
            <w:tcW w:w="148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0,7%</w:t>
            </w:r>
          </w:p>
        </w:tc>
        <w:tc>
          <w:tcPr>
            <w:tcW w:w="1200" w:type="dxa"/>
            <w:tcBorders>
              <w:top w:val="nil"/>
              <w:left w:val="nil"/>
              <w:bottom w:val="nil"/>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0,5%</w:t>
            </w:r>
          </w:p>
        </w:tc>
      </w:tr>
      <w:tr w:rsidR="00600C9B" w:rsidRPr="00D85F6F"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32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48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48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Pr="00D85F6F" w:rsidRDefault="00600C9B">
            <w:pPr>
              <w:jc w:val="right"/>
              <w:rPr>
                <w:rFonts w:ascii="Verdana" w:hAnsi="Verdana" w:cs="Arial"/>
                <w:sz w:val="20"/>
                <w:szCs w:val="20"/>
              </w:rPr>
            </w:pPr>
            <w:r w:rsidRPr="00D85F6F">
              <w:rPr>
                <w:rFonts w:ascii="Verdana" w:hAnsi="Verdana" w:cs="Arial"/>
                <w:sz w:val="20"/>
                <w:szCs w:val="20"/>
              </w:rPr>
              <w:t>0,2</w:t>
            </w:r>
          </w:p>
        </w:tc>
      </w:tr>
    </w:tbl>
    <w:p w:rsidR="00992284" w:rsidRPr="00D85F6F" w:rsidRDefault="00992284" w:rsidP="00B60675">
      <w:pPr>
        <w:jc w:val="center"/>
        <w:rPr>
          <w:rFonts w:ascii="Verdana" w:hAnsi="Verdana"/>
          <w:lang w:val="es-ES"/>
        </w:rPr>
      </w:pPr>
    </w:p>
    <w:p w:rsidR="00680EBA" w:rsidRPr="00D85F6F" w:rsidRDefault="00680EBA" w:rsidP="00B60675">
      <w:pPr>
        <w:jc w:val="center"/>
        <w:rPr>
          <w:rFonts w:ascii="Verdana" w:hAnsi="Verdana"/>
          <w:lang w:val="es-ES"/>
        </w:rPr>
      </w:pPr>
    </w:p>
    <w:p w:rsidR="005D00D2" w:rsidRPr="00D85F6F" w:rsidRDefault="005D00D2" w:rsidP="00B60675">
      <w:pPr>
        <w:jc w:val="center"/>
        <w:rPr>
          <w:rFonts w:ascii="Verdana" w:hAnsi="Verdana"/>
          <w:lang w:val="es-ES"/>
        </w:rPr>
      </w:pPr>
    </w:p>
    <w:p w:rsidR="005D00D2" w:rsidRPr="00D85F6F" w:rsidRDefault="005D00D2" w:rsidP="00B60675">
      <w:pPr>
        <w:jc w:val="center"/>
        <w:rPr>
          <w:rFonts w:ascii="Verdana" w:hAnsi="Verdana"/>
          <w:lang w:val="es-ES"/>
        </w:rPr>
      </w:pPr>
    </w:p>
    <w:p w:rsidR="00B60675" w:rsidRPr="00483315" w:rsidRDefault="00B60675" w:rsidP="00B60675">
      <w:pPr>
        <w:jc w:val="center"/>
        <w:rPr>
          <w:rFonts w:ascii="Verdana" w:hAnsi="Verdana" w:cs="Arial"/>
          <w:b/>
          <w:bCs/>
          <w:color w:val="000080"/>
          <w:sz w:val="22"/>
          <w:szCs w:val="22"/>
        </w:rPr>
      </w:pPr>
      <w:r w:rsidRPr="00D85F6F">
        <w:rPr>
          <w:rFonts w:ascii="Verdana" w:hAnsi="Verdana" w:cs="Arial"/>
          <w:b/>
          <w:bCs/>
          <w:color w:val="000080"/>
          <w:sz w:val="22"/>
          <w:szCs w:val="22"/>
        </w:rPr>
        <w:t>Juzgados de lo Contencioso</w:t>
      </w:r>
      <w:r w:rsidR="009E6C91" w:rsidRPr="00D85F6F">
        <w:rPr>
          <w:rFonts w:ascii="Verdana" w:hAnsi="Verdana" w:cs="Arial"/>
          <w:b/>
          <w:bCs/>
          <w:color w:val="000080"/>
          <w:sz w:val="22"/>
          <w:szCs w:val="22"/>
        </w:rPr>
        <w:t>-administrativo</w:t>
      </w:r>
    </w:p>
    <w:p w:rsidR="00B62FCA" w:rsidRPr="00E92E28" w:rsidRDefault="00B62FCA" w:rsidP="00B60675">
      <w:pPr>
        <w:jc w:val="center"/>
        <w:rPr>
          <w:rFonts w:ascii="Verdana" w:hAnsi="Verdana" w:cs="Arial"/>
          <w:b/>
          <w:bCs/>
          <w:color w:val="FF0000"/>
        </w:rPr>
      </w:pPr>
    </w:p>
    <w:tbl>
      <w:tblPr>
        <w:tblW w:w="8180" w:type="dxa"/>
        <w:tblInd w:w="55" w:type="dxa"/>
        <w:tblCellMar>
          <w:left w:w="70" w:type="dxa"/>
          <w:right w:w="70" w:type="dxa"/>
        </w:tblCellMar>
        <w:tblLook w:val="04A0" w:firstRow="1" w:lastRow="0" w:firstColumn="1" w:lastColumn="0" w:noHBand="0" w:noVBand="1"/>
      </w:tblPr>
      <w:tblGrid>
        <w:gridCol w:w="1580"/>
        <w:gridCol w:w="1392"/>
        <w:gridCol w:w="1340"/>
        <w:gridCol w:w="1200"/>
        <w:gridCol w:w="1480"/>
        <w:gridCol w:w="1200"/>
      </w:tblGrid>
      <w:tr w:rsidR="00600C9B" w:rsidTr="00600C9B">
        <w:trPr>
          <w:trHeight w:val="525"/>
        </w:trPr>
        <w:tc>
          <w:tcPr>
            <w:tcW w:w="1580" w:type="dxa"/>
            <w:tcBorders>
              <w:top w:val="nil"/>
              <w:left w:val="nil"/>
              <w:bottom w:val="nil"/>
              <w:right w:val="nil"/>
            </w:tcBorders>
            <w:shd w:val="clear" w:color="auto" w:fill="auto"/>
            <w:noWrap/>
            <w:vAlign w:val="center"/>
            <w:hideMark/>
          </w:tcPr>
          <w:p w:rsidR="00600C9B" w:rsidRDefault="00600C9B">
            <w:pPr>
              <w:rPr>
                <w:rFonts w:ascii="Verdana" w:hAnsi="Verdana" w:cs="Arial"/>
                <w:sz w:val="20"/>
                <w:szCs w:val="20"/>
              </w:rPr>
            </w:pPr>
          </w:p>
        </w:tc>
        <w:tc>
          <w:tcPr>
            <w:tcW w:w="138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 xml:space="preserve">Magistrado </w:t>
            </w:r>
          </w:p>
        </w:tc>
        <w:tc>
          <w:tcPr>
            <w:tcW w:w="134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Gestión Procesal</w:t>
            </w:r>
          </w:p>
        </w:tc>
        <w:tc>
          <w:tcPr>
            <w:tcW w:w="148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Auxilio Judicial</w:t>
            </w:r>
          </w:p>
        </w:tc>
      </w:tr>
      <w:tr w:rsidR="00600C9B" w:rsidTr="00600C9B">
        <w:trPr>
          <w:trHeight w:val="255"/>
        </w:trPr>
        <w:tc>
          <w:tcPr>
            <w:tcW w:w="1580" w:type="dxa"/>
            <w:tcBorders>
              <w:top w:val="single" w:sz="8" w:space="0" w:color="auto"/>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PCNT</w:t>
            </w:r>
          </w:p>
        </w:tc>
        <w:tc>
          <w:tcPr>
            <w:tcW w:w="13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5,3%</w:t>
            </w:r>
          </w:p>
        </w:tc>
        <w:tc>
          <w:tcPr>
            <w:tcW w:w="134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5,4%</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6,5%</w:t>
            </w:r>
          </w:p>
        </w:tc>
        <w:tc>
          <w:tcPr>
            <w:tcW w:w="14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10,5%</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22,1%</w:t>
            </w:r>
          </w:p>
        </w:tc>
      </w:tr>
      <w:tr w:rsidR="00600C9B" w:rsidTr="00600C9B">
        <w:trPr>
          <w:trHeight w:val="255"/>
        </w:trPr>
        <w:tc>
          <w:tcPr>
            <w:tcW w:w="1580" w:type="dxa"/>
            <w:tcBorders>
              <w:top w:val="nil"/>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PDSC</w:t>
            </w:r>
          </w:p>
        </w:tc>
        <w:tc>
          <w:tcPr>
            <w:tcW w:w="13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0,2%</w:t>
            </w:r>
          </w:p>
        </w:tc>
        <w:tc>
          <w:tcPr>
            <w:tcW w:w="134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0,3%</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0,8%</w:t>
            </w:r>
          </w:p>
        </w:tc>
        <w:tc>
          <w:tcPr>
            <w:tcW w:w="14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1,4%</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0,6%</w:t>
            </w:r>
          </w:p>
        </w:tc>
      </w:tr>
      <w:tr w:rsidR="00600C9B" w:rsidTr="00600C9B">
        <w:trPr>
          <w:trHeight w:val="270"/>
        </w:trPr>
        <w:tc>
          <w:tcPr>
            <w:tcW w:w="1580" w:type="dxa"/>
            <w:tcBorders>
              <w:top w:val="nil"/>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IR</w:t>
            </w:r>
          </w:p>
        </w:tc>
        <w:tc>
          <w:tcPr>
            <w:tcW w:w="138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34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48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0,2</w:t>
            </w:r>
          </w:p>
        </w:tc>
      </w:tr>
    </w:tbl>
    <w:p w:rsidR="00B60675" w:rsidRPr="00E92E28" w:rsidRDefault="00B60675" w:rsidP="00B60675">
      <w:pPr>
        <w:jc w:val="center"/>
        <w:rPr>
          <w:rFonts w:ascii="Verdana" w:hAnsi="Verdana"/>
          <w:lang w:val="es-ES"/>
        </w:rPr>
      </w:pPr>
    </w:p>
    <w:p w:rsidR="00B60675" w:rsidRPr="00E92E28" w:rsidRDefault="00B60675" w:rsidP="00B60675">
      <w:pPr>
        <w:jc w:val="center"/>
        <w:rPr>
          <w:rFonts w:ascii="Verdana" w:hAnsi="Verdana"/>
          <w:lang w:val="es-ES"/>
        </w:rPr>
      </w:pPr>
    </w:p>
    <w:p w:rsidR="00BA1163" w:rsidRPr="00E92E28" w:rsidRDefault="00BA1163" w:rsidP="00B60675">
      <w:pPr>
        <w:jc w:val="center"/>
        <w:rPr>
          <w:rFonts w:ascii="Verdana" w:eastAsia="MS Mincho" w:hAnsi="Verdana" w:cs="Arial"/>
          <w:b/>
          <w:bCs/>
          <w:color w:val="244061"/>
          <w:lang w:eastAsia="ja-JP"/>
        </w:rPr>
      </w:pPr>
    </w:p>
    <w:p w:rsidR="00B60675" w:rsidRPr="00D85F6F" w:rsidRDefault="00B60675" w:rsidP="00E6089B">
      <w:pPr>
        <w:jc w:val="center"/>
        <w:rPr>
          <w:rFonts w:ascii="Verdana" w:hAnsi="Verdana" w:cs="Arial"/>
          <w:b/>
          <w:bCs/>
          <w:color w:val="000080"/>
          <w:sz w:val="22"/>
          <w:szCs w:val="22"/>
        </w:rPr>
      </w:pPr>
      <w:r w:rsidRPr="00D85F6F">
        <w:rPr>
          <w:rFonts w:ascii="Verdana" w:hAnsi="Verdana" w:cs="Arial"/>
          <w:b/>
          <w:bCs/>
          <w:color w:val="000080"/>
          <w:sz w:val="22"/>
          <w:szCs w:val="22"/>
        </w:rPr>
        <w:t>Juzgados de lo Social</w:t>
      </w:r>
    </w:p>
    <w:p w:rsidR="00B60675" w:rsidRPr="00D85F6F" w:rsidRDefault="00B60675" w:rsidP="00B60675">
      <w:pPr>
        <w:jc w:val="center"/>
        <w:rPr>
          <w:rFonts w:ascii="Verdana" w:hAnsi="Verdana"/>
          <w:lang w:val="es-ES"/>
        </w:rPr>
      </w:pPr>
    </w:p>
    <w:tbl>
      <w:tblPr>
        <w:tblW w:w="8000" w:type="dxa"/>
        <w:tblInd w:w="55" w:type="dxa"/>
        <w:tblCellMar>
          <w:left w:w="70" w:type="dxa"/>
          <w:right w:w="70" w:type="dxa"/>
        </w:tblCellMar>
        <w:tblLook w:val="04A0" w:firstRow="1" w:lastRow="0" w:firstColumn="1" w:lastColumn="0" w:noHBand="0" w:noVBand="1"/>
      </w:tblPr>
      <w:tblGrid>
        <w:gridCol w:w="1420"/>
        <w:gridCol w:w="1420"/>
        <w:gridCol w:w="1340"/>
        <w:gridCol w:w="1200"/>
        <w:gridCol w:w="1480"/>
        <w:gridCol w:w="1200"/>
      </w:tblGrid>
      <w:tr w:rsidR="0002756F" w:rsidRPr="00D85F6F" w:rsidTr="0002756F">
        <w:trPr>
          <w:trHeight w:val="525"/>
        </w:trPr>
        <w:tc>
          <w:tcPr>
            <w:tcW w:w="1420" w:type="dxa"/>
            <w:tcBorders>
              <w:top w:val="nil"/>
              <w:left w:val="nil"/>
              <w:bottom w:val="nil"/>
              <w:right w:val="nil"/>
            </w:tcBorders>
            <w:shd w:val="clear" w:color="auto" w:fill="auto"/>
            <w:noWrap/>
            <w:vAlign w:val="center"/>
            <w:hideMark/>
          </w:tcPr>
          <w:p w:rsidR="0002756F" w:rsidRPr="00D85F6F" w:rsidRDefault="0002756F">
            <w:pPr>
              <w:rPr>
                <w:rFonts w:ascii="Verdana" w:hAnsi="Verdana" w:cs="Arial"/>
                <w:sz w:val="20"/>
                <w:szCs w:val="20"/>
              </w:rPr>
            </w:pPr>
          </w:p>
        </w:tc>
        <w:tc>
          <w:tcPr>
            <w:tcW w:w="142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34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42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02756F" w:rsidRPr="00D85F6F" w:rsidTr="0002756F">
        <w:trPr>
          <w:trHeight w:val="255"/>
        </w:trPr>
        <w:tc>
          <w:tcPr>
            <w:tcW w:w="1420" w:type="dxa"/>
            <w:tcBorders>
              <w:top w:val="single" w:sz="8" w:space="0" w:color="auto"/>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PCNT</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5,6%</w:t>
            </w:r>
          </w:p>
        </w:tc>
        <w:tc>
          <w:tcPr>
            <w:tcW w:w="13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4,7%</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11,7%</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18,4%</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33,2%</w:t>
            </w:r>
          </w:p>
        </w:tc>
      </w:tr>
      <w:tr w:rsidR="0002756F" w:rsidRPr="00D85F6F" w:rsidTr="0002756F">
        <w:trPr>
          <w:trHeight w:val="255"/>
        </w:trPr>
        <w:tc>
          <w:tcPr>
            <w:tcW w:w="1420" w:type="dxa"/>
            <w:tcBorders>
              <w:top w:val="nil"/>
              <w:left w:val="nil"/>
              <w:bottom w:val="nil"/>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PDSC</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34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0,7%</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0,6%</w:t>
            </w:r>
          </w:p>
        </w:tc>
        <w:tc>
          <w:tcPr>
            <w:tcW w:w="142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0,6%</w:t>
            </w:r>
          </w:p>
        </w:tc>
        <w:tc>
          <w:tcPr>
            <w:tcW w:w="1200" w:type="dxa"/>
            <w:tcBorders>
              <w:top w:val="nil"/>
              <w:left w:val="nil"/>
              <w:bottom w:val="nil"/>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0,3%</w:t>
            </w:r>
          </w:p>
        </w:tc>
      </w:tr>
      <w:tr w:rsidR="0002756F" w:rsidRPr="00D85F6F" w:rsidTr="0002756F">
        <w:trPr>
          <w:trHeight w:val="270"/>
        </w:trPr>
        <w:tc>
          <w:tcPr>
            <w:tcW w:w="1420" w:type="dxa"/>
            <w:tcBorders>
              <w:top w:val="nil"/>
              <w:left w:val="nil"/>
              <w:bottom w:val="single" w:sz="8" w:space="0" w:color="auto"/>
              <w:right w:val="nil"/>
            </w:tcBorders>
            <w:shd w:val="clear" w:color="auto" w:fill="auto"/>
            <w:vAlign w:val="center"/>
            <w:hideMark/>
          </w:tcPr>
          <w:p w:rsidR="0002756F" w:rsidRPr="00D85F6F" w:rsidRDefault="0002756F">
            <w:pPr>
              <w:jc w:val="center"/>
              <w:rPr>
                <w:rFonts w:ascii="Verdana" w:hAnsi="Verdana" w:cs="Arial"/>
                <w:b/>
                <w:bCs/>
                <w:color w:val="000080"/>
                <w:sz w:val="20"/>
                <w:szCs w:val="20"/>
              </w:rPr>
            </w:pPr>
            <w:r w:rsidRPr="00D85F6F">
              <w:rPr>
                <w:rFonts w:ascii="Verdana" w:hAnsi="Verdana" w:cs="Arial"/>
                <w:b/>
                <w:bCs/>
                <w:color w:val="000080"/>
                <w:sz w:val="20"/>
                <w:szCs w:val="20"/>
              </w:rPr>
              <w:t>IR</w:t>
            </w:r>
          </w:p>
        </w:tc>
        <w:tc>
          <w:tcPr>
            <w:tcW w:w="142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34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42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02756F" w:rsidRPr="00D85F6F" w:rsidRDefault="0002756F">
            <w:pPr>
              <w:jc w:val="right"/>
              <w:rPr>
                <w:rFonts w:ascii="Verdana" w:hAnsi="Verdana" w:cs="Arial"/>
                <w:sz w:val="20"/>
                <w:szCs w:val="20"/>
              </w:rPr>
            </w:pPr>
            <w:r w:rsidRPr="00D85F6F">
              <w:rPr>
                <w:rFonts w:ascii="Verdana" w:hAnsi="Verdana" w:cs="Arial"/>
                <w:sz w:val="20"/>
                <w:szCs w:val="20"/>
              </w:rPr>
              <w:t>0,2</w:t>
            </w:r>
          </w:p>
        </w:tc>
      </w:tr>
    </w:tbl>
    <w:p w:rsidR="00B60675" w:rsidRPr="00D85F6F" w:rsidRDefault="00B60675" w:rsidP="00B60675">
      <w:pPr>
        <w:jc w:val="center"/>
        <w:rPr>
          <w:rFonts w:ascii="Verdana" w:hAnsi="Verdana"/>
          <w:lang w:val="es-ES"/>
        </w:rPr>
      </w:pPr>
    </w:p>
    <w:p w:rsidR="0002756F" w:rsidRPr="00D85F6F" w:rsidRDefault="0002756F" w:rsidP="00B60675">
      <w:pPr>
        <w:jc w:val="center"/>
        <w:rPr>
          <w:rFonts w:ascii="Verdana" w:hAnsi="Verdana"/>
          <w:lang w:val="es-ES"/>
        </w:rPr>
      </w:pPr>
    </w:p>
    <w:p w:rsidR="00B60675" w:rsidRPr="00D85F6F" w:rsidRDefault="00B60675" w:rsidP="00E6089B">
      <w:pPr>
        <w:jc w:val="center"/>
        <w:rPr>
          <w:rFonts w:ascii="Verdana" w:hAnsi="Verdana" w:cs="Arial"/>
          <w:b/>
          <w:bCs/>
          <w:color w:val="000080"/>
          <w:sz w:val="22"/>
          <w:szCs w:val="22"/>
        </w:rPr>
      </w:pPr>
      <w:r w:rsidRPr="00D85F6F">
        <w:rPr>
          <w:rFonts w:ascii="Verdana" w:hAnsi="Verdana" w:cs="Arial"/>
          <w:b/>
          <w:bCs/>
          <w:color w:val="000080"/>
          <w:sz w:val="22"/>
          <w:szCs w:val="22"/>
        </w:rPr>
        <w:t>Juzgados de Vigilancia</w:t>
      </w:r>
      <w:r w:rsidR="009E6C91" w:rsidRPr="00D85F6F">
        <w:rPr>
          <w:rFonts w:ascii="Verdana" w:hAnsi="Verdana" w:cs="Arial"/>
          <w:b/>
          <w:bCs/>
          <w:color w:val="000080"/>
          <w:sz w:val="22"/>
          <w:szCs w:val="22"/>
        </w:rPr>
        <w:t xml:space="preserve"> Penitenciaria</w:t>
      </w:r>
    </w:p>
    <w:p w:rsidR="00B60675" w:rsidRPr="00D85F6F" w:rsidRDefault="00B60675" w:rsidP="00B60675">
      <w:pPr>
        <w:jc w:val="center"/>
        <w:rPr>
          <w:rFonts w:ascii="Verdana" w:hAnsi="Verdana"/>
          <w:lang w:val="es-ES"/>
        </w:rPr>
      </w:pPr>
    </w:p>
    <w:tbl>
      <w:tblPr>
        <w:tblW w:w="8020" w:type="dxa"/>
        <w:tblInd w:w="55" w:type="dxa"/>
        <w:tblCellMar>
          <w:left w:w="70" w:type="dxa"/>
          <w:right w:w="70" w:type="dxa"/>
        </w:tblCellMar>
        <w:tblLook w:val="04A0" w:firstRow="1" w:lastRow="0" w:firstColumn="1" w:lastColumn="0" w:noHBand="0" w:noVBand="1"/>
      </w:tblPr>
      <w:tblGrid>
        <w:gridCol w:w="1200"/>
        <w:gridCol w:w="1480"/>
        <w:gridCol w:w="1400"/>
        <w:gridCol w:w="1200"/>
        <w:gridCol w:w="1540"/>
        <w:gridCol w:w="1200"/>
      </w:tblGrid>
      <w:tr w:rsidR="00600C9B" w:rsidTr="00600C9B">
        <w:trPr>
          <w:trHeight w:val="525"/>
        </w:trPr>
        <w:tc>
          <w:tcPr>
            <w:tcW w:w="1200" w:type="dxa"/>
            <w:tcBorders>
              <w:top w:val="nil"/>
              <w:left w:val="nil"/>
              <w:bottom w:val="nil"/>
              <w:right w:val="nil"/>
            </w:tcBorders>
            <w:shd w:val="clear" w:color="auto" w:fill="auto"/>
            <w:noWrap/>
            <w:vAlign w:val="center"/>
            <w:hideMark/>
          </w:tcPr>
          <w:p w:rsidR="00600C9B" w:rsidRPr="00D85F6F" w:rsidRDefault="00600C9B">
            <w:pPr>
              <w:rPr>
                <w:rFonts w:ascii="Verdana" w:hAnsi="Verdana" w:cs="Arial"/>
                <w:sz w:val="20"/>
                <w:szCs w:val="20"/>
              </w:rPr>
            </w:pPr>
          </w:p>
        </w:tc>
        <w:tc>
          <w:tcPr>
            <w:tcW w:w="148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 xml:space="preserve">Magistrado </w:t>
            </w:r>
          </w:p>
        </w:tc>
        <w:tc>
          <w:tcPr>
            <w:tcW w:w="14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Secretario</w:t>
            </w:r>
          </w:p>
        </w:tc>
        <w:tc>
          <w:tcPr>
            <w:tcW w:w="120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Gestión Procesal</w:t>
            </w:r>
          </w:p>
        </w:tc>
        <w:tc>
          <w:tcPr>
            <w:tcW w:w="1540" w:type="dxa"/>
            <w:tcBorders>
              <w:top w:val="single" w:sz="8" w:space="0" w:color="auto"/>
              <w:left w:val="nil"/>
              <w:bottom w:val="single" w:sz="8" w:space="0" w:color="auto"/>
              <w:right w:val="nil"/>
            </w:tcBorders>
            <w:shd w:val="clear" w:color="auto" w:fill="auto"/>
            <w:vAlign w:val="center"/>
            <w:hideMark/>
          </w:tcPr>
          <w:p w:rsidR="00600C9B" w:rsidRPr="00D85F6F"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Tramitación Procesal</w:t>
            </w:r>
          </w:p>
        </w:tc>
        <w:tc>
          <w:tcPr>
            <w:tcW w:w="1200" w:type="dxa"/>
            <w:tcBorders>
              <w:top w:val="single" w:sz="8" w:space="0" w:color="auto"/>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sidRPr="00D85F6F">
              <w:rPr>
                <w:rFonts w:ascii="Verdana" w:hAnsi="Verdana" w:cs="Arial"/>
                <w:b/>
                <w:bCs/>
                <w:color w:val="000080"/>
                <w:sz w:val="20"/>
                <w:szCs w:val="20"/>
              </w:rPr>
              <w:t>Auxilio Judicial</w:t>
            </w:r>
          </w:p>
        </w:tc>
      </w:tr>
      <w:tr w:rsidR="00600C9B" w:rsidTr="00600C9B">
        <w:trPr>
          <w:trHeight w:val="255"/>
        </w:trPr>
        <w:tc>
          <w:tcPr>
            <w:tcW w:w="1200" w:type="dxa"/>
            <w:tcBorders>
              <w:top w:val="single" w:sz="8" w:space="0" w:color="auto"/>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PCNT</w:t>
            </w:r>
          </w:p>
        </w:tc>
        <w:tc>
          <w:tcPr>
            <w:tcW w:w="14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3,5%</w:t>
            </w:r>
          </w:p>
        </w:tc>
        <w:tc>
          <w:tcPr>
            <w:tcW w:w="14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10,2%</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6,4%</w:t>
            </w:r>
          </w:p>
        </w:tc>
        <w:tc>
          <w:tcPr>
            <w:tcW w:w="154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14,1%</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28,0%</w:t>
            </w:r>
          </w:p>
        </w:tc>
      </w:tr>
      <w:tr w:rsidR="00600C9B" w:rsidTr="00600C9B">
        <w:trPr>
          <w:trHeight w:val="255"/>
        </w:trPr>
        <w:tc>
          <w:tcPr>
            <w:tcW w:w="1200" w:type="dxa"/>
            <w:tcBorders>
              <w:top w:val="nil"/>
              <w:left w:val="nil"/>
              <w:bottom w:val="nil"/>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PDSC</w:t>
            </w:r>
          </w:p>
        </w:tc>
        <w:tc>
          <w:tcPr>
            <w:tcW w:w="148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0,0%</w:t>
            </w:r>
          </w:p>
        </w:tc>
        <w:tc>
          <w:tcPr>
            <w:tcW w:w="14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0,2%</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1,0%</w:t>
            </w:r>
          </w:p>
        </w:tc>
        <w:tc>
          <w:tcPr>
            <w:tcW w:w="154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1,8%</w:t>
            </w:r>
          </w:p>
        </w:tc>
        <w:tc>
          <w:tcPr>
            <w:tcW w:w="1200" w:type="dxa"/>
            <w:tcBorders>
              <w:top w:val="nil"/>
              <w:left w:val="nil"/>
              <w:bottom w:val="nil"/>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1,1%</w:t>
            </w:r>
          </w:p>
        </w:tc>
      </w:tr>
      <w:tr w:rsidR="00600C9B" w:rsidTr="00600C9B">
        <w:trPr>
          <w:trHeight w:val="270"/>
        </w:trPr>
        <w:tc>
          <w:tcPr>
            <w:tcW w:w="1200" w:type="dxa"/>
            <w:tcBorders>
              <w:top w:val="nil"/>
              <w:left w:val="nil"/>
              <w:bottom w:val="single" w:sz="8" w:space="0" w:color="auto"/>
              <w:right w:val="nil"/>
            </w:tcBorders>
            <w:shd w:val="clear" w:color="auto" w:fill="auto"/>
            <w:vAlign w:val="center"/>
            <w:hideMark/>
          </w:tcPr>
          <w:p w:rsidR="00600C9B" w:rsidRDefault="00600C9B">
            <w:pPr>
              <w:jc w:val="center"/>
              <w:rPr>
                <w:rFonts w:ascii="Verdana" w:hAnsi="Verdana" w:cs="Arial"/>
                <w:b/>
                <w:bCs/>
                <w:color w:val="000080"/>
                <w:sz w:val="20"/>
                <w:szCs w:val="20"/>
              </w:rPr>
            </w:pPr>
            <w:r>
              <w:rPr>
                <w:rFonts w:ascii="Verdana" w:hAnsi="Verdana" w:cs="Arial"/>
                <w:b/>
                <w:bCs/>
                <w:color w:val="000080"/>
                <w:sz w:val="20"/>
                <w:szCs w:val="20"/>
              </w:rPr>
              <w:t>IR</w:t>
            </w:r>
          </w:p>
        </w:tc>
        <w:tc>
          <w:tcPr>
            <w:tcW w:w="148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4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0,2</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54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0,1</w:t>
            </w:r>
          </w:p>
        </w:tc>
        <w:tc>
          <w:tcPr>
            <w:tcW w:w="1200" w:type="dxa"/>
            <w:tcBorders>
              <w:top w:val="nil"/>
              <w:left w:val="nil"/>
              <w:bottom w:val="single" w:sz="8" w:space="0" w:color="auto"/>
              <w:right w:val="nil"/>
            </w:tcBorders>
            <w:shd w:val="clear" w:color="auto" w:fill="auto"/>
            <w:noWrap/>
            <w:vAlign w:val="center"/>
            <w:hideMark/>
          </w:tcPr>
          <w:p w:rsidR="00600C9B" w:rsidRDefault="00600C9B">
            <w:pPr>
              <w:jc w:val="right"/>
              <w:rPr>
                <w:rFonts w:ascii="Verdana" w:hAnsi="Verdana" w:cs="Arial"/>
                <w:sz w:val="20"/>
                <w:szCs w:val="20"/>
              </w:rPr>
            </w:pPr>
            <w:r>
              <w:rPr>
                <w:rFonts w:ascii="Verdana" w:hAnsi="Verdana" w:cs="Arial"/>
                <w:sz w:val="20"/>
                <w:szCs w:val="20"/>
              </w:rPr>
              <w:t>0,2</w:t>
            </w:r>
          </w:p>
        </w:tc>
      </w:tr>
    </w:tbl>
    <w:p w:rsidR="00E92E28" w:rsidRDefault="00E92E28" w:rsidP="007A4FA7">
      <w:pPr>
        <w:pStyle w:val="Textoindependiente"/>
        <w:spacing w:before="120" w:after="120"/>
        <w:ind w:firstLine="357"/>
        <w:rPr>
          <w:rFonts w:ascii="Verdana" w:hAnsi="Verdana"/>
          <w:sz w:val="20"/>
        </w:rPr>
      </w:pPr>
    </w:p>
    <w:p w:rsidR="00E92E28" w:rsidRDefault="00E92E28" w:rsidP="007A4FA7">
      <w:pPr>
        <w:pStyle w:val="Textoindependiente"/>
        <w:spacing w:before="120" w:after="120"/>
        <w:ind w:firstLine="357"/>
        <w:rPr>
          <w:rFonts w:ascii="Verdana" w:hAnsi="Verdana"/>
          <w:sz w:val="20"/>
        </w:rPr>
      </w:pPr>
    </w:p>
    <w:p w:rsidR="0022624E" w:rsidRDefault="0022624E" w:rsidP="007A4FA7">
      <w:pPr>
        <w:pStyle w:val="Textoindependiente"/>
        <w:spacing w:before="120" w:after="120"/>
        <w:ind w:firstLine="357"/>
        <w:rPr>
          <w:rFonts w:ascii="Verdana" w:hAnsi="Verdana"/>
          <w:sz w:val="20"/>
        </w:rPr>
      </w:pPr>
      <w:r w:rsidRPr="00E92E28">
        <w:rPr>
          <w:rFonts w:ascii="Verdana" w:hAnsi="Verdana"/>
          <w:sz w:val="20"/>
        </w:rPr>
        <w:t xml:space="preserve">Los siguientes gráficos ofrecen una visión conjunta de los distintos tipos de órganos para las diferentes categorías profesionales: </w:t>
      </w:r>
    </w:p>
    <w:p w:rsidR="0022624E" w:rsidRPr="00CE214A" w:rsidRDefault="003D5FF7" w:rsidP="008B65E7">
      <w:pPr>
        <w:pStyle w:val="Textoindependiente"/>
        <w:spacing w:before="120" w:after="120"/>
        <w:jc w:val="center"/>
        <w:rPr>
          <w:rFonts w:ascii="Verdana" w:hAnsi="Verdana"/>
        </w:rPr>
      </w:pPr>
      <w:r>
        <w:rPr>
          <w:noProof/>
        </w:rPr>
        <w:lastRenderedPageBreak/>
        <w:drawing>
          <wp:inline distT="0" distB="0" distL="0" distR="0" wp14:anchorId="54E77275" wp14:editId="4E1EE166">
            <wp:extent cx="5400675" cy="3600450"/>
            <wp:effectExtent l="0" t="0" r="9525"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04F1B" w:rsidRDefault="00604F1B" w:rsidP="000410FE">
      <w:pPr>
        <w:pStyle w:val="Textoindependiente"/>
        <w:spacing w:before="120" w:after="120"/>
        <w:jc w:val="center"/>
        <w:rPr>
          <w:rFonts w:ascii="Verdana" w:hAnsi="Verdana"/>
        </w:rPr>
      </w:pPr>
    </w:p>
    <w:p w:rsidR="0022624E" w:rsidRDefault="003D5FF7" w:rsidP="000410FE">
      <w:pPr>
        <w:pStyle w:val="Textoindependiente"/>
        <w:spacing w:before="120" w:after="120"/>
        <w:jc w:val="center"/>
        <w:rPr>
          <w:rFonts w:ascii="Verdana" w:hAnsi="Verdana"/>
        </w:rPr>
      </w:pPr>
      <w:r>
        <w:rPr>
          <w:noProof/>
        </w:rPr>
        <w:drawing>
          <wp:inline distT="0" distB="0" distL="0" distR="0" wp14:anchorId="11B9F04E" wp14:editId="2544A98B">
            <wp:extent cx="5400675" cy="3600450"/>
            <wp:effectExtent l="0" t="0" r="952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04F1B" w:rsidRPr="00CE214A" w:rsidRDefault="00604F1B" w:rsidP="000410FE">
      <w:pPr>
        <w:pStyle w:val="Textoindependiente"/>
        <w:spacing w:before="120" w:after="120"/>
        <w:jc w:val="center"/>
        <w:rPr>
          <w:rFonts w:ascii="Verdana" w:hAnsi="Verdana"/>
        </w:rPr>
      </w:pPr>
    </w:p>
    <w:p w:rsidR="00905740" w:rsidRPr="00CE214A" w:rsidRDefault="00905740" w:rsidP="000410FE">
      <w:pPr>
        <w:pStyle w:val="Textoindependiente"/>
        <w:spacing w:before="120" w:after="120"/>
        <w:jc w:val="center"/>
        <w:rPr>
          <w:rFonts w:ascii="Verdana" w:hAnsi="Verdana"/>
        </w:rPr>
      </w:pPr>
    </w:p>
    <w:p w:rsidR="00905740" w:rsidRPr="00CE214A" w:rsidRDefault="00905740" w:rsidP="000410FE">
      <w:pPr>
        <w:pStyle w:val="Textoindependiente"/>
        <w:spacing w:before="120" w:after="120"/>
        <w:jc w:val="center"/>
        <w:rPr>
          <w:rFonts w:ascii="Verdana" w:hAnsi="Verdana"/>
        </w:rPr>
      </w:pPr>
    </w:p>
    <w:p w:rsidR="003C5936" w:rsidRPr="00CE214A" w:rsidRDefault="003D5FF7" w:rsidP="000410FE">
      <w:pPr>
        <w:pStyle w:val="Textoindependiente"/>
        <w:spacing w:before="120" w:after="120"/>
        <w:jc w:val="center"/>
        <w:rPr>
          <w:rFonts w:ascii="Verdana" w:hAnsi="Verdana"/>
        </w:rPr>
      </w:pPr>
      <w:r>
        <w:rPr>
          <w:noProof/>
        </w:rPr>
        <w:lastRenderedPageBreak/>
        <w:drawing>
          <wp:inline distT="0" distB="0" distL="0" distR="0" wp14:anchorId="5628FEBB" wp14:editId="7DC11F7A">
            <wp:extent cx="5400675" cy="3600450"/>
            <wp:effectExtent l="0" t="0" r="9525"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C5936" w:rsidRPr="00CE214A" w:rsidRDefault="003C5936" w:rsidP="000410FE">
      <w:pPr>
        <w:pStyle w:val="Textoindependiente"/>
        <w:spacing w:before="120" w:after="120"/>
        <w:jc w:val="center"/>
        <w:rPr>
          <w:rFonts w:ascii="Verdana" w:hAnsi="Verdana"/>
        </w:rPr>
      </w:pPr>
    </w:p>
    <w:p w:rsidR="00905740" w:rsidRPr="00CE214A" w:rsidRDefault="00905740" w:rsidP="000410FE">
      <w:pPr>
        <w:pStyle w:val="Textoindependiente"/>
        <w:spacing w:before="120" w:after="120"/>
        <w:jc w:val="center"/>
        <w:rPr>
          <w:rFonts w:ascii="Verdana" w:hAnsi="Verdana"/>
        </w:rPr>
      </w:pPr>
    </w:p>
    <w:p w:rsidR="00905740" w:rsidRPr="00CE214A" w:rsidRDefault="003D5FF7" w:rsidP="000410FE">
      <w:pPr>
        <w:pStyle w:val="Textoindependiente"/>
        <w:spacing w:before="120" w:after="120"/>
        <w:jc w:val="center"/>
        <w:rPr>
          <w:rFonts w:ascii="Verdana" w:hAnsi="Verdana"/>
        </w:rPr>
      </w:pPr>
      <w:r>
        <w:rPr>
          <w:noProof/>
        </w:rPr>
        <w:drawing>
          <wp:inline distT="0" distB="0" distL="0" distR="0" wp14:anchorId="74E17976" wp14:editId="08FDA4AC">
            <wp:extent cx="5400675" cy="3600450"/>
            <wp:effectExtent l="0" t="0" r="9525"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30BB2" w:rsidRDefault="00930BB2" w:rsidP="000410FE">
      <w:pPr>
        <w:pStyle w:val="Textoindependiente"/>
        <w:spacing w:before="120" w:after="120"/>
        <w:jc w:val="center"/>
        <w:rPr>
          <w:rFonts w:ascii="Verdana" w:hAnsi="Verdana"/>
        </w:rPr>
      </w:pPr>
    </w:p>
    <w:p w:rsidR="0022624E" w:rsidRPr="00CE214A" w:rsidRDefault="003D5FF7" w:rsidP="000410FE">
      <w:pPr>
        <w:pStyle w:val="Textoindependiente"/>
        <w:spacing w:before="120" w:after="120"/>
        <w:jc w:val="center"/>
        <w:rPr>
          <w:rFonts w:ascii="Verdana" w:hAnsi="Verdana"/>
        </w:rPr>
      </w:pPr>
      <w:r>
        <w:rPr>
          <w:noProof/>
        </w:rPr>
        <w:lastRenderedPageBreak/>
        <w:drawing>
          <wp:inline distT="0" distB="0" distL="0" distR="0" wp14:anchorId="05A31741" wp14:editId="5CBFD800">
            <wp:extent cx="5400675" cy="3609975"/>
            <wp:effectExtent l="0" t="0" r="9525"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2624E" w:rsidRPr="00CE214A" w:rsidRDefault="0022624E" w:rsidP="000410FE">
      <w:pPr>
        <w:pStyle w:val="Textoindependiente"/>
        <w:spacing w:before="120" w:after="120"/>
        <w:jc w:val="center"/>
        <w:rPr>
          <w:rFonts w:ascii="Verdana" w:hAnsi="Verdana"/>
        </w:rPr>
      </w:pPr>
    </w:p>
    <w:p w:rsidR="00E92E28" w:rsidRDefault="00E92E28" w:rsidP="00AA10AA">
      <w:pPr>
        <w:pStyle w:val="Textoindependiente"/>
        <w:spacing w:before="120" w:after="120"/>
        <w:ind w:firstLine="357"/>
        <w:rPr>
          <w:rFonts w:ascii="Verdana" w:hAnsi="Verdana"/>
          <w:sz w:val="20"/>
        </w:rPr>
      </w:pPr>
    </w:p>
    <w:p w:rsidR="00E92E28" w:rsidRDefault="00E92E28" w:rsidP="00AA10AA">
      <w:pPr>
        <w:pStyle w:val="Textoindependiente"/>
        <w:spacing w:before="120" w:after="120"/>
        <w:ind w:firstLine="357"/>
        <w:rPr>
          <w:rFonts w:ascii="Verdana" w:hAnsi="Verdana"/>
          <w:sz w:val="20"/>
        </w:rPr>
      </w:pPr>
    </w:p>
    <w:p w:rsidR="00E92E28" w:rsidRDefault="00E92E28" w:rsidP="00AA10AA">
      <w:pPr>
        <w:pStyle w:val="Textoindependiente"/>
        <w:spacing w:before="120" w:after="120"/>
        <w:ind w:firstLine="357"/>
        <w:rPr>
          <w:rFonts w:ascii="Verdana" w:hAnsi="Verdana"/>
          <w:sz w:val="20"/>
        </w:rPr>
      </w:pPr>
    </w:p>
    <w:p w:rsidR="0022624E" w:rsidRPr="00CE214A" w:rsidRDefault="0022624E" w:rsidP="00AA10AA">
      <w:pPr>
        <w:pStyle w:val="Textoindependiente"/>
        <w:spacing w:before="120" w:after="120"/>
        <w:ind w:firstLine="357"/>
        <w:rPr>
          <w:rFonts w:ascii="Verdana" w:hAnsi="Verdana"/>
        </w:rPr>
      </w:pPr>
      <w:r w:rsidRPr="00D85F6F">
        <w:rPr>
          <w:rFonts w:ascii="Verdana" w:hAnsi="Verdana"/>
          <w:sz w:val="20"/>
        </w:rPr>
        <w:t>Finalmente, y a modo d</w:t>
      </w:r>
      <w:r w:rsidR="00461C31" w:rsidRPr="00D85F6F">
        <w:rPr>
          <w:rFonts w:ascii="Verdana" w:hAnsi="Verdana"/>
          <w:sz w:val="20"/>
        </w:rPr>
        <w:t>e</w:t>
      </w:r>
      <w:r w:rsidRPr="00D85F6F">
        <w:rPr>
          <w:rFonts w:ascii="Verdana" w:hAnsi="Verdana"/>
          <w:sz w:val="20"/>
        </w:rPr>
        <w:t xml:space="preserve"> ejemplo, se ofrecen los gráficos resumen de</w:t>
      </w:r>
      <w:r w:rsidR="009E6C91" w:rsidRPr="00D85F6F">
        <w:rPr>
          <w:rFonts w:ascii="Verdana" w:hAnsi="Verdana"/>
          <w:sz w:val="20"/>
        </w:rPr>
        <w:t xml:space="preserve"> la situación en los distintos tribunales superiores de j</w:t>
      </w:r>
      <w:r w:rsidRPr="00D85F6F">
        <w:rPr>
          <w:rFonts w:ascii="Verdana" w:hAnsi="Verdana"/>
          <w:sz w:val="20"/>
        </w:rPr>
        <w:t>usticia de la situación en los juzgados de instrucción, primera instancia e instrucción y primera instancia:</w:t>
      </w:r>
    </w:p>
    <w:p w:rsidR="0022624E" w:rsidRPr="00CE214A" w:rsidRDefault="0022624E" w:rsidP="000410FE">
      <w:pPr>
        <w:pStyle w:val="Textoindependiente"/>
        <w:spacing w:before="120" w:after="120"/>
        <w:jc w:val="center"/>
        <w:rPr>
          <w:rFonts w:ascii="Verdana" w:hAnsi="Verdana"/>
        </w:rPr>
      </w:pPr>
    </w:p>
    <w:p w:rsidR="00E53583" w:rsidRPr="00CE214A" w:rsidRDefault="004C0931" w:rsidP="000410FE">
      <w:pPr>
        <w:pStyle w:val="Textoindependiente"/>
        <w:spacing w:before="120" w:after="120"/>
        <w:jc w:val="center"/>
        <w:rPr>
          <w:rFonts w:ascii="Verdana" w:hAnsi="Verdana"/>
        </w:rPr>
      </w:pPr>
      <w:r>
        <w:rPr>
          <w:noProof/>
        </w:rPr>
        <w:drawing>
          <wp:inline distT="0" distB="0" distL="0" distR="0" wp14:anchorId="46CE6B77" wp14:editId="77FD8A8B">
            <wp:extent cx="5400675" cy="3600450"/>
            <wp:effectExtent l="0" t="0" r="9525"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C6F43" w:rsidRPr="00CE214A" w:rsidRDefault="001C6F43" w:rsidP="000410FE">
      <w:pPr>
        <w:pStyle w:val="Textoindependiente"/>
        <w:spacing w:before="120" w:after="120"/>
        <w:jc w:val="center"/>
        <w:rPr>
          <w:rFonts w:ascii="Verdana" w:hAnsi="Verdana"/>
        </w:rPr>
      </w:pPr>
    </w:p>
    <w:p w:rsidR="0022624E" w:rsidRPr="00CE214A" w:rsidRDefault="00421962" w:rsidP="000410FE">
      <w:pPr>
        <w:pStyle w:val="Textoindependiente"/>
        <w:spacing w:before="120" w:after="120"/>
        <w:jc w:val="center"/>
        <w:rPr>
          <w:rFonts w:ascii="Verdana" w:hAnsi="Verdana"/>
        </w:rPr>
      </w:pPr>
      <w:r>
        <w:rPr>
          <w:noProof/>
        </w:rPr>
        <w:drawing>
          <wp:inline distT="0" distB="0" distL="0" distR="0" wp14:anchorId="54B9004A" wp14:editId="584CF238">
            <wp:extent cx="5400675" cy="3600450"/>
            <wp:effectExtent l="0" t="0" r="9525"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22624E" w:rsidRPr="00CE214A" w:rsidRDefault="0022624E" w:rsidP="000410FE">
      <w:pPr>
        <w:pStyle w:val="Textoindependiente"/>
        <w:spacing w:before="120" w:after="120"/>
        <w:jc w:val="center"/>
        <w:rPr>
          <w:rFonts w:ascii="Verdana" w:hAnsi="Verdana"/>
        </w:rPr>
      </w:pPr>
    </w:p>
    <w:p w:rsidR="001C6F43" w:rsidRPr="00CE214A" w:rsidRDefault="00421962" w:rsidP="000410FE">
      <w:pPr>
        <w:pStyle w:val="Textoindependiente"/>
        <w:spacing w:before="120" w:after="120"/>
        <w:jc w:val="center"/>
        <w:rPr>
          <w:rFonts w:ascii="Verdana" w:hAnsi="Verdana"/>
        </w:rPr>
      </w:pPr>
      <w:r>
        <w:rPr>
          <w:noProof/>
        </w:rPr>
        <w:drawing>
          <wp:inline distT="0" distB="0" distL="0" distR="0" wp14:anchorId="1AF5384C" wp14:editId="4C7D68F1">
            <wp:extent cx="5400675" cy="3581400"/>
            <wp:effectExtent l="0" t="0" r="9525"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C6F43" w:rsidRPr="00CE214A" w:rsidRDefault="001C6F43" w:rsidP="000410FE">
      <w:pPr>
        <w:pStyle w:val="Textoindependiente"/>
        <w:spacing w:before="120" w:after="120"/>
        <w:jc w:val="center"/>
        <w:rPr>
          <w:rFonts w:ascii="Verdana" w:hAnsi="Verdana"/>
        </w:rPr>
      </w:pPr>
    </w:p>
    <w:p w:rsidR="0022624E" w:rsidRDefault="00421962" w:rsidP="000410FE">
      <w:pPr>
        <w:pStyle w:val="Textoindependiente"/>
        <w:spacing w:before="120" w:after="120"/>
        <w:jc w:val="center"/>
        <w:rPr>
          <w:rFonts w:ascii="Verdana" w:hAnsi="Verdana"/>
        </w:rPr>
      </w:pPr>
      <w:r>
        <w:rPr>
          <w:noProof/>
        </w:rPr>
        <w:lastRenderedPageBreak/>
        <w:drawing>
          <wp:inline distT="0" distB="0" distL="0" distR="0" wp14:anchorId="022FBB46" wp14:editId="7C30181C">
            <wp:extent cx="5400675" cy="3600450"/>
            <wp:effectExtent l="0" t="0" r="9525" b="1905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C0931" w:rsidRPr="00CE214A" w:rsidRDefault="004C0931" w:rsidP="000410FE">
      <w:pPr>
        <w:pStyle w:val="Textoindependiente"/>
        <w:spacing w:before="120" w:after="120"/>
        <w:jc w:val="center"/>
        <w:rPr>
          <w:rFonts w:ascii="Verdana" w:hAnsi="Verdana"/>
        </w:rPr>
      </w:pPr>
    </w:p>
    <w:p w:rsidR="00BB029B" w:rsidRPr="003652AF" w:rsidRDefault="00421962" w:rsidP="000410FE">
      <w:pPr>
        <w:pStyle w:val="Textoindependiente"/>
        <w:spacing w:before="120" w:after="120"/>
        <w:jc w:val="center"/>
      </w:pPr>
      <w:r>
        <w:rPr>
          <w:noProof/>
        </w:rPr>
        <w:drawing>
          <wp:inline distT="0" distB="0" distL="0" distR="0" wp14:anchorId="5C19E667" wp14:editId="68A8F47A">
            <wp:extent cx="5400675" cy="3905250"/>
            <wp:effectExtent l="0" t="0" r="9525" b="190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sectPr w:rsidR="00BB029B" w:rsidRPr="003652AF" w:rsidSect="00835BDC">
      <w:footerReference w:type="even" r:id="rId71"/>
      <w:footerReference w:type="default" r:id="rId72"/>
      <w:pgSz w:w="11906" w:h="16838"/>
      <w:pgMar w:top="1078"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59" w:rsidRDefault="00AD5059">
      <w:r>
        <w:separator/>
      </w:r>
    </w:p>
  </w:endnote>
  <w:endnote w:type="continuationSeparator" w:id="0">
    <w:p w:rsidR="00AD5059" w:rsidRDefault="00AD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3C" w:rsidRDefault="00F905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53C" w:rsidRDefault="00F905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3C" w:rsidRDefault="00F905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60E6">
      <w:rPr>
        <w:rStyle w:val="Nmerodepgina"/>
        <w:noProof/>
      </w:rPr>
      <w:t>83</w:t>
    </w:r>
    <w:r>
      <w:rPr>
        <w:rStyle w:val="Nmerodepgina"/>
      </w:rPr>
      <w:fldChar w:fldCharType="end"/>
    </w:r>
  </w:p>
  <w:p w:rsidR="00F9053C" w:rsidRDefault="00F905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59" w:rsidRDefault="00AD5059">
      <w:r>
        <w:separator/>
      </w:r>
    </w:p>
  </w:footnote>
  <w:footnote w:type="continuationSeparator" w:id="0">
    <w:p w:rsidR="00AD5059" w:rsidRDefault="00AD5059">
      <w:r>
        <w:continuationSeparator/>
      </w:r>
    </w:p>
  </w:footnote>
  <w:footnote w:id="1">
    <w:p w:rsidR="00F9053C" w:rsidRDefault="00F9053C">
      <w:pPr>
        <w:pStyle w:val="Textonotapie"/>
      </w:pPr>
      <w:r>
        <w:rPr>
          <w:rStyle w:val="Refdenotaalpie"/>
        </w:rPr>
        <w:footnoteRef/>
      </w:r>
      <w:r>
        <w:t xml:space="preserve"> </w:t>
      </w:r>
      <w:r w:rsidRPr="002C7652">
        <w:rPr>
          <w:rFonts w:ascii="Arial" w:hAnsi="Arial" w:cs="Arial"/>
          <w:szCs w:val="24"/>
        </w:rPr>
        <w:t>En las comparaciones que se realizan entre los Tribunales Superiores de Justicia se consideran sólo los órganos dependientes de los mismos.  El T</w:t>
      </w:r>
      <w:r>
        <w:rPr>
          <w:rFonts w:ascii="Arial" w:hAnsi="Arial" w:cs="Arial"/>
          <w:szCs w:val="24"/>
        </w:rPr>
        <w:t>ribunal Supremo</w:t>
      </w:r>
      <w:r w:rsidRPr="002C7652">
        <w:rPr>
          <w:rFonts w:ascii="Arial" w:hAnsi="Arial" w:cs="Arial"/>
          <w:szCs w:val="24"/>
        </w:rPr>
        <w:t xml:space="preserve"> y los Órganos Centrales no se incluyen en ningún Tribunal Superior de Justicia.  Los órganos de Ceuta y Melilla se incluyen en </w:t>
      </w:r>
      <w:r>
        <w:rPr>
          <w:rFonts w:ascii="Arial" w:hAnsi="Arial" w:cs="Arial"/>
          <w:szCs w:val="24"/>
        </w:rPr>
        <w:t xml:space="preserve">Tribunal Superior de Justicia de </w:t>
      </w:r>
      <w:r w:rsidRPr="002C7652">
        <w:rPr>
          <w:rFonts w:ascii="Arial" w:hAnsi="Arial" w:cs="Arial"/>
          <w:szCs w:val="24"/>
        </w:rPr>
        <w:t>Andalucía.</w:t>
      </w:r>
    </w:p>
  </w:footnote>
  <w:footnote w:id="2">
    <w:p w:rsidR="00F9053C" w:rsidRDefault="00F9053C" w:rsidP="00B03014">
      <w:pPr>
        <w:pStyle w:val="Textonotapie"/>
      </w:pPr>
      <w:r>
        <w:rPr>
          <w:rStyle w:val="Refdenotaalpie"/>
        </w:rPr>
        <w:footnoteRef/>
      </w:r>
      <w:r>
        <w:t xml:space="preserve"> </w:t>
      </w:r>
      <w:r w:rsidRPr="00A722B5">
        <w:rPr>
          <w:rFonts w:ascii="Arial" w:hAnsi="Arial" w:cs="Arial"/>
          <w:szCs w:val="24"/>
          <w:lang w:val="es-ES"/>
        </w:rPr>
        <w:t xml:space="preserve">Se entiende por </w:t>
      </w:r>
      <w:r>
        <w:rPr>
          <w:rFonts w:ascii="Arial" w:hAnsi="Arial" w:cs="Arial"/>
          <w:szCs w:val="24"/>
          <w:lang w:val="es-ES"/>
        </w:rPr>
        <w:t>ejecuciones</w:t>
      </w:r>
      <w:r w:rsidRPr="00A722B5">
        <w:rPr>
          <w:rFonts w:ascii="Arial" w:hAnsi="Arial" w:cs="Arial"/>
          <w:szCs w:val="24"/>
          <w:lang w:val="es-ES"/>
        </w:rPr>
        <w:t xml:space="preserve"> los procesos mediante los que se materializa lo decidido o resuelto en un</w:t>
      </w:r>
      <w:r>
        <w:rPr>
          <w:rFonts w:ascii="Arial" w:hAnsi="Arial" w:cs="Arial"/>
          <w:szCs w:val="24"/>
          <w:lang w:val="es-ES"/>
        </w:rPr>
        <w:t>a</w:t>
      </w:r>
      <w:r w:rsidRPr="00A722B5">
        <w:rPr>
          <w:rFonts w:ascii="Arial" w:hAnsi="Arial" w:cs="Arial"/>
          <w:szCs w:val="24"/>
          <w:lang w:val="es-ES"/>
        </w:rPr>
        <w:t xml:space="preserve"> </w:t>
      </w:r>
      <w:r w:rsidRPr="00B03014">
        <w:rPr>
          <w:rFonts w:ascii="Arial" w:hAnsi="Arial" w:cs="Arial"/>
          <w:szCs w:val="24"/>
          <w:lang w:val="es-ES"/>
        </w:rPr>
        <w:t>sentencia o en cualquier otro título judicial o extrajudicial que por imperativo legal tenga aparejada ejecución.</w:t>
      </w:r>
    </w:p>
    <w:p w:rsidR="00F9053C" w:rsidRDefault="00F9053C" w:rsidP="006548F6">
      <w:pPr>
        <w:pStyle w:val="Textonotapie"/>
      </w:pPr>
    </w:p>
  </w:footnote>
  <w:footnote w:id="3">
    <w:p w:rsidR="00F9053C" w:rsidRPr="004D7ADA" w:rsidRDefault="00F9053C" w:rsidP="00B01839">
      <w:pPr>
        <w:pStyle w:val="Textonotapie"/>
        <w:jc w:val="both"/>
        <w:rPr>
          <w:lang w:val="es-ES"/>
        </w:rPr>
      </w:pPr>
      <w:r>
        <w:rPr>
          <w:rStyle w:val="Refdenotaalpie"/>
        </w:rPr>
        <w:footnoteRef/>
      </w:r>
      <w:r>
        <w:t xml:space="preserve"> </w:t>
      </w:r>
      <w:r w:rsidRPr="004D7ADA">
        <w:rPr>
          <w:rFonts w:ascii="Arial" w:hAnsi="Arial"/>
          <w:sz w:val="18"/>
        </w:rPr>
        <w:t xml:space="preserve">Para el estudio de las sentencias por tipo de magistrado se han considerado los juzgados de reciente especialización como de primera instancia e instrucción, pues siguen dictando sentencias de ambos </w:t>
      </w:r>
      <w:r>
        <w:rPr>
          <w:rFonts w:ascii="Arial" w:hAnsi="Arial"/>
          <w:sz w:val="18"/>
        </w:rPr>
        <w:t>ó</w:t>
      </w:r>
      <w:r w:rsidRPr="004D7ADA">
        <w:rPr>
          <w:rFonts w:ascii="Arial" w:hAnsi="Arial"/>
          <w:sz w:val="18"/>
        </w:rPr>
        <w:t>rdenes</w:t>
      </w:r>
      <w:r>
        <w:rPr>
          <w:rFonts w:ascii="Arial" w:hAnsi="Arial"/>
          <w:sz w:val="18"/>
        </w:rPr>
        <w:t xml:space="preserve"> jurisdiccionales</w:t>
      </w:r>
      <w:r w:rsidRPr="004D7ADA">
        <w:rPr>
          <w:rFonts w:ascii="Arial" w:hAnsi="Arial"/>
          <w:sz w:val="18"/>
        </w:rPr>
        <w:t>.</w:t>
      </w:r>
    </w:p>
  </w:footnote>
  <w:footnote w:id="4">
    <w:p w:rsidR="00F9053C" w:rsidRDefault="00F9053C">
      <w:pPr>
        <w:pStyle w:val="Textonotapie"/>
        <w:jc w:val="both"/>
        <w:rPr>
          <w:rFonts w:ascii="Arial" w:hAnsi="Arial"/>
          <w:sz w:val="18"/>
        </w:rPr>
      </w:pPr>
      <w:r>
        <w:rPr>
          <w:rStyle w:val="Refdenotaalpie"/>
          <w:rFonts w:ascii="Arial" w:hAnsi="Arial"/>
          <w:sz w:val="18"/>
        </w:rPr>
        <w:footnoteRef/>
      </w:r>
      <w:r>
        <w:rPr>
          <w:rFonts w:ascii="Arial" w:hAnsi="Arial"/>
          <w:sz w:val="18"/>
        </w:rPr>
        <w:t xml:space="preserve"> La Estadística Judicial no proporciona medidas directas de las duraciones de los procesos.  Sin embargo, a partir de los números de asuntos ingresados, resueltos y pendientes al finalizar cada periodo, y utilizando un modelo matemático basado en las hipótesis: a) se resuelve antes lo que ha ingresado antes; b) los asuntos ingresan uniformemente en cada periodo; c) los asuntos se resuelven uniformemente en da periodo, se pueden obtener estimaciones de las duraciones medias de los asuntos terminados cada año, permitiendo hacer comparaciones entre años y entre territorios</w:t>
      </w:r>
      <w:r w:rsidRPr="00A4672F">
        <w:rPr>
          <w:rFonts w:ascii="Arial" w:hAnsi="Arial"/>
          <w:b/>
          <w:sz w:val="18"/>
        </w:rPr>
        <w:t>. Se dan todas las duraciones medias en meses</w:t>
      </w:r>
      <w:r>
        <w:rPr>
          <w:rFonts w:ascii="Arial" w:hAnsi="Arial"/>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712"/>
    <w:multiLevelType w:val="hybridMultilevel"/>
    <w:tmpl w:val="91DE6B68"/>
    <w:lvl w:ilvl="0" w:tplc="E4AAF1E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FE3635"/>
    <w:multiLevelType w:val="multilevel"/>
    <w:tmpl w:val="6F103B00"/>
    <w:lvl w:ilvl="0">
      <w:start w:val="5"/>
      <w:numFmt w:val="decimal"/>
      <w:lvlText w:val="%1"/>
      <w:lvlJc w:val="left"/>
      <w:pPr>
        <w:tabs>
          <w:tab w:val="num" w:pos="360"/>
        </w:tabs>
        <w:ind w:left="360" w:hanging="360"/>
      </w:pPr>
      <w:rPr>
        <w:rFonts w:hint="default"/>
        <w:sz w:val="24"/>
      </w:rPr>
    </w:lvl>
    <w:lvl w:ilvl="1">
      <w:start w:val="4"/>
      <w:numFmt w:val="decimal"/>
      <w:lvlText w:val="%1.%2"/>
      <w:lvlJc w:val="left"/>
      <w:pPr>
        <w:tabs>
          <w:tab w:val="num" w:pos="720"/>
        </w:tabs>
        <w:ind w:left="720" w:hanging="360"/>
      </w:pPr>
      <w:rPr>
        <w:rFonts w:hint="default"/>
        <w:sz w:val="24"/>
      </w:rPr>
    </w:lvl>
    <w:lvl w:ilvl="2">
      <w:start w:val="1"/>
      <w:numFmt w:val="upperLetter"/>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160"/>
        </w:tabs>
        <w:ind w:left="2160" w:hanging="72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2">
    <w:nsid w:val="069002A3"/>
    <w:multiLevelType w:val="multilevel"/>
    <w:tmpl w:val="9F74A2F6"/>
    <w:lvl w:ilvl="0">
      <w:start w:val="3"/>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160"/>
        </w:tabs>
        <w:ind w:left="2160" w:hanging="72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3">
    <w:nsid w:val="078F1D0A"/>
    <w:multiLevelType w:val="hybridMultilevel"/>
    <w:tmpl w:val="D7C41A08"/>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3D5E6D"/>
    <w:multiLevelType w:val="multilevel"/>
    <w:tmpl w:val="7D3A986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12562CB0"/>
    <w:multiLevelType w:val="multilevel"/>
    <w:tmpl w:val="38324D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6">
    <w:nsid w:val="23F10F18"/>
    <w:multiLevelType w:val="hybridMultilevel"/>
    <w:tmpl w:val="7D3A9862"/>
    <w:lvl w:ilvl="0" w:tplc="538A5A06">
      <w:start w:val="1"/>
      <w:numFmt w:val="decimal"/>
      <w:lvlText w:val="%1."/>
      <w:lvlJc w:val="left"/>
      <w:pPr>
        <w:tabs>
          <w:tab w:val="num" w:pos="720"/>
        </w:tabs>
        <w:ind w:left="720" w:hanging="360"/>
      </w:pPr>
      <w:rPr>
        <w:rFonts w:hint="default"/>
      </w:rPr>
    </w:lvl>
    <w:lvl w:ilvl="1" w:tplc="FEBC23EA">
      <w:numFmt w:val="none"/>
      <w:lvlText w:val=""/>
      <w:lvlJc w:val="left"/>
      <w:pPr>
        <w:tabs>
          <w:tab w:val="num" w:pos="360"/>
        </w:tabs>
      </w:pPr>
    </w:lvl>
    <w:lvl w:ilvl="2" w:tplc="2B1676A8">
      <w:numFmt w:val="none"/>
      <w:lvlText w:val=""/>
      <w:lvlJc w:val="left"/>
      <w:pPr>
        <w:tabs>
          <w:tab w:val="num" w:pos="360"/>
        </w:tabs>
      </w:pPr>
    </w:lvl>
    <w:lvl w:ilvl="3" w:tplc="980C9522">
      <w:numFmt w:val="none"/>
      <w:lvlText w:val=""/>
      <w:lvlJc w:val="left"/>
      <w:pPr>
        <w:tabs>
          <w:tab w:val="num" w:pos="360"/>
        </w:tabs>
      </w:pPr>
    </w:lvl>
    <w:lvl w:ilvl="4" w:tplc="9F6A28E2">
      <w:numFmt w:val="none"/>
      <w:lvlText w:val=""/>
      <w:lvlJc w:val="left"/>
      <w:pPr>
        <w:tabs>
          <w:tab w:val="num" w:pos="360"/>
        </w:tabs>
      </w:pPr>
    </w:lvl>
    <w:lvl w:ilvl="5" w:tplc="C1BCD1C6">
      <w:numFmt w:val="none"/>
      <w:lvlText w:val=""/>
      <w:lvlJc w:val="left"/>
      <w:pPr>
        <w:tabs>
          <w:tab w:val="num" w:pos="360"/>
        </w:tabs>
      </w:pPr>
    </w:lvl>
    <w:lvl w:ilvl="6" w:tplc="34EEDBA6">
      <w:numFmt w:val="none"/>
      <w:lvlText w:val=""/>
      <w:lvlJc w:val="left"/>
      <w:pPr>
        <w:tabs>
          <w:tab w:val="num" w:pos="360"/>
        </w:tabs>
      </w:pPr>
    </w:lvl>
    <w:lvl w:ilvl="7" w:tplc="ED404A80">
      <w:numFmt w:val="none"/>
      <w:lvlText w:val=""/>
      <w:lvlJc w:val="left"/>
      <w:pPr>
        <w:tabs>
          <w:tab w:val="num" w:pos="360"/>
        </w:tabs>
      </w:pPr>
    </w:lvl>
    <w:lvl w:ilvl="8" w:tplc="885EF56E">
      <w:numFmt w:val="none"/>
      <w:lvlText w:val=""/>
      <w:lvlJc w:val="left"/>
      <w:pPr>
        <w:tabs>
          <w:tab w:val="num" w:pos="360"/>
        </w:tabs>
      </w:pPr>
    </w:lvl>
  </w:abstractNum>
  <w:abstractNum w:abstractNumId="7">
    <w:nsid w:val="27912BEB"/>
    <w:multiLevelType w:val="hybridMultilevel"/>
    <w:tmpl w:val="15E0B750"/>
    <w:lvl w:ilvl="0" w:tplc="EBD013B0">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D57828"/>
    <w:multiLevelType w:val="hybridMultilevel"/>
    <w:tmpl w:val="C5FAB52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2D5D7194"/>
    <w:multiLevelType w:val="hybridMultilevel"/>
    <w:tmpl w:val="91B421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385DDF"/>
    <w:multiLevelType w:val="multilevel"/>
    <w:tmpl w:val="FE989E20"/>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sz w:val="24"/>
      </w:rPr>
    </w:lvl>
    <w:lvl w:ilvl="2">
      <w:start w:val="1"/>
      <w:numFmt w:val="upperLetter"/>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160"/>
        </w:tabs>
        <w:ind w:left="2160" w:hanging="72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1">
    <w:nsid w:val="3BEF6D95"/>
    <w:multiLevelType w:val="multilevel"/>
    <w:tmpl w:val="9696A5A2"/>
    <w:lvl w:ilvl="0">
      <w:start w:val="5"/>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2">
    <w:nsid w:val="41360159"/>
    <w:multiLevelType w:val="multilevel"/>
    <w:tmpl w:val="D048F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CFA4A96"/>
    <w:multiLevelType w:val="hybridMultilevel"/>
    <w:tmpl w:val="64685DC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4D812262"/>
    <w:multiLevelType w:val="hybridMultilevel"/>
    <w:tmpl w:val="B4AA7F08"/>
    <w:lvl w:ilvl="0" w:tplc="2BF856AE">
      <w:start w:val="53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183E28"/>
    <w:multiLevelType w:val="hybridMultilevel"/>
    <w:tmpl w:val="5F3C0514"/>
    <w:lvl w:ilvl="0" w:tplc="F90A801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4CD515D"/>
    <w:multiLevelType w:val="multilevel"/>
    <w:tmpl w:val="7D3A986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6C4A2F5B"/>
    <w:multiLevelType w:val="multilevel"/>
    <w:tmpl w:val="98C09638"/>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color w:val="333399"/>
        <w:sz w:val="24"/>
      </w:rPr>
    </w:lvl>
    <w:lvl w:ilvl="2">
      <w:start w:val="1"/>
      <w:numFmt w:val="upperLetter"/>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160"/>
        </w:tabs>
        <w:ind w:left="2160" w:hanging="72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6D646639"/>
    <w:multiLevelType w:val="multilevel"/>
    <w:tmpl w:val="B46C2DA2"/>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F8879FA"/>
    <w:multiLevelType w:val="hybridMultilevel"/>
    <w:tmpl w:val="94005AB2"/>
    <w:lvl w:ilvl="0" w:tplc="4E3225D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3B4083"/>
    <w:multiLevelType w:val="multilevel"/>
    <w:tmpl w:val="A36CE5EC"/>
    <w:lvl w:ilvl="0">
      <w:start w:val="5"/>
      <w:numFmt w:val="decimal"/>
      <w:lvlText w:val="%1"/>
      <w:lvlJc w:val="left"/>
      <w:pPr>
        <w:tabs>
          <w:tab w:val="num" w:pos="360"/>
        </w:tabs>
        <w:ind w:left="360" w:hanging="360"/>
      </w:pPr>
      <w:rPr>
        <w:rFonts w:hint="default"/>
        <w:sz w:val="24"/>
      </w:rPr>
    </w:lvl>
    <w:lvl w:ilvl="1">
      <w:start w:val="3"/>
      <w:numFmt w:val="decimal"/>
      <w:lvlText w:val="%1.%2"/>
      <w:lvlJc w:val="left"/>
      <w:pPr>
        <w:tabs>
          <w:tab w:val="num" w:pos="720"/>
        </w:tabs>
        <w:ind w:left="720" w:hanging="360"/>
      </w:pPr>
      <w:rPr>
        <w:rFonts w:hint="default"/>
        <w:sz w:val="24"/>
      </w:rPr>
    </w:lvl>
    <w:lvl w:ilvl="2">
      <w:start w:val="1"/>
      <w:numFmt w:val="upperLetter"/>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160"/>
        </w:tabs>
        <w:ind w:left="2160" w:hanging="72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21">
    <w:nsid w:val="75242462"/>
    <w:multiLevelType w:val="hybridMultilevel"/>
    <w:tmpl w:val="4F18B910"/>
    <w:lvl w:ilvl="0" w:tplc="4B8001C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9D07EDF"/>
    <w:multiLevelType w:val="hybridMultilevel"/>
    <w:tmpl w:val="95BA9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F74638A"/>
    <w:multiLevelType w:val="multilevel"/>
    <w:tmpl w:val="CE1699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19"/>
  </w:num>
  <w:num w:numId="3">
    <w:abstractNumId w:val="18"/>
  </w:num>
  <w:num w:numId="4">
    <w:abstractNumId w:val="6"/>
  </w:num>
  <w:num w:numId="5">
    <w:abstractNumId w:val="18"/>
  </w:num>
  <w:num w:numId="6">
    <w:abstractNumId w:val="23"/>
  </w:num>
  <w:num w:numId="7">
    <w:abstractNumId w:val="18"/>
  </w:num>
  <w:num w:numId="8">
    <w:abstractNumId w:val="2"/>
  </w:num>
  <w:num w:numId="9">
    <w:abstractNumId w:val="5"/>
  </w:num>
  <w:num w:numId="10">
    <w:abstractNumId w:val="12"/>
  </w:num>
  <w:num w:numId="11">
    <w:abstractNumId w:val="1"/>
  </w:num>
  <w:num w:numId="12">
    <w:abstractNumId w:val="20"/>
  </w:num>
  <w:num w:numId="13">
    <w:abstractNumId w:val="17"/>
  </w:num>
  <w:num w:numId="14">
    <w:abstractNumId w:val="10"/>
  </w:num>
  <w:num w:numId="15">
    <w:abstractNumId w:val="16"/>
  </w:num>
  <w:num w:numId="16">
    <w:abstractNumId w:val="4"/>
  </w:num>
  <w:num w:numId="17">
    <w:abstractNumId w:val="18"/>
  </w:num>
  <w:num w:numId="18">
    <w:abstractNumId w:val="3"/>
  </w:num>
  <w:num w:numId="19">
    <w:abstractNumId w:val="18"/>
  </w:num>
  <w:num w:numId="20">
    <w:abstractNumId w:val="11"/>
  </w:num>
  <w:num w:numId="21">
    <w:abstractNumId w:val="21"/>
  </w:num>
  <w:num w:numId="22">
    <w:abstractNumId w:val="13"/>
  </w:num>
  <w:num w:numId="23">
    <w:abstractNumId w:val="0"/>
  </w:num>
  <w:num w:numId="24">
    <w:abstractNumId w:val="7"/>
  </w:num>
  <w:num w:numId="25">
    <w:abstractNumId w:val="22"/>
  </w:num>
  <w:num w:numId="26">
    <w:abstractNumId w:val="18"/>
  </w:num>
  <w:num w:numId="27">
    <w:abstractNumId w:val="9"/>
  </w:num>
  <w:num w:numId="28">
    <w:abstractNumId w:val="18"/>
  </w:num>
  <w:num w:numId="29">
    <w:abstractNumId w:val="14"/>
  </w:num>
  <w:num w:numId="30">
    <w:abstractNumId w:val="18"/>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69"/>
    <w:rsid w:val="00000A7C"/>
    <w:rsid w:val="000014BA"/>
    <w:rsid w:val="00001682"/>
    <w:rsid w:val="00001BF7"/>
    <w:rsid w:val="0000211D"/>
    <w:rsid w:val="000031FB"/>
    <w:rsid w:val="000037F9"/>
    <w:rsid w:val="000040C6"/>
    <w:rsid w:val="0000433C"/>
    <w:rsid w:val="00004B4A"/>
    <w:rsid w:val="00005072"/>
    <w:rsid w:val="00005514"/>
    <w:rsid w:val="00005660"/>
    <w:rsid w:val="000057DC"/>
    <w:rsid w:val="00005B2D"/>
    <w:rsid w:val="0000678F"/>
    <w:rsid w:val="00006F74"/>
    <w:rsid w:val="00007378"/>
    <w:rsid w:val="0000777E"/>
    <w:rsid w:val="0000784B"/>
    <w:rsid w:val="00010246"/>
    <w:rsid w:val="00010D08"/>
    <w:rsid w:val="00011E34"/>
    <w:rsid w:val="00011F4F"/>
    <w:rsid w:val="00012095"/>
    <w:rsid w:val="000121CE"/>
    <w:rsid w:val="00012816"/>
    <w:rsid w:val="000128BB"/>
    <w:rsid w:val="00013701"/>
    <w:rsid w:val="00013CED"/>
    <w:rsid w:val="0001411C"/>
    <w:rsid w:val="00014402"/>
    <w:rsid w:val="00014830"/>
    <w:rsid w:val="00015437"/>
    <w:rsid w:val="00015527"/>
    <w:rsid w:val="000155BB"/>
    <w:rsid w:val="00015927"/>
    <w:rsid w:val="00015F00"/>
    <w:rsid w:val="00017A41"/>
    <w:rsid w:val="00017FF6"/>
    <w:rsid w:val="0002057C"/>
    <w:rsid w:val="00020C74"/>
    <w:rsid w:val="000218AD"/>
    <w:rsid w:val="000218F8"/>
    <w:rsid w:val="00021CB9"/>
    <w:rsid w:val="000227FF"/>
    <w:rsid w:val="000229CB"/>
    <w:rsid w:val="000237C2"/>
    <w:rsid w:val="00023816"/>
    <w:rsid w:val="00023949"/>
    <w:rsid w:val="00023C9D"/>
    <w:rsid w:val="00023F8A"/>
    <w:rsid w:val="00024584"/>
    <w:rsid w:val="00025983"/>
    <w:rsid w:val="0002756F"/>
    <w:rsid w:val="00027B3E"/>
    <w:rsid w:val="00027D58"/>
    <w:rsid w:val="0003037B"/>
    <w:rsid w:val="0003157D"/>
    <w:rsid w:val="00032AE0"/>
    <w:rsid w:val="00032EB2"/>
    <w:rsid w:val="000332B9"/>
    <w:rsid w:val="00033487"/>
    <w:rsid w:val="00033907"/>
    <w:rsid w:val="00034279"/>
    <w:rsid w:val="000347E3"/>
    <w:rsid w:val="000348E9"/>
    <w:rsid w:val="000348FB"/>
    <w:rsid w:val="00035461"/>
    <w:rsid w:val="000355F2"/>
    <w:rsid w:val="00035A9E"/>
    <w:rsid w:val="000363B7"/>
    <w:rsid w:val="0003653C"/>
    <w:rsid w:val="00037AE3"/>
    <w:rsid w:val="00040A2C"/>
    <w:rsid w:val="00040AA6"/>
    <w:rsid w:val="00040CCB"/>
    <w:rsid w:val="000410FE"/>
    <w:rsid w:val="000412E9"/>
    <w:rsid w:val="00041356"/>
    <w:rsid w:val="00041446"/>
    <w:rsid w:val="00041953"/>
    <w:rsid w:val="0004208C"/>
    <w:rsid w:val="00043540"/>
    <w:rsid w:val="00043CB2"/>
    <w:rsid w:val="00043E33"/>
    <w:rsid w:val="00044545"/>
    <w:rsid w:val="00044D98"/>
    <w:rsid w:val="00044F38"/>
    <w:rsid w:val="0004553C"/>
    <w:rsid w:val="00046584"/>
    <w:rsid w:val="00047394"/>
    <w:rsid w:val="00047A46"/>
    <w:rsid w:val="000509AF"/>
    <w:rsid w:val="00050AFF"/>
    <w:rsid w:val="00050C83"/>
    <w:rsid w:val="00050F6A"/>
    <w:rsid w:val="00051957"/>
    <w:rsid w:val="0005249F"/>
    <w:rsid w:val="00052574"/>
    <w:rsid w:val="00052DC4"/>
    <w:rsid w:val="00052F2A"/>
    <w:rsid w:val="000532BB"/>
    <w:rsid w:val="0005334B"/>
    <w:rsid w:val="000544FC"/>
    <w:rsid w:val="00054919"/>
    <w:rsid w:val="00054ABA"/>
    <w:rsid w:val="00055280"/>
    <w:rsid w:val="000556A5"/>
    <w:rsid w:val="00056AE8"/>
    <w:rsid w:val="00056B24"/>
    <w:rsid w:val="0005710B"/>
    <w:rsid w:val="000579F6"/>
    <w:rsid w:val="00057BAE"/>
    <w:rsid w:val="000604DE"/>
    <w:rsid w:val="00061205"/>
    <w:rsid w:val="000618BE"/>
    <w:rsid w:val="00062B7D"/>
    <w:rsid w:val="00063296"/>
    <w:rsid w:val="00063671"/>
    <w:rsid w:val="000646C2"/>
    <w:rsid w:val="00064C27"/>
    <w:rsid w:val="00065012"/>
    <w:rsid w:val="000661FD"/>
    <w:rsid w:val="00066A79"/>
    <w:rsid w:val="00067C49"/>
    <w:rsid w:val="00067D4F"/>
    <w:rsid w:val="000701F2"/>
    <w:rsid w:val="0007090D"/>
    <w:rsid w:val="0007138B"/>
    <w:rsid w:val="00072219"/>
    <w:rsid w:val="0007267B"/>
    <w:rsid w:val="00072FB7"/>
    <w:rsid w:val="0007333C"/>
    <w:rsid w:val="000741DC"/>
    <w:rsid w:val="00074A7D"/>
    <w:rsid w:val="00074DED"/>
    <w:rsid w:val="00075261"/>
    <w:rsid w:val="00075E1B"/>
    <w:rsid w:val="000760B7"/>
    <w:rsid w:val="0007625F"/>
    <w:rsid w:val="000763DF"/>
    <w:rsid w:val="00076AF1"/>
    <w:rsid w:val="00076D1B"/>
    <w:rsid w:val="00077869"/>
    <w:rsid w:val="00077B61"/>
    <w:rsid w:val="00080520"/>
    <w:rsid w:val="00080F8C"/>
    <w:rsid w:val="000816EB"/>
    <w:rsid w:val="00081AE7"/>
    <w:rsid w:val="00082228"/>
    <w:rsid w:val="000839C9"/>
    <w:rsid w:val="00083A3F"/>
    <w:rsid w:val="00084CE2"/>
    <w:rsid w:val="00085CC6"/>
    <w:rsid w:val="000867B0"/>
    <w:rsid w:val="00087E2D"/>
    <w:rsid w:val="00087EDA"/>
    <w:rsid w:val="00091418"/>
    <w:rsid w:val="000915CF"/>
    <w:rsid w:val="0009188E"/>
    <w:rsid w:val="000937E1"/>
    <w:rsid w:val="0009494F"/>
    <w:rsid w:val="00095239"/>
    <w:rsid w:val="00095856"/>
    <w:rsid w:val="0009630D"/>
    <w:rsid w:val="000963FE"/>
    <w:rsid w:val="00096658"/>
    <w:rsid w:val="00096F49"/>
    <w:rsid w:val="00097382"/>
    <w:rsid w:val="0009748B"/>
    <w:rsid w:val="000976FB"/>
    <w:rsid w:val="00097707"/>
    <w:rsid w:val="00097E35"/>
    <w:rsid w:val="000A02B9"/>
    <w:rsid w:val="000A1AEE"/>
    <w:rsid w:val="000A1B83"/>
    <w:rsid w:val="000A1BEA"/>
    <w:rsid w:val="000A1BF2"/>
    <w:rsid w:val="000A2337"/>
    <w:rsid w:val="000A2480"/>
    <w:rsid w:val="000A2A2B"/>
    <w:rsid w:val="000A2FF4"/>
    <w:rsid w:val="000A3EE8"/>
    <w:rsid w:val="000A4673"/>
    <w:rsid w:val="000A4808"/>
    <w:rsid w:val="000A48CD"/>
    <w:rsid w:val="000A48CE"/>
    <w:rsid w:val="000A4B17"/>
    <w:rsid w:val="000A4FDB"/>
    <w:rsid w:val="000A5D82"/>
    <w:rsid w:val="000A5D8D"/>
    <w:rsid w:val="000A5F0E"/>
    <w:rsid w:val="000A696C"/>
    <w:rsid w:val="000A6BAA"/>
    <w:rsid w:val="000A71D3"/>
    <w:rsid w:val="000B01B5"/>
    <w:rsid w:val="000B06AE"/>
    <w:rsid w:val="000B0E52"/>
    <w:rsid w:val="000B101E"/>
    <w:rsid w:val="000B1312"/>
    <w:rsid w:val="000B16E0"/>
    <w:rsid w:val="000B312F"/>
    <w:rsid w:val="000B31FC"/>
    <w:rsid w:val="000B337D"/>
    <w:rsid w:val="000B40E3"/>
    <w:rsid w:val="000B44AD"/>
    <w:rsid w:val="000B484D"/>
    <w:rsid w:val="000B55A2"/>
    <w:rsid w:val="000C087D"/>
    <w:rsid w:val="000C0BEF"/>
    <w:rsid w:val="000C0C63"/>
    <w:rsid w:val="000C121E"/>
    <w:rsid w:val="000C13F5"/>
    <w:rsid w:val="000C164F"/>
    <w:rsid w:val="000C2369"/>
    <w:rsid w:val="000C2B50"/>
    <w:rsid w:val="000C309F"/>
    <w:rsid w:val="000C3360"/>
    <w:rsid w:val="000C35B6"/>
    <w:rsid w:val="000C44A8"/>
    <w:rsid w:val="000C47BF"/>
    <w:rsid w:val="000C49CF"/>
    <w:rsid w:val="000C4C9F"/>
    <w:rsid w:val="000C4DD7"/>
    <w:rsid w:val="000C5757"/>
    <w:rsid w:val="000C579D"/>
    <w:rsid w:val="000C57AD"/>
    <w:rsid w:val="000C5A8F"/>
    <w:rsid w:val="000C695A"/>
    <w:rsid w:val="000C6C13"/>
    <w:rsid w:val="000C7226"/>
    <w:rsid w:val="000C7407"/>
    <w:rsid w:val="000C77B3"/>
    <w:rsid w:val="000D09B5"/>
    <w:rsid w:val="000D0D4C"/>
    <w:rsid w:val="000D0F1B"/>
    <w:rsid w:val="000D1246"/>
    <w:rsid w:val="000D18A5"/>
    <w:rsid w:val="000D1AA0"/>
    <w:rsid w:val="000D2000"/>
    <w:rsid w:val="000D21D3"/>
    <w:rsid w:val="000D22BF"/>
    <w:rsid w:val="000D3293"/>
    <w:rsid w:val="000D367B"/>
    <w:rsid w:val="000D3D2C"/>
    <w:rsid w:val="000D3F70"/>
    <w:rsid w:val="000D48C8"/>
    <w:rsid w:val="000D48EA"/>
    <w:rsid w:val="000D6390"/>
    <w:rsid w:val="000D6E5A"/>
    <w:rsid w:val="000D79B9"/>
    <w:rsid w:val="000D7BAF"/>
    <w:rsid w:val="000D7BCA"/>
    <w:rsid w:val="000D7F59"/>
    <w:rsid w:val="000E0529"/>
    <w:rsid w:val="000E0BD2"/>
    <w:rsid w:val="000E2636"/>
    <w:rsid w:val="000E2714"/>
    <w:rsid w:val="000E2AF8"/>
    <w:rsid w:val="000E349A"/>
    <w:rsid w:val="000E3A6E"/>
    <w:rsid w:val="000E3F35"/>
    <w:rsid w:val="000E4A10"/>
    <w:rsid w:val="000E5A3D"/>
    <w:rsid w:val="000E5C94"/>
    <w:rsid w:val="000E67AD"/>
    <w:rsid w:val="000E6D82"/>
    <w:rsid w:val="000E74BC"/>
    <w:rsid w:val="000E7778"/>
    <w:rsid w:val="000E7EFC"/>
    <w:rsid w:val="000E7FC9"/>
    <w:rsid w:val="000F07EA"/>
    <w:rsid w:val="000F0C5A"/>
    <w:rsid w:val="000F0FB9"/>
    <w:rsid w:val="000F1303"/>
    <w:rsid w:val="000F1C00"/>
    <w:rsid w:val="000F326C"/>
    <w:rsid w:val="000F3300"/>
    <w:rsid w:val="000F36EC"/>
    <w:rsid w:val="000F3AC5"/>
    <w:rsid w:val="000F3EEB"/>
    <w:rsid w:val="000F5210"/>
    <w:rsid w:val="000F653A"/>
    <w:rsid w:val="000F6864"/>
    <w:rsid w:val="000F698C"/>
    <w:rsid w:val="000F7169"/>
    <w:rsid w:val="000F73E8"/>
    <w:rsid w:val="000F7F5F"/>
    <w:rsid w:val="001001AF"/>
    <w:rsid w:val="00100DE5"/>
    <w:rsid w:val="00101B5C"/>
    <w:rsid w:val="00101D48"/>
    <w:rsid w:val="001028FE"/>
    <w:rsid w:val="00102BD3"/>
    <w:rsid w:val="00103AD3"/>
    <w:rsid w:val="00103EFB"/>
    <w:rsid w:val="001046D0"/>
    <w:rsid w:val="00105896"/>
    <w:rsid w:val="00105F6E"/>
    <w:rsid w:val="001063CE"/>
    <w:rsid w:val="0010663B"/>
    <w:rsid w:val="001066E7"/>
    <w:rsid w:val="0010693B"/>
    <w:rsid w:val="00106A32"/>
    <w:rsid w:val="00106D18"/>
    <w:rsid w:val="00107BD8"/>
    <w:rsid w:val="001114A1"/>
    <w:rsid w:val="001124A6"/>
    <w:rsid w:val="001144DF"/>
    <w:rsid w:val="00114DDF"/>
    <w:rsid w:val="00115139"/>
    <w:rsid w:val="0011595B"/>
    <w:rsid w:val="00116C8B"/>
    <w:rsid w:val="00116EE7"/>
    <w:rsid w:val="00117F54"/>
    <w:rsid w:val="001202EF"/>
    <w:rsid w:val="00121BCC"/>
    <w:rsid w:val="00122A0A"/>
    <w:rsid w:val="00122E22"/>
    <w:rsid w:val="001234E7"/>
    <w:rsid w:val="001239B2"/>
    <w:rsid w:val="00123CFC"/>
    <w:rsid w:val="00124E3C"/>
    <w:rsid w:val="0012530D"/>
    <w:rsid w:val="001255B7"/>
    <w:rsid w:val="0012633F"/>
    <w:rsid w:val="00126CB3"/>
    <w:rsid w:val="0012787E"/>
    <w:rsid w:val="00127A59"/>
    <w:rsid w:val="00127C2E"/>
    <w:rsid w:val="00127C45"/>
    <w:rsid w:val="00130B46"/>
    <w:rsid w:val="001318C9"/>
    <w:rsid w:val="00131DE4"/>
    <w:rsid w:val="001325F7"/>
    <w:rsid w:val="0013260B"/>
    <w:rsid w:val="00132820"/>
    <w:rsid w:val="00133740"/>
    <w:rsid w:val="00133E5F"/>
    <w:rsid w:val="00135C7D"/>
    <w:rsid w:val="00135CD2"/>
    <w:rsid w:val="00136E7E"/>
    <w:rsid w:val="001375A3"/>
    <w:rsid w:val="001378B8"/>
    <w:rsid w:val="0013796E"/>
    <w:rsid w:val="00137AF0"/>
    <w:rsid w:val="00137E18"/>
    <w:rsid w:val="00137F9F"/>
    <w:rsid w:val="001407DD"/>
    <w:rsid w:val="00141880"/>
    <w:rsid w:val="001424F8"/>
    <w:rsid w:val="001425F8"/>
    <w:rsid w:val="00143A8E"/>
    <w:rsid w:val="00143EE1"/>
    <w:rsid w:val="001445AA"/>
    <w:rsid w:val="00145344"/>
    <w:rsid w:val="0014641D"/>
    <w:rsid w:val="001464FA"/>
    <w:rsid w:val="0014666B"/>
    <w:rsid w:val="00146C31"/>
    <w:rsid w:val="00150663"/>
    <w:rsid w:val="00150CA6"/>
    <w:rsid w:val="001514CD"/>
    <w:rsid w:val="00151FEF"/>
    <w:rsid w:val="001534A2"/>
    <w:rsid w:val="00153564"/>
    <w:rsid w:val="00153722"/>
    <w:rsid w:val="0015374F"/>
    <w:rsid w:val="001545F9"/>
    <w:rsid w:val="0015472C"/>
    <w:rsid w:val="00154DD7"/>
    <w:rsid w:val="0015575A"/>
    <w:rsid w:val="0015594F"/>
    <w:rsid w:val="00156530"/>
    <w:rsid w:val="00157425"/>
    <w:rsid w:val="001576DB"/>
    <w:rsid w:val="001576F1"/>
    <w:rsid w:val="001577D1"/>
    <w:rsid w:val="0015787B"/>
    <w:rsid w:val="00157E48"/>
    <w:rsid w:val="0016037A"/>
    <w:rsid w:val="0016060C"/>
    <w:rsid w:val="001606E4"/>
    <w:rsid w:val="0016084C"/>
    <w:rsid w:val="00160B50"/>
    <w:rsid w:val="00160B84"/>
    <w:rsid w:val="00162DFE"/>
    <w:rsid w:val="001638CB"/>
    <w:rsid w:val="00163A1E"/>
    <w:rsid w:val="00163E36"/>
    <w:rsid w:val="00164393"/>
    <w:rsid w:val="001645F0"/>
    <w:rsid w:val="00164EE2"/>
    <w:rsid w:val="0016617F"/>
    <w:rsid w:val="00166522"/>
    <w:rsid w:val="00166AA8"/>
    <w:rsid w:val="001673BD"/>
    <w:rsid w:val="00167A04"/>
    <w:rsid w:val="0017013A"/>
    <w:rsid w:val="0017057E"/>
    <w:rsid w:val="0017088D"/>
    <w:rsid w:val="00172536"/>
    <w:rsid w:val="00173573"/>
    <w:rsid w:val="00173E3F"/>
    <w:rsid w:val="0017456A"/>
    <w:rsid w:val="00174BD0"/>
    <w:rsid w:val="001758C4"/>
    <w:rsid w:val="00177A1B"/>
    <w:rsid w:val="00181456"/>
    <w:rsid w:val="0018196B"/>
    <w:rsid w:val="00181DC1"/>
    <w:rsid w:val="00182202"/>
    <w:rsid w:val="00182476"/>
    <w:rsid w:val="00182B74"/>
    <w:rsid w:val="00182BA6"/>
    <w:rsid w:val="0018371C"/>
    <w:rsid w:val="0018390D"/>
    <w:rsid w:val="00183DFD"/>
    <w:rsid w:val="0018404E"/>
    <w:rsid w:val="001840EB"/>
    <w:rsid w:val="001842DA"/>
    <w:rsid w:val="001856B9"/>
    <w:rsid w:val="00185883"/>
    <w:rsid w:val="001861BE"/>
    <w:rsid w:val="00186A1E"/>
    <w:rsid w:val="001905F7"/>
    <w:rsid w:val="00190E57"/>
    <w:rsid w:val="001919BA"/>
    <w:rsid w:val="00192382"/>
    <w:rsid w:val="001929F8"/>
    <w:rsid w:val="001930D0"/>
    <w:rsid w:val="0019398F"/>
    <w:rsid w:val="00194370"/>
    <w:rsid w:val="0019464E"/>
    <w:rsid w:val="001947C2"/>
    <w:rsid w:val="00194CEE"/>
    <w:rsid w:val="00195294"/>
    <w:rsid w:val="0019535D"/>
    <w:rsid w:val="00195B05"/>
    <w:rsid w:val="00195BAB"/>
    <w:rsid w:val="00195C43"/>
    <w:rsid w:val="00196A91"/>
    <w:rsid w:val="00196FDA"/>
    <w:rsid w:val="001975C0"/>
    <w:rsid w:val="001A0306"/>
    <w:rsid w:val="001A0CD1"/>
    <w:rsid w:val="001A15FF"/>
    <w:rsid w:val="001A21EC"/>
    <w:rsid w:val="001A26D4"/>
    <w:rsid w:val="001A39C1"/>
    <w:rsid w:val="001A3CB3"/>
    <w:rsid w:val="001A54D7"/>
    <w:rsid w:val="001A5694"/>
    <w:rsid w:val="001A63FF"/>
    <w:rsid w:val="001A705D"/>
    <w:rsid w:val="001A7228"/>
    <w:rsid w:val="001A785A"/>
    <w:rsid w:val="001A7F17"/>
    <w:rsid w:val="001B0284"/>
    <w:rsid w:val="001B08C3"/>
    <w:rsid w:val="001B10D5"/>
    <w:rsid w:val="001B1A4D"/>
    <w:rsid w:val="001B1EBF"/>
    <w:rsid w:val="001B29EA"/>
    <w:rsid w:val="001B3677"/>
    <w:rsid w:val="001B4E79"/>
    <w:rsid w:val="001B4EE3"/>
    <w:rsid w:val="001B547C"/>
    <w:rsid w:val="001B5C0B"/>
    <w:rsid w:val="001B752E"/>
    <w:rsid w:val="001B7582"/>
    <w:rsid w:val="001B764B"/>
    <w:rsid w:val="001B7BE5"/>
    <w:rsid w:val="001C00A5"/>
    <w:rsid w:val="001C02ED"/>
    <w:rsid w:val="001C046B"/>
    <w:rsid w:val="001C0A8A"/>
    <w:rsid w:val="001C1B63"/>
    <w:rsid w:val="001C1C76"/>
    <w:rsid w:val="001C27A7"/>
    <w:rsid w:val="001C2CA6"/>
    <w:rsid w:val="001C4364"/>
    <w:rsid w:val="001C4371"/>
    <w:rsid w:val="001C4521"/>
    <w:rsid w:val="001C4981"/>
    <w:rsid w:val="001C4CB7"/>
    <w:rsid w:val="001C4D28"/>
    <w:rsid w:val="001C4E2F"/>
    <w:rsid w:val="001C4F13"/>
    <w:rsid w:val="001C55D6"/>
    <w:rsid w:val="001C5862"/>
    <w:rsid w:val="001C6C1E"/>
    <w:rsid w:val="001C6F43"/>
    <w:rsid w:val="001C7B1D"/>
    <w:rsid w:val="001D0838"/>
    <w:rsid w:val="001D0C31"/>
    <w:rsid w:val="001D246F"/>
    <w:rsid w:val="001D249B"/>
    <w:rsid w:val="001D25B3"/>
    <w:rsid w:val="001D2A76"/>
    <w:rsid w:val="001D2E70"/>
    <w:rsid w:val="001D3120"/>
    <w:rsid w:val="001D3201"/>
    <w:rsid w:val="001D3531"/>
    <w:rsid w:val="001D453F"/>
    <w:rsid w:val="001D482A"/>
    <w:rsid w:val="001D6007"/>
    <w:rsid w:val="001D6A3A"/>
    <w:rsid w:val="001D6E72"/>
    <w:rsid w:val="001E0704"/>
    <w:rsid w:val="001E0824"/>
    <w:rsid w:val="001E1C47"/>
    <w:rsid w:val="001E3005"/>
    <w:rsid w:val="001E43FD"/>
    <w:rsid w:val="001E4C69"/>
    <w:rsid w:val="001E5095"/>
    <w:rsid w:val="001E587B"/>
    <w:rsid w:val="001E6A68"/>
    <w:rsid w:val="001F0026"/>
    <w:rsid w:val="001F03D4"/>
    <w:rsid w:val="001F0943"/>
    <w:rsid w:val="001F0D69"/>
    <w:rsid w:val="001F1442"/>
    <w:rsid w:val="001F151B"/>
    <w:rsid w:val="001F17D4"/>
    <w:rsid w:val="001F1A0D"/>
    <w:rsid w:val="001F1E68"/>
    <w:rsid w:val="001F2957"/>
    <w:rsid w:val="001F33A9"/>
    <w:rsid w:val="001F33AF"/>
    <w:rsid w:val="001F385B"/>
    <w:rsid w:val="001F3DD0"/>
    <w:rsid w:val="001F40F6"/>
    <w:rsid w:val="001F49B9"/>
    <w:rsid w:val="001F4DA4"/>
    <w:rsid w:val="001F4EC7"/>
    <w:rsid w:val="001F55AA"/>
    <w:rsid w:val="001F570E"/>
    <w:rsid w:val="001F5A02"/>
    <w:rsid w:val="001F6522"/>
    <w:rsid w:val="001F7412"/>
    <w:rsid w:val="001F7948"/>
    <w:rsid w:val="001F7C36"/>
    <w:rsid w:val="001F7F36"/>
    <w:rsid w:val="002021B7"/>
    <w:rsid w:val="002024FA"/>
    <w:rsid w:val="00202EF6"/>
    <w:rsid w:val="0020367A"/>
    <w:rsid w:val="002038AE"/>
    <w:rsid w:val="00204569"/>
    <w:rsid w:val="00204CA3"/>
    <w:rsid w:val="0020558F"/>
    <w:rsid w:val="00205EB1"/>
    <w:rsid w:val="002066FB"/>
    <w:rsid w:val="00206EBC"/>
    <w:rsid w:val="00212E31"/>
    <w:rsid w:val="0021300A"/>
    <w:rsid w:val="002130D4"/>
    <w:rsid w:val="002139CF"/>
    <w:rsid w:val="002141AA"/>
    <w:rsid w:val="0021497E"/>
    <w:rsid w:val="00214A12"/>
    <w:rsid w:val="002151EE"/>
    <w:rsid w:val="00215FB3"/>
    <w:rsid w:val="0021665B"/>
    <w:rsid w:val="00216A07"/>
    <w:rsid w:val="0021713D"/>
    <w:rsid w:val="00217533"/>
    <w:rsid w:val="00220067"/>
    <w:rsid w:val="00220A4E"/>
    <w:rsid w:val="00220B0C"/>
    <w:rsid w:val="002211CD"/>
    <w:rsid w:val="002215D7"/>
    <w:rsid w:val="00222319"/>
    <w:rsid w:val="00222C98"/>
    <w:rsid w:val="00223C56"/>
    <w:rsid w:val="00224CC5"/>
    <w:rsid w:val="00224EF3"/>
    <w:rsid w:val="002252F2"/>
    <w:rsid w:val="0022548B"/>
    <w:rsid w:val="002256C6"/>
    <w:rsid w:val="0022570B"/>
    <w:rsid w:val="0022624E"/>
    <w:rsid w:val="002262DE"/>
    <w:rsid w:val="002267C5"/>
    <w:rsid w:val="00227135"/>
    <w:rsid w:val="00227714"/>
    <w:rsid w:val="00227864"/>
    <w:rsid w:val="00227DA6"/>
    <w:rsid w:val="0023038F"/>
    <w:rsid w:val="002312E7"/>
    <w:rsid w:val="002313DF"/>
    <w:rsid w:val="00231BBD"/>
    <w:rsid w:val="00231C93"/>
    <w:rsid w:val="002322B5"/>
    <w:rsid w:val="0023252F"/>
    <w:rsid w:val="00233299"/>
    <w:rsid w:val="00233CED"/>
    <w:rsid w:val="0023493A"/>
    <w:rsid w:val="00234E22"/>
    <w:rsid w:val="00235245"/>
    <w:rsid w:val="002353AF"/>
    <w:rsid w:val="00235DCF"/>
    <w:rsid w:val="0023631C"/>
    <w:rsid w:val="00236575"/>
    <w:rsid w:val="00236925"/>
    <w:rsid w:val="00236B86"/>
    <w:rsid w:val="0023724B"/>
    <w:rsid w:val="00237985"/>
    <w:rsid w:val="00237E83"/>
    <w:rsid w:val="00240491"/>
    <w:rsid w:val="00240F56"/>
    <w:rsid w:val="002410C0"/>
    <w:rsid w:val="002411D1"/>
    <w:rsid w:val="00241884"/>
    <w:rsid w:val="002426DC"/>
    <w:rsid w:val="0024316B"/>
    <w:rsid w:val="002447C8"/>
    <w:rsid w:val="00244F55"/>
    <w:rsid w:val="00245259"/>
    <w:rsid w:val="0024686A"/>
    <w:rsid w:val="00247047"/>
    <w:rsid w:val="002470BF"/>
    <w:rsid w:val="0025050D"/>
    <w:rsid w:val="0025069A"/>
    <w:rsid w:val="00250B8A"/>
    <w:rsid w:val="00250D7A"/>
    <w:rsid w:val="002513BE"/>
    <w:rsid w:val="0025195A"/>
    <w:rsid w:val="00251E52"/>
    <w:rsid w:val="0025228C"/>
    <w:rsid w:val="002527C6"/>
    <w:rsid w:val="00252AD1"/>
    <w:rsid w:val="002533DB"/>
    <w:rsid w:val="0025476B"/>
    <w:rsid w:val="0025535F"/>
    <w:rsid w:val="002559CE"/>
    <w:rsid w:val="00256B4F"/>
    <w:rsid w:val="00257020"/>
    <w:rsid w:val="00257173"/>
    <w:rsid w:val="00257880"/>
    <w:rsid w:val="002601EC"/>
    <w:rsid w:val="00260980"/>
    <w:rsid w:val="00260A6D"/>
    <w:rsid w:val="00260E48"/>
    <w:rsid w:val="002610B4"/>
    <w:rsid w:val="0026145F"/>
    <w:rsid w:val="00261839"/>
    <w:rsid w:val="00263B7C"/>
    <w:rsid w:val="00263BE3"/>
    <w:rsid w:val="00263D13"/>
    <w:rsid w:val="00263D1D"/>
    <w:rsid w:val="002642FB"/>
    <w:rsid w:val="00264DD6"/>
    <w:rsid w:val="0026536F"/>
    <w:rsid w:val="0026555A"/>
    <w:rsid w:val="002657C6"/>
    <w:rsid w:val="00265AD7"/>
    <w:rsid w:val="00266B9E"/>
    <w:rsid w:val="00270AE5"/>
    <w:rsid w:val="002714DC"/>
    <w:rsid w:val="00272226"/>
    <w:rsid w:val="00272433"/>
    <w:rsid w:val="00273472"/>
    <w:rsid w:val="002737A7"/>
    <w:rsid w:val="002740F9"/>
    <w:rsid w:val="00274794"/>
    <w:rsid w:val="002749A8"/>
    <w:rsid w:val="0027512D"/>
    <w:rsid w:val="00275963"/>
    <w:rsid w:val="00276245"/>
    <w:rsid w:val="002766EF"/>
    <w:rsid w:val="002774BE"/>
    <w:rsid w:val="00277544"/>
    <w:rsid w:val="00277718"/>
    <w:rsid w:val="002815AD"/>
    <w:rsid w:val="002816D4"/>
    <w:rsid w:val="00281823"/>
    <w:rsid w:val="00283761"/>
    <w:rsid w:val="00283ED6"/>
    <w:rsid w:val="0028421F"/>
    <w:rsid w:val="002856F8"/>
    <w:rsid w:val="002858B4"/>
    <w:rsid w:val="002864C6"/>
    <w:rsid w:val="0028679F"/>
    <w:rsid w:val="00286865"/>
    <w:rsid w:val="00287626"/>
    <w:rsid w:val="00287879"/>
    <w:rsid w:val="002901F1"/>
    <w:rsid w:val="00290748"/>
    <w:rsid w:val="00291D79"/>
    <w:rsid w:val="00292CD9"/>
    <w:rsid w:val="00292FDE"/>
    <w:rsid w:val="00293551"/>
    <w:rsid w:val="002946BF"/>
    <w:rsid w:val="0029509B"/>
    <w:rsid w:val="00295402"/>
    <w:rsid w:val="00295B95"/>
    <w:rsid w:val="002960BA"/>
    <w:rsid w:val="0029687D"/>
    <w:rsid w:val="002972F5"/>
    <w:rsid w:val="00297663"/>
    <w:rsid w:val="00297664"/>
    <w:rsid w:val="002A0378"/>
    <w:rsid w:val="002A0A67"/>
    <w:rsid w:val="002A1E49"/>
    <w:rsid w:val="002A24D3"/>
    <w:rsid w:val="002A2DC6"/>
    <w:rsid w:val="002A3805"/>
    <w:rsid w:val="002A3D06"/>
    <w:rsid w:val="002A3FFE"/>
    <w:rsid w:val="002A56AC"/>
    <w:rsid w:val="002A5978"/>
    <w:rsid w:val="002A5ED2"/>
    <w:rsid w:val="002A5FE6"/>
    <w:rsid w:val="002A6483"/>
    <w:rsid w:val="002A660E"/>
    <w:rsid w:val="002A71F0"/>
    <w:rsid w:val="002A7B77"/>
    <w:rsid w:val="002B091A"/>
    <w:rsid w:val="002B0ACA"/>
    <w:rsid w:val="002B204D"/>
    <w:rsid w:val="002B21AB"/>
    <w:rsid w:val="002B23C0"/>
    <w:rsid w:val="002B2774"/>
    <w:rsid w:val="002B2BFC"/>
    <w:rsid w:val="002B4749"/>
    <w:rsid w:val="002B4EBD"/>
    <w:rsid w:val="002B518F"/>
    <w:rsid w:val="002B5FCA"/>
    <w:rsid w:val="002B6786"/>
    <w:rsid w:val="002B69EB"/>
    <w:rsid w:val="002B6B32"/>
    <w:rsid w:val="002B6DDF"/>
    <w:rsid w:val="002B73D8"/>
    <w:rsid w:val="002C0199"/>
    <w:rsid w:val="002C0C5F"/>
    <w:rsid w:val="002C1622"/>
    <w:rsid w:val="002C1731"/>
    <w:rsid w:val="002C1EC4"/>
    <w:rsid w:val="002C2B64"/>
    <w:rsid w:val="002C3056"/>
    <w:rsid w:val="002C3146"/>
    <w:rsid w:val="002C3418"/>
    <w:rsid w:val="002C445C"/>
    <w:rsid w:val="002C4464"/>
    <w:rsid w:val="002C4D2D"/>
    <w:rsid w:val="002C5CF9"/>
    <w:rsid w:val="002C5E44"/>
    <w:rsid w:val="002C60ED"/>
    <w:rsid w:val="002C69F0"/>
    <w:rsid w:val="002C6A96"/>
    <w:rsid w:val="002C7652"/>
    <w:rsid w:val="002C7F0C"/>
    <w:rsid w:val="002D100E"/>
    <w:rsid w:val="002D1BAB"/>
    <w:rsid w:val="002D2512"/>
    <w:rsid w:val="002D3189"/>
    <w:rsid w:val="002D3916"/>
    <w:rsid w:val="002D4362"/>
    <w:rsid w:val="002D4542"/>
    <w:rsid w:val="002D5F38"/>
    <w:rsid w:val="002D5FEA"/>
    <w:rsid w:val="002D645C"/>
    <w:rsid w:val="002D7360"/>
    <w:rsid w:val="002D7475"/>
    <w:rsid w:val="002D7E13"/>
    <w:rsid w:val="002E01A2"/>
    <w:rsid w:val="002E04D1"/>
    <w:rsid w:val="002E0927"/>
    <w:rsid w:val="002E0EEE"/>
    <w:rsid w:val="002E14E1"/>
    <w:rsid w:val="002E1CF0"/>
    <w:rsid w:val="002E2142"/>
    <w:rsid w:val="002E2CEF"/>
    <w:rsid w:val="002E330B"/>
    <w:rsid w:val="002E3A2C"/>
    <w:rsid w:val="002E3D17"/>
    <w:rsid w:val="002E3E89"/>
    <w:rsid w:val="002E3FDD"/>
    <w:rsid w:val="002E46A1"/>
    <w:rsid w:val="002E4AAB"/>
    <w:rsid w:val="002E4D3F"/>
    <w:rsid w:val="002E4D71"/>
    <w:rsid w:val="002E4F0E"/>
    <w:rsid w:val="002E5A6D"/>
    <w:rsid w:val="002E5FC9"/>
    <w:rsid w:val="002E66F9"/>
    <w:rsid w:val="002E67A9"/>
    <w:rsid w:val="002E6AF1"/>
    <w:rsid w:val="002E6B8C"/>
    <w:rsid w:val="002E7341"/>
    <w:rsid w:val="002E7B4F"/>
    <w:rsid w:val="002E7D07"/>
    <w:rsid w:val="002F0D08"/>
    <w:rsid w:val="002F1A26"/>
    <w:rsid w:val="002F1D29"/>
    <w:rsid w:val="002F23C6"/>
    <w:rsid w:val="002F30D2"/>
    <w:rsid w:val="002F3697"/>
    <w:rsid w:val="002F4C40"/>
    <w:rsid w:val="002F5012"/>
    <w:rsid w:val="002F644C"/>
    <w:rsid w:val="002F6CEA"/>
    <w:rsid w:val="002F7EF4"/>
    <w:rsid w:val="00301553"/>
    <w:rsid w:val="00301F13"/>
    <w:rsid w:val="0030231C"/>
    <w:rsid w:val="0030248E"/>
    <w:rsid w:val="003024CD"/>
    <w:rsid w:val="003028E0"/>
    <w:rsid w:val="00304142"/>
    <w:rsid w:val="00304EDB"/>
    <w:rsid w:val="00305413"/>
    <w:rsid w:val="00306658"/>
    <w:rsid w:val="00310031"/>
    <w:rsid w:val="003100B8"/>
    <w:rsid w:val="003105FF"/>
    <w:rsid w:val="00311450"/>
    <w:rsid w:val="003115B6"/>
    <w:rsid w:val="00311891"/>
    <w:rsid w:val="003120D0"/>
    <w:rsid w:val="00312935"/>
    <w:rsid w:val="00313C3D"/>
    <w:rsid w:val="0031405D"/>
    <w:rsid w:val="00314598"/>
    <w:rsid w:val="003169F6"/>
    <w:rsid w:val="00316E2A"/>
    <w:rsid w:val="00317220"/>
    <w:rsid w:val="0031731E"/>
    <w:rsid w:val="00317988"/>
    <w:rsid w:val="00320055"/>
    <w:rsid w:val="003211BC"/>
    <w:rsid w:val="00322145"/>
    <w:rsid w:val="00322993"/>
    <w:rsid w:val="003231CB"/>
    <w:rsid w:val="003237F3"/>
    <w:rsid w:val="00323C9A"/>
    <w:rsid w:val="00324AD4"/>
    <w:rsid w:val="00326320"/>
    <w:rsid w:val="0033001A"/>
    <w:rsid w:val="0033018C"/>
    <w:rsid w:val="00330304"/>
    <w:rsid w:val="003306E6"/>
    <w:rsid w:val="00330DE0"/>
    <w:rsid w:val="00330EE3"/>
    <w:rsid w:val="00331C6C"/>
    <w:rsid w:val="00331E93"/>
    <w:rsid w:val="00332172"/>
    <w:rsid w:val="00332453"/>
    <w:rsid w:val="00332682"/>
    <w:rsid w:val="003327CF"/>
    <w:rsid w:val="00332DDF"/>
    <w:rsid w:val="003331B7"/>
    <w:rsid w:val="0033326B"/>
    <w:rsid w:val="00333DF2"/>
    <w:rsid w:val="003341E1"/>
    <w:rsid w:val="003347D1"/>
    <w:rsid w:val="00334A87"/>
    <w:rsid w:val="00335089"/>
    <w:rsid w:val="00335664"/>
    <w:rsid w:val="00335A13"/>
    <w:rsid w:val="00335AD7"/>
    <w:rsid w:val="00336306"/>
    <w:rsid w:val="0033645E"/>
    <w:rsid w:val="0033675B"/>
    <w:rsid w:val="003402F7"/>
    <w:rsid w:val="00340925"/>
    <w:rsid w:val="003411CC"/>
    <w:rsid w:val="00341833"/>
    <w:rsid w:val="00341930"/>
    <w:rsid w:val="00341E39"/>
    <w:rsid w:val="00342746"/>
    <w:rsid w:val="00343324"/>
    <w:rsid w:val="0034377D"/>
    <w:rsid w:val="00345D4D"/>
    <w:rsid w:val="00346871"/>
    <w:rsid w:val="00346ACE"/>
    <w:rsid w:val="003471CE"/>
    <w:rsid w:val="003474CC"/>
    <w:rsid w:val="003479BC"/>
    <w:rsid w:val="0035003E"/>
    <w:rsid w:val="0035004C"/>
    <w:rsid w:val="0035050C"/>
    <w:rsid w:val="00350B19"/>
    <w:rsid w:val="00350DB0"/>
    <w:rsid w:val="00350FBE"/>
    <w:rsid w:val="00351A2E"/>
    <w:rsid w:val="003520B3"/>
    <w:rsid w:val="00352274"/>
    <w:rsid w:val="003527F4"/>
    <w:rsid w:val="0035288D"/>
    <w:rsid w:val="00353413"/>
    <w:rsid w:val="00353569"/>
    <w:rsid w:val="00353815"/>
    <w:rsid w:val="00354451"/>
    <w:rsid w:val="003544D0"/>
    <w:rsid w:val="00354B7C"/>
    <w:rsid w:val="00354D78"/>
    <w:rsid w:val="00355BF9"/>
    <w:rsid w:val="00356B5D"/>
    <w:rsid w:val="00356C0D"/>
    <w:rsid w:val="0035720C"/>
    <w:rsid w:val="00357586"/>
    <w:rsid w:val="00357738"/>
    <w:rsid w:val="00357FF0"/>
    <w:rsid w:val="00360B02"/>
    <w:rsid w:val="00360C9B"/>
    <w:rsid w:val="003618DF"/>
    <w:rsid w:val="003621EA"/>
    <w:rsid w:val="00362833"/>
    <w:rsid w:val="00363ADF"/>
    <w:rsid w:val="003652AF"/>
    <w:rsid w:val="00365DB2"/>
    <w:rsid w:val="003667D4"/>
    <w:rsid w:val="00366C5F"/>
    <w:rsid w:val="00366E4F"/>
    <w:rsid w:val="003672B8"/>
    <w:rsid w:val="003679E8"/>
    <w:rsid w:val="003700F4"/>
    <w:rsid w:val="003706AE"/>
    <w:rsid w:val="00370EDF"/>
    <w:rsid w:val="0037164B"/>
    <w:rsid w:val="0037188B"/>
    <w:rsid w:val="00372745"/>
    <w:rsid w:val="00372C29"/>
    <w:rsid w:val="00372E26"/>
    <w:rsid w:val="003744B0"/>
    <w:rsid w:val="0037678D"/>
    <w:rsid w:val="0037685A"/>
    <w:rsid w:val="00376D3C"/>
    <w:rsid w:val="00377842"/>
    <w:rsid w:val="00377B7B"/>
    <w:rsid w:val="00377C21"/>
    <w:rsid w:val="00382053"/>
    <w:rsid w:val="003833A9"/>
    <w:rsid w:val="00383400"/>
    <w:rsid w:val="00383434"/>
    <w:rsid w:val="0038384D"/>
    <w:rsid w:val="00383F1F"/>
    <w:rsid w:val="0038458C"/>
    <w:rsid w:val="00384C7E"/>
    <w:rsid w:val="00384D8F"/>
    <w:rsid w:val="00384E11"/>
    <w:rsid w:val="003854AC"/>
    <w:rsid w:val="0038667D"/>
    <w:rsid w:val="00386E3F"/>
    <w:rsid w:val="00387A4C"/>
    <w:rsid w:val="00387C18"/>
    <w:rsid w:val="00387EC7"/>
    <w:rsid w:val="00390846"/>
    <w:rsid w:val="00390DDF"/>
    <w:rsid w:val="00392228"/>
    <w:rsid w:val="0039314D"/>
    <w:rsid w:val="00394758"/>
    <w:rsid w:val="00395846"/>
    <w:rsid w:val="00395E49"/>
    <w:rsid w:val="0039660D"/>
    <w:rsid w:val="00397568"/>
    <w:rsid w:val="0039758E"/>
    <w:rsid w:val="00397EB2"/>
    <w:rsid w:val="003A0B8D"/>
    <w:rsid w:val="003A0D40"/>
    <w:rsid w:val="003A1FC6"/>
    <w:rsid w:val="003A2067"/>
    <w:rsid w:val="003A2134"/>
    <w:rsid w:val="003A21E1"/>
    <w:rsid w:val="003A2A9D"/>
    <w:rsid w:val="003A3383"/>
    <w:rsid w:val="003A37E6"/>
    <w:rsid w:val="003A4178"/>
    <w:rsid w:val="003A512A"/>
    <w:rsid w:val="003A52BC"/>
    <w:rsid w:val="003A6EB4"/>
    <w:rsid w:val="003A6FFE"/>
    <w:rsid w:val="003B0555"/>
    <w:rsid w:val="003B10C0"/>
    <w:rsid w:val="003B2749"/>
    <w:rsid w:val="003B30AE"/>
    <w:rsid w:val="003B38D9"/>
    <w:rsid w:val="003B3FC3"/>
    <w:rsid w:val="003B45A3"/>
    <w:rsid w:val="003B49B9"/>
    <w:rsid w:val="003B4C9F"/>
    <w:rsid w:val="003B52A0"/>
    <w:rsid w:val="003B5439"/>
    <w:rsid w:val="003B55DF"/>
    <w:rsid w:val="003B59BC"/>
    <w:rsid w:val="003B5EEC"/>
    <w:rsid w:val="003B5FC2"/>
    <w:rsid w:val="003B62DA"/>
    <w:rsid w:val="003B6E29"/>
    <w:rsid w:val="003B7AD0"/>
    <w:rsid w:val="003C049D"/>
    <w:rsid w:val="003C19D1"/>
    <w:rsid w:val="003C2460"/>
    <w:rsid w:val="003C293F"/>
    <w:rsid w:val="003C2AEE"/>
    <w:rsid w:val="003C30A7"/>
    <w:rsid w:val="003C315F"/>
    <w:rsid w:val="003C32F2"/>
    <w:rsid w:val="003C42BF"/>
    <w:rsid w:val="003C454F"/>
    <w:rsid w:val="003C464E"/>
    <w:rsid w:val="003C468E"/>
    <w:rsid w:val="003C46B8"/>
    <w:rsid w:val="003C5936"/>
    <w:rsid w:val="003C5F7C"/>
    <w:rsid w:val="003C657B"/>
    <w:rsid w:val="003D0178"/>
    <w:rsid w:val="003D0BCA"/>
    <w:rsid w:val="003D101E"/>
    <w:rsid w:val="003D155C"/>
    <w:rsid w:val="003D17CB"/>
    <w:rsid w:val="003D210F"/>
    <w:rsid w:val="003D2F4C"/>
    <w:rsid w:val="003D335F"/>
    <w:rsid w:val="003D4053"/>
    <w:rsid w:val="003D4264"/>
    <w:rsid w:val="003D42D6"/>
    <w:rsid w:val="003D444A"/>
    <w:rsid w:val="003D4FBD"/>
    <w:rsid w:val="003D5AB3"/>
    <w:rsid w:val="003D5E4D"/>
    <w:rsid w:val="003D5EF6"/>
    <w:rsid w:val="003D5FF7"/>
    <w:rsid w:val="003D6026"/>
    <w:rsid w:val="003D6B0C"/>
    <w:rsid w:val="003D6C43"/>
    <w:rsid w:val="003D7357"/>
    <w:rsid w:val="003D75E1"/>
    <w:rsid w:val="003D7BBB"/>
    <w:rsid w:val="003D7C26"/>
    <w:rsid w:val="003E1AD1"/>
    <w:rsid w:val="003E24B0"/>
    <w:rsid w:val="003E24F9"/>
    <w:rsid w:val="003E30E9"/>
    <w:rsid w:val="003E3834"/>
    <w:rsid w:val="003E42BD"/>
    <w:rsid w:val="003E430D"/>
    <w:rsid w:val="003E48C7"/>
    <w:rsid w:val="003E568D"/>
    <w:rsid w:val="003E5A20"/>
    <w:rsid w:val="003E637B"/>
    <w:rsid w:val="003E6EA5"/>
    <w:rsid w:val="003E704A"/>
    <w:rsid w:val="003E7791"/>
    <w:rsid w:val="003E7AE9"/>
    <w:rsid w:val="003F0736"/>
    <w:rsid w:val="003F0C04"/>
    <w:rsid w:val="003F1196"/>
    <w:rsid w:val="003F1926"/>
    <w:rsid w:val="003F1A23"/>
    <w:rsid w:val="003F2A18"/>
    <w:rsid w:val="003F3DF3"/>
    <w:rsid w:val="003F433F"/>
    <w:rsid w:val="003F4D38"/>
    <w:rsid w:val="003F4D9B"/>
    <w:rsid w:val="003F5057"/>
    <w:rsid w:val="003F5D6C"/>
    <w:rsid w:val="003F6B17"/>
    <w:rsid w:val="003F6C85"/>
    <w:rsid w:val="003F7655"/>
    <w:rsid w:val="003F7780"/>
    <w:rsid w:val="00400179"/>
    <w:rsid w:val="004002F4"/>
    <w:rsid w:val="0040079A"/>
    <w:rsid w:val="004012FC"/>
    <w:rsid w:val="00401399"/>
    <w:rsid w:val="004014D9"/>
    <w:rsid w:val="00401EB6"/>
    <w:rsid w:val="00403108"/>
    <w:rsid w:val="004031EA"/>
    <w:rsid w:val="0040373C"/>
    <w:rsid w:val="00403774"/>
    <w:rsid w:val="00405C9B"/>
    <w:rsid w:val="00406600"/>
    <w:rsid w:val="004068AE"/>
    <w:rsid w:val="004069CD"/>
    <w:rsid w:val="00406C3C"/>
    <w:rsid w:val="004072F8"/>
    <w:rsid w:val="004078D1"/>
    <w:rsid w:val="004107BA"/>
    <w:rsid w:val="004121D9"/>
    <w:rsid w:val="0041259F"/>
    <w:rsid w:val="00412D47"/>
    <w:rsid w:val="00413DA4"/>
    <w:rsid w:val="0041488A"/>
    <w:rsid w:val="00415290"/>
    <w:rsid w:val="004156D5"/>
    <w:rsid w:val="00415781"/>
    <w:rsid w:val="004169B3"/>
    <w:rsid w:val="00417873"/>
    <w:rsid w:val="00417E29"/>
    <w:rsid w:val="00417F1B"/>
    <w:rsid w:val="004201B1"/>
    <w:rsid w:val="00420CB0"/>
    <w:rsid w:val="00420D8B"/>
    <w:rsid w:val="00421123"/>
    <w:rsid w:val="004212F9"/>
    <w:rsid w:val="0042137A"/>
    <w:rsid w:val="004218DB"/>
    <w:rsid w:val="00421962"/>
    <w:rsid w:val="00421B7B"/>
    <w:rsid w:val="0042282D"/>
    <w:rsid w:val="00423F99"/>
    <w:rsid w:val="00424328"/>
    <w:rsid w:val="00424C2C"/>
    <w:rsid w:val="00425BF7"/>
    <w:rsid w:val="00425E00"/>
    <w:rsid w:val="004263B6"/>
    <w:rsid w:val="00426552"/>
    <w:rsid w:val="00426A4D"/>
    <w:rsid w:val="00426EEF"/>
    <w:rsid w:val="00426F57"/>
    <w:rsid w:val="004305B5"/>
    <w:rsid w:val="00431439"/>
    <w:rsid w:val="0043156E"/>
    <w:rsid w:val="00431981"/>
    <w:rsid w:val="00431CD5"/>
    <w:rsid w:val="004322CF"/>
    <w:rsid w:val="004325F3"/>
    <w:rsid w:val="00432832"/>
    <w:rsid w:val="00432C5F"/>
    <w:rsid w:val="00432F99"/>
    <w:rsid w:val="00433902"/>
    <w:rsid w:val="004349BA"/>
    <w:rsid w:val="00434BD4"/>
    <w:rsid w:val="00434E0D"/>
    <w:rsid w:val="004359F2"/>
    <w:rsid w:val="0043645C"/>
    <w:rsid w:val="0043665F"/>
    <w:rsid w:val="0043695C"/>
    <w:rsid w:val="00436D93"/>
    <w:rsid w:val="00436EB3"/>
    <w:rsid w:val="0043701F"/>
    <w:rsid w:val="00437DD0"/>
    <w:rsid w:val="00442163"/>
    <w:rsid w:val="00442CED"/>
    <w:rsid w:val="00443002"/>
    <w:rsid w:val="00443605"/>
    <w:rsid w:val="0044552E"/>
    <w:rsid w:val="00445E13"/>
    <w:rsid w:val="004465E7"/>
    <w:rsid w:val="00446C77"/>
    <w:rsid w:val="00447998"/>
    <w:rsid w:val="00447DDF"/>
    <w:rsid w:val="0045113B"/>
    <w:rsid w:val="00451989"/>
    <w:rsid w:val="00451FC2"/>
    <w:rsid w:val="0045204C"/>
    <w:rsid w:val="004520F6"/>
    <w:rsid w:val="0045239C"/>
    <w:rsid w:val="0045309D"/>
    <w:rsid w:val="004543E2"/>
    <w:rsid w:val="004545E2"/>
    <w:rsid w:val="004547C3"/>
    <w:rsid w:val="00454805"/>
    <w:rsid w:val="00454A67"/>
    <w:rsid w:val="004552CA"/>
    <w:rsid w:val="00455A50"/>
    <w:rsid w:val="0045628B"/>
    <w:rsid w:val="00456506"/>
    <w:rsid w:val="0045657A"/>
    <w:rsid w:val="00456E80"/>
    <w:rsid w:val="004601C2"/>
    <w:rsid w:val="00460A5A"/>
    <w:rsid w:val="00460CB5"/>
    <w:rsid w:val="0046154F"/>
    <w:rsid w:val="004618A0"/>
    <w:rsid w:val="00461C31"/>
    <w:rsid w:val="0046210C"/>
    <w:rsid w:val="004626B5"/>
    <w:rsid w:val="00462FA8"/>
    <w:rsid w:val="004635F0"/>
    <w:rsid w:val="00463A93"/>
    <w:rsid w:val="00463F11"/>
    <w:rsid w:val="00464959"/>
    <w:rsid w:val="00464C54"/>
    <w:rsid w:val="0046503E"/>
    <w:rsid w:val="00466433"/>
    <w:rsid w:val="00466547"/>
    <w:rsid w:val="00466736"/>
    <w:rsid w:val="004667E5"/>
    <w:rsid w:val="00466A99"/>
    <w:rsid w:val="00466B58"/>
    <w:rsid w:val="00466FB8"/>
    <w:rsid w:val="0046701E"/>
    <w:rsid w:val="00467664"/>
    <w:rsid w:val="004676DB"/>
    <w:rsid w:val="00471678"/>
    <w:rsid w:val="004725DB"/>
    <w:rsid w:val="00472781"/>
    <w:rsid w:val="00473470"/>
    <w:rsid w:val="00473579"/>
    <w:rsid w:val="00473DB4"/>
    <w:rsid w:val="004748B2"/>
    <w:rsid w:val="0047558C"/>
    <w:rsid w:val="004763F4"/>
    <w:rsid w:val="00476DA7"/>
    <w:rsid w:val="00477518"/>
    <w:rsid w:val="00477BDD"/>
    <w:rsid w:val="004807B1"/>
    <w:rsid w:val="004807EE"/>
    <w:rsid w:val="004814F4"/>
    <w:rsid w:val="00481591"/>
    <w:rsid w:val="00481D3A"/>
    <w:rsid w:val="00481E12"/>
    <w:rsid w:val="00482462"/>
    <w:rsid w:val="0048262C"/>
    <w:rsid w:val="00482DED"/>
    <w:rsid w:val="00483315"/>
    <w:rsid w:val="004837FF"/>
    <w:rsid w:val="00484164"/>
    <w:rsid w:val="004851C1"/>
    <w:rsid w:val="00485CB6"/>
    <w:rsid w:val="00490262"/>
    <w:rsid w:val="004902AA"/>
    <w:rsid w:val="0049063E"/>
    <w:rsid w:val="0049120E"/>
    <w:rsid w:val="004913BC"/>
    <w:rsid w:val="004913EA"/>
    <w:rsid w:val="00491569"/>
    <w:rsid w:val="004915A7"/>
    <w:rsid w:val="00492A54"/>
    <w:rsid w:val="00492C42"/>
    <w:rsid w:val="00493380"/>
    <w:rsid w:val="00496236"/>
    <w:rsid w:val="004962FF"/>
    <w:rsid w:val="00496649"/>
    <w:rsid w:val="00496BD6"/>
    <w:rsid w:val="00497B42"/>
    <w:rsid w:val="004A0024"/>
    <w:rsid w:val="004A0160"/>
    <w:rsid w:val="004A0FA1"/>
    <w:rsid w:val="004A14F2"/>
    <w:rsid w:val="004A19D2"/>
    <w:rsid w:val="004A2076"/>
    <w:rsid w:val="004A2B7F"/>
    <w:rsid w:val="004A2F61"/>
    <w:rsid w:val="004A2FE4"/>
    <w:rsid w:val="004A399D"/>
    <w:rsid w:val="004A39C2"/>
    <w:rsid w:val="004A4134"/>
    <w:rsid w:val="004A46C1"/>
    <w:rsid w:val="004A4A90"/>
    <w:rsid w:val="004A4F59"/>
    <w:rsid w:val="004A5DA6"/>
    <w:rsid w:val="004A5E98"/>
    <w:rsid w:val="004A65A3"/>
    <w:rsid w:val="004A6613"/>
    <w:rsid w:val="004A6CB9"/>
    <w:rsid w:val="004A6DF3"/>
    <w:rsid w:val="004A747A"/>
    <w:rsid w:val="004A7F1A"/>
    <w:rsid w:val="004B00C0"/>
    <w:rsid w:val="004B13EA"/>
    <w:rsid w:val="004B15F6"/>
    <w:rsid w:val="004B1718"/>
    <w:rsid w:val="004B1A21"/>
    <w:rsid w:val="004B401C"/>
    <w:rsid w:val="004B5024"/>
    <w:rsid w:val="004B5591"/>
    <w:rsid w:val="004B57E0"/>
    <w:rsid w:val="004B5E1F"/>
    <w:rsid w:val="004B6269"/>
    <w:rsid w:val="004B64D9"/>
    <w:rsid w:val="004B6A8B"/>
    <w:rsid w:val="004B7815"/>
    <w:rsid w:val="004C05ED"/>
    <w:rsid w:val="004C0931"/>
    <w:rsid w:val="004C09BC"/>
    <w:rsid w:val="004C18DA"/>
    <w:rsid w:val="004C1A05"/>
    <w:rsid w:val="004C23C2"/>
    <w:rsid w:val="004C2A02"/>
    <w:rsid w:val="004C36B9"/>
    <w:rsid w:val="004C3BD2"/>
    <w:rsid w:val="004C3F04"/>
    <w:rsid w:val="004C40A9"/>
    <w:rsid w:val="004C4FDC"/>
    <w:rsid w:val="004C51EC"/>
    <w:rsid w:val="004C553E"/>
    <w:rsid w:val="004C66B7"/>
    <w:rsid w:val="004C7FB7"/>
    <w:rsid w:val="004D043B"/>
    <w:rsid w:val="004D05A7"/>
    <w:rsid w:val="004D0A08"/>
    <w:rsid w:val="004D0ED6"/>
    <w:rsid w:val="004D109E"/>
    <w:rsid w:val="004D1D93"/>
    <w:rsid w:val="004D21A1"/>
    <w:rsid w:val="004D243D"/>
    <w:rsid w:val="004D249A"/>
    <w:rsid w:val="004D2A35"/>
    <w:rsid w:val="004D2FA4"/>
    <w:rsid w:val="004D3EFD"/>
    <w:rsid w:val="004D4B33"/>
    <w:rsid w:val="004D4C36"/>
    <w:rsid w:val="004D5146"/>
    <w:rsid w:val="004D5642"/>
    <w:rsid w:val="004D7ADA"/>
    <w:rsid w:val="004D7DE7"/>
    <w:rsid w:val="004E02F3"/>
    <w:rsid w:val="004E06BE"/>
    <w:rsid w:val="004E0B55"/>
    <w:rsid w:val="004E0EC6"/>
    <w:rsid w:val="004E13F5"/>
    <w:rsid w:val="004E152E"/>
    <w:rsid w:val="004E166F"/>
    <w:rsid w:val="004E19B5"/>
    <w:rsid w:val="004E1B03"/>
    <w:rsid w:val="004E241D"/>
    <w:rsid w:val="004E32AA"/>
    <w:rsid w:val="004E32BB"/>
    <w:rsid w:val="004E4876"/>
    <w:rsid w:val="004E4DF5"/>
    <w:rsid w:val="004E5686"/>
    <w:rsid w:val="004E6391"/>
    <w:rsid w:val="004E6A3A"/>
    <w:rsid w:val="004E6AEF"/>
    <w:rsid w:val="004F0473"/>
    <w:rsid w:val="004F05A5"/>
    <w:rsid w:val="004F0967"/>
    <w:rsid w:val="004F0AF5"/>
    <w:rsid w:val="004F0EDD"/>
    <w:rsid w:val="004F0F9A"/>
    <w:rsid w:val="004F119D"/>
    <w:rsid w:val="004F1748"/>
    <w:rsid w:val="004F1890"/>
    <w:rsid w:val="004F1B93"/>
    <w:rsid w:val="004F1DF1"/>
    <w:rsid w:val="004F1F7F"/>
    <w:rsid w:val="004F2E50"/>
    <w:rsid w:val="004F3EC3"/>
    <w:rsid w:val="004F4905"/>
    <w:rsid w:val="004F4A0F"/>
    <w:rsid w:val="004F54D0"/>
    <w:rsid w:val="004F55D2"/>
    <w:rsid w:val="004F564F"/>
    <w:rsid w:val="004F5A6C"/>
    <w:rsid w:val="004F5D84"/>
    <w:rsid w:val="004F6A31"/>
    <w:rsid w:val="004F6F71"/>
    <w:rsid w:val="004F70C2"/>
    <w:rsid w:val="004F76C3"/>
    <w:rsid w:val="004F7A5E"/>
    <w:rsid w:val="004F7DB4"/>
    <w:rsid w:val="00500071"/>
    <w:rsid w:val="00500D4D"/>
    <w:rsid w:val="00501216"/>
    <w:rsid w:val="005019CC"/>
    <w:rsid w:val="005026B6"/>
    <w:rsid w:val="00502A46"/>
    <w:rsid w:val="00503067"/>
    <w:rsid w:val="00503AA2"/>
    <w:rsid w:val="00503EBE"/>
    <w:rsid w:val="0050435F"/>
    <w:rsid w:val="005043CE"/>
    <w:rsid w:val="00504945"/>
    <w:rsid w:val="00504C28"/>
    <w:rsid w:val="00504D46"/>
    <w:rsid w:val="00504F7A"/>
    <w:rsid w:val="005053E4"/>
    <w:rsid w:val="00505594"/>
    <w:rsid w:val="00505ABA"/>
    <w:rsid w:val="00506053"/>
    <w:rsid w:val="005062B5"/>
    <w:rsid w:val="0050756D"/>
    <w:rsid w:val="0051016D"/>
    <w:rsid w:val="0051045B"/>
    <w:rsid w:val="0051052C"/>
    <w:rsid w:val="00512272"/>
    <w:rsid w:val="00512BEC"/>
    <w:rsid w:val="00513862"/>
    <w:rsid w:val="00513996"/>
    <w:rsid w:val="00513D35"/>
    <w:rsid w:val="005147DF"/>
    <w:rsid w:val="00515850"/>
    <w:rsid w:val="005158C3"/>
    <w:rsid w:val="005158CD"/>
    <w:rsid w:val="00515B8E"/>
    <w:rsid w:val="00516466"/>
    <w:rsid w:val="005165EB"/>
    <w:rsid w:val="00517145"/>
    <w:rsid w:val="00517245"/>
    <w:rsid w:val="00517682"/>
    <w:rsid w:val="00517B29"/>
    <w:rsid w:val="00520CFE"/>
    <w:rsid w:val="00521A00"/>
    <w:rsid w:val="00521ABE"/>
    <w:rsid w:val="0052245A"/>
    <w:rsid w:val="00522A29"/>
    <w:rsid w:val="00523120"/>
    <w:rsid w:val="00523879"/>
    <w:rsid w:val="00523E7C"/>
    <w:rsid w:val="00523EE1"/>
    <w:rsid w:val="00524103"/>
    <w:rsid w:val="00524E0C"/>
    <w:rsid w:val="00525A5A"/>
    <w:rsid w:val="00526126"/>
    <w:rsid w:val="0052676B"/>
    <w:rsid w:val="00526868"/>
    <w:rsid w:val="0052758F"/>
    <w:rsid w:val="00527C7B"/>
    <w:rsid w:val="00530A2E"/>
    <w:rsid w:val="00531B9D"/>
    <w:rsid w:val="00531DFC"/>
    <w:rsid w:val="00531F73"/>
    <w:rsid w:val="00533102"/>
    <w:rsid w:val="005332E8"/>
    <w:rsid w:val="005333D5"/>
    <w:rsid w:val="00535D01"/>
    <w:rsid w:val="00536A34"/>
    <w:rsid w:val="00536F2D"/>
    <w:rsid w:val="00537BBA"/>
    <w:rsid w:val="005402B7"/>
    <w:rsid w:val="00541AAF"/>
    <w:rsid w:val="005432E3"/>
    <w:rsid w:val="00543512"/>
    <w:rsid w:val="00545B62"/>
    <w:rsid w:val="00545D3A"/>
    <w:rsid w:val="00546AC8"/>
    <w:rsid w:val="00546B1C"/>
    <w:rsid w:val="00546CBA"/>
    <w:rsid w:val="00546D78"/>
    <w:rsid w:val="005503B0"/>
    <w:rsid w:val="00550E02"/>
    <w:rsid w:val="00551146"/>
    <w:rsid w:val="0055299B"/>
    <w:rsid w:val="005546F1"/>
    <w:rsid w:val="00554D57"/>
    <w:rsid w:val="00554DBD"/>
    <w:rsid w:val="005558FA"/>
    <w:rsid w:val="00555C9E"/>
    <w:rsid w:val="00556483"/>
    <w:rsid w:val="005564B7"/>
    <w:rsid w:val="00556ACB"/>
    <w:rsid w:val="00556B28"/>
    <w:rsid w:val="005573B2"/>
    <w:rsid w:val="005573E1"/>
    <w:rsid w:val="005576CB"/>
    <w:rsid w:val="00557A6B"/>
    <w:rsid w:val="00560266"/>
    <w:rsid w:val="00561621"/>
    <w:rsid w:val="00561825"/>
    <w:rsid w:val="00561C7A"/>
    <w:rsid w:val="00561CCF"/>
    <w:rsid w:val="00561D22"/>
    <w:rsid w:val="005629B2"/>
    <w:rsid w:val="00562D78"/>
    <w:rsid w:val="00563BA7"/>
    <w:rsid w:val="00563EFD"/>
    <w:rsid w:val="00564290"/>
    <w:rsid w:val="005660DF"/>
    <w:rsid w:val="00567DBA"/>
    <w:rsid w:val="00567E8B"/>
    <w:rsid w:val="00567FED"/>
    <w:rsid w:val="005705DD"/>
    <w:rsid w:val="00570E11"/>
    <w:rsid w:val="0057161F"/>
    <w:rsid w:val="00571838"/>
    <w:rsid w:val="00572908"/>
    <w:rsid w:val="00572CED"/>
    <w:rsid w:val="00573923"/>
    <w:rsid w:val="005744C5"/>
    <w:rsid w:val="0057490F"/>
    <w:rsid w:val="0057503B"/>
    <w:rsid w:val="00575093"/>
    <w:rsid w:val="00575724"/>
    <w:rsid w:val="00576CE2"/>
    <w:rsid w:val="00576F57"/>
    <w:rsid w:val="00577A19"/>
    <w:rsid w:val="005805D2"/>
    <w:rsid w:val="00580831"/>
    <w:rsid w:val="00580A03"/>
    <w:rsid w:val="00580A7F"/>
    <w:rsid w:val="00580FB7"/>
    <w:rsid w:val="00581ED2"/>
    <w:rsid w:val="00582263"/>
    <w:rsid w:val="005829E0"/>
    <w:rsid w:val="005830A3"/>
    <w:rsid w:val="0058320E"/>
    <w:rsid w:val="005835CA"/>
    <w:rsid w:val="0058431C"/>
    <w:rsid w:val="0058456A"/>
    <w:rsid w:val="0058463C"/>
    <w:rsid w:val="005850B1"/>
    <w:rsid w:val="00585131"/>
    <w:rsid w:val="00585849"/>
    <w:rsid w:val="0058616B"/>
    <w:rsid w:val="0058702E"/>
    <w:rsid w:val="005871B6"/>
    <w:rsid w:val="005877D4"/>
    <w:rsid w:val="005907E3"/>
    <w:rsid w:val="00591377"/>
    <w:rsid w:val="00591841"/>
    <w:rsid w:val="00592EFD"/>
    <w:rsid w:val="0059314C"/>
    <w:rsid w:val="005937DE"/>
    <w:rsid w:val="00593D8F"/>
    <w:rsid w:val="00594E33"/>
    <w:rsid w:val="00595CE4"/>
    <w:rsid w:val="00596528"/>
    <w:rsid w:val="00597DCA"/>
    <w:rsid w:val="005A03DA"/>
    <w:rsid w:val="005A1479"/>
    <w:rsid w:val="005A1919"/>
    <w:rsid w:val="005A1D85"/>
    <w:rsid w:val="005A29A4"/>
    <w:rsid w:val="005A2B42"/>
    <w:rsid w:val="005A3463"/>
    <w:rsid w:val="005A3E41"/>
    <w:rsid w:val="005A4F80"/>
    <w:rsid w:val="005A57AF"/>
    <w:rsid w:val="005A5956"/>
    <w:rsid w:val="005A5FF9"/>
    <w:rsid w:val="005A703D"/>
    <w:rsid w:val="005B1943"/>
    <w:rsid w:val="005B1B21"/>
    <w:rsid w:val="005B21C7"/>
    <w:rsid w:val="005B2216"/>
    <w:rsid w:val="005B246C"/>
    <w:rsid w:val="005B3DF9"/>
    <w:rsid w:val="005B434F"/>
    <w:rsid w:val="005B47AF"/>
    <w:rsid w:val="005B4F50"/>
    <w:rsid w:val="005B50E0"/>
    <w:rsid w:val="005B5345"/>
    <w:rsid w:val="005B54FD"/>
    <w:rsid w:val="005B59EE"/>
    <w:rsid w:val="005B5FBD"/>
    <w:rsid w:val="005B64F0"/>
    <w:rsid w:val="005B6845"/>
    <w:rsid w:val="005B698C"/>
    <w:rsid w:val="005B6BED"/>
    <w:rsid w:val="005B6C0D"/>
    <w:rsid w:val="005B7D40"/>
    <w:rsid w:val="005C00D1"/>
    <w:rsid w:val="005C0E8F"/>
    <w:rsid w:val="005C10BF"/>
    <w:rsid w:val="005C17F0"/>
    <w:rsid w:val="005C1836"/>
    <w:rsid w:val="005C1F9D"/>
    <w:rsid w:val="005C26A5"/>
    <w:rsid w:val="005C27FF"/>
    <w:rsid w:val="005C4463"/>
    <w:rsid w:val="005C5070"/>
    <w:rsid w:val="005C6205"/>
    <w:rsid w:val="005C6D20"/>
    <w:rsid w:val="005C70C7"/>
    <w:rsid w:val="005C7CD2"/>
    <w:rsid w:val="005D00D2"/>
    <w:rsid w:val="005D1BE1"/>
    <w:rsid w:val="005D1C0E"/>
    <w:rsid w:val="005D1F9C"/>
    <w:rsid w:val="005D1FEC"/>
    <w:rsid w:val="005D4907"/>
    <w:rsid w:val="005D4A94"/>
    <w:rsid w:val="005D572D"/>
    <w:rsid w:val="005D6F94"/>
    <w:rsid w:val="005D756B"/>
    <w:rsid w:val="005D764E"/>
    <w:rsid w:val="005D7657"/>
    <w:rsid w:val="005E1010"/>
    <w:rsid w:val="005E1A94"/>
    <w:rsid w:val="005E2DA9"/>
    <w:rsid w:val="005E3A00"/>
    <w:rsid w:val="005E3B7B"/>
    <w:rsid w:val="005E3C93"/>
    <w:rsid w:val="005E3CD5"/>
    <w:rsid w:val="005E4554"/>
    <w:rsid w:val="005E475E"/>
    <w:rsid w:val="005E5401"/>
    <w:rsid w:val="005E6397"/>
    <w:rsid w:val="005E6A27"/>
    <w:rsid w:val="005E6BA0"/>
    <w:rsid w:val="005F03BA"/>
    <w:rsid w:val="005F07EF"/>
    <w:rsid w:val="005F093F"/>
    <w:rsid w:val="005F09BD"/>
    <w:rsid w:val="005F0CC2"/>
    <w:rsid w:val="005F0ECA"/>
    <w:rsid w:val="005F0F06"/>
    <w:rsid w:val="005F1CDE"/>
    <w:rsid w:val="005F2036"/>
    <w:rsid w:val="005F225B"/>
    <w:rsid w:val="005F25F2"/>
    <w:rsid w:val="005F3134"/>
    <w:rsid w:val="005F330B"/>
    <w:rsid w:val="005F3992"/>
    <w:rsid w:val="005F4588"/>
    <w:rsid w:val="005F59EF"/>
    <w:rsid w:val="005F6775"/>
    <w:rsid w:val="005F69F1"/>
    <w:rsid w:val="005F6AB7"/>
    <w:rsid w:val="005F6CDC"/>
    <w:rsid w:val="005F74B3"/>
    <w:rsid w:val="005F7772"/>
    <w:rsid w:val="00600C9B"/>
    <w:rsid w:val="00602C78"/>
    <w:rsid w:val="006030FD"/>
    <w:rsid w:val="00603346"/>
    <w:rsid w:val="00603462"/>
    <w:rsid w:val="00603A7B"/>
    <w:rsid w:val="00604E82"/>
    <w:rsid w:val="00604F1B"/>
    <w:rsid w:val="00605713"/>
    <w:rsid w:val="00605832"/>
    <w:rsid w:val="00606173"/>
    <w:rsid w:val="00606B7D"/>
    <w:rsid w:val="00607ABF"/>
    <w:rsid w:val="00611C93"/>
    <w:rsid w:val="00611CF0"/>
    <w:rsid w:val="00611D44"/>
    <w:rsid w:val="00611D57"/>
    <w:rsid w:val="006122D9"/>
    <w:rsid w:val="0061248A"/>
    <w:rsid w:val="00613ABF"/>
    <w:rsid w:val="00614448"/>
    <w:rsid w:val="00614C7F"/>
    <w:rsid w:val="00614F8D"/>
    <w:rsid w:val="006150A5"/>
    <w:rsid w:val="0061555D"/>
    <w:rsid w:val="0061556E"/>
    <w:rsid w:val="006156B0"/>
    <w:rsid w:val="00615C2A"/>
    <w:rsid w:val="00615EF4"/>
    <w:rsid w:val="00616660"/>
    <w:rsid w:val="006168DC"/>
    <w:rsid w:val="00617463"/>
    <w:rsid w:val="00617758"/>
    <w:rsid w:val="00617833"/>
    <w:rsid w:val="00620007"/>
    <w:rsid w:val="0062133D"/>
    <w:rsid w:val="00621408"/>
    <w:rsid w:val="00621526"/>
    <w:rsid w:val="006228B7"/>
    <w:rsid w:val="00622F6C"/>
    <w:rsid w:val="00623339"/>
    <w:rsid w:val="0062357F"/>
    <w:rsid w:val="006235A6"/>
    <w:rsid w:val="006237AD"/>
    <w:rsid w:val="00623DEF"/>
    <w:rsid w:val="0062457D"/>
    <w:rsid w:val="00624D48"/>
    <w:rsid w:val="006251D3"/>
    <w:rsid w:val="006252AF"/>
    <w:rsid w:val="0062682F"/>
    <w:rsid w:val="00626849"/>
    <w:rsid w:val="00626C5B"/>
    <w:rsid w:val="00626FD6"/>
    <w:rsid w:val="0063039C"/>
    <w:rsid w:val="00630B6F"/>
    <w:rsid w:val="00630D25"/>
    <w:rsid w:val="00630EB1"/>
    <w:rsid w:val="006316A3"/>
    <w:rsid w:val="00631A12"/>
    <w:rsid w:val="00631D95"/>
    <w:rsid w:val="00631FB2"/>
    <w:rsid w:val="006325B0"/>
    <w:rsid w:val="006327BA"/>
    <w:rsid w:val="006330A3"/>
    <w:rsid w:val="00633149"/>
    <w:rsid w:val="00633E72"/>
    <w:rsid w:val="00634C8A"/>
    <w:rsid w:val="0063568D"/>
    <w:rsid w:val="00635B01"/>
    <w:rsid w:val="00635F7F"/>
    <w:rsid w:val="00636158"/>
    <w:rsid w:val="0063694B"/>
    <w:rsid w:val="00637AE2"/>
    <w:rsid w:val="00637ED8"/>
    <w:rsid w:val="0064000E"/>
    <w:rsid w:val="00641DFB"/>
    <w:rsid w:val="0064205B"/>
    <w:rsid w:val="006438DF"/>
    <w:rsid w:val="0064427E"/>
    <w:rsid w:val="006444C9"/>
    <w:rsid w:val="00644648"/>
    <w:rsid w:val="00644DD5"/>
    <w:rsid w:val="006455A0"/>
    <w:rsid w:val="00645D44"/>
    <w:rsid w:val="00646094"/>
    <w:rsid w:val="006460EC"/>
    <w:rsid w:val="006461F9"/>
    <w:rsid w:val="00646302"/>
    <w:rsid w:val="006466FA"/>
    <w:rsid w:val="0064679E"/>
    <w:rsid w:val="00646EA8"/>
    <w:rsid w:val="0064716D"/>
    <w:rsid w:val="00647196"/>
    <w:rsid w:val="00647C00"/>
    <w:rsid w:val="00650421"/>
    <w:rsid w:val="00650838"/>
    <w:rsid w:val="006513AF"/>
    <w:rsid w:val="00653693"/>
    <w:rsid w:val="00653AC2"/>
    <w:rsid w:val="00653C0D"/>
    <w:rsid w:val="00653F0F"/>
    <w:rsid w:val="00653FC7"/>
    <w:rsid w:val="00654762"/>
    <w:rsid w:val="006548F6"/>
    <w:rsid w:val="00654A19"/>
    <w:rsid w:val="006557DA"/>
    <w:rsid w:val="00655F8B"/>
    <w:rsid w:val="00656D78"/>
    <w:rsid w:val="0065742D"/>
    <w:rsid w:val="006577EF"/>
    <w:rsid w:val="006602AC"/>
    <w:rsid w:val="006606DF"/>
    <w:rsid w:val="00661169"/>
    <w:rsid w:val="00661B9F"/>
    <w:rsid w:val="00661C37"/>
    <w:rsid w:val="00662257"/>
    <w:rsid w:val="00662844"/>
    <w:rsid w:val="00662853"/>
    <w:rsid w:val="00662C13"/>
    <w:rsid w:val="0066342B"/>
    <w:rsid w:val="00663F65"/>
    <w:rsid w:val="00664E55"/>
    <w:rsid w:val="006654BB"/>
    <w:rsid w:val="00665536"/>
    <w:rsid w:val="00665679"/>
    <w:rsid w:val="00665953"/>
    <w:rsid w:val="00665FD2"/>
    <w:rsid w:val="0066642A"/>
    <w:rsid w:val="00666775"/>
    <w:rsid w:val="00666814"/>
    <w:rsid w:val="00666ABD"/>
    <w:rsid w:val="00666C04"/>
    <w:rsid w:val="00666FA1"/>
    <w:rsid w:val="00667584"/>
    <w:rsid w:val="0067020E"/>
    <w:rsid w:val="006703E3"/>
    <w:rsid w:val="00670F41"/>
    <w:rsid w:val="00670FB7"/>
    <w:rsid w:val="006718BA"/>
    <w:rsid w:val="0067240E"/>
    <w:rsid w:val="00672588"/>
    <w:rsid w:val="00672EEF"/>
    <w:rsid w:val="00673B05"/>
    <w:rsid w:val="0067454F"/>
    <w:rsid w:val="0067466E"/>
    <w:rsid w:val="006748E3"/>
    <w:rsid w:val="00674995"/>
    <w:rsid w:val="0067575F"/>
    <w:rsid w:val="00675767"/>
    <w:rsid w:val="006759D1"/>
    <w:rsid w:val="00675A82"/>
    <w:rsid w:val="00676122"/>
    <w:rsid w:val="00676144"/>
    <w:rsid w:val="0067671D"/>
    <w:rsid w:val="006768DF"/>
    <w:rsid w:val="00676E2F"/>
    <w:rsid w:val="00677010"/>
    <w:rsid w:val="0067758F"/>
    <w:rsid w:val="00680EBA"/>
    <w:rsid w:val="006822C3"/>
    <w:rsid w:val="006823BD"/>
    <w:rsid w:val="0068361E"/>
    <w:rsid w:val="00684434"/>
    <w:rsid w:val="0068502C"/>
    <w:rsid w:val="0068546A"/>
    <w:rsid w:val="006858CF"/>
    <w:rsid w:val="00685DBE"/>
    <w:rsid w:val="00685FFA"/>
    <w:rsid w:val="00686494"/>
    <w:rsid w:val="00687DD2"/>
    <w:rsid w:val="0069106C"/>
    <w:rsid w:val="006913EE"/>
    <w:rsid w:val="00691432"/>
    <w:rsid w:val="006918F4"/>
    <w:rsid w:val="00691A94"/>
    <w:rsid w:val="00691E6B"/>
    <w:rsid w:val="006921ED"/>
    <w:rsid w:val="00693EC6"/>
    <w:rsid w:val="00694406"/>
    <w:rsid w:val="006948C3"/>
    <w:rsid w:val="0069556F"/>
    <w:rsid w:val="00695929"/>
    <w:rsid w:val="00695AE7"/>
    <w:rsid w:val="00695FCC"/>
    <w:rsid w:val="00696280"/>
    <w:rsid w:val="006962B7"/>
    <w:rsid w:val="006962F1"/>
    <w:rsid w:val="00696675"/>
    <w:rsid w:val="006967B9"/>
    <w:rsid w:val="006978F1"/>
    <w:rsid w:val="006A078F"/>
    <w:rsid w:val="006A0885"/>
    <w:rsid w:val="006A0DA5"/>
    <w:rsid w:val="006A0DF3"/>
    <w:rsid w:val="006A18D7"/>
    <w:rsid w:val="006A1CEA"/>
    <w:rsid w:val="006A31F0"/>
    <w:rsid w:val="006A3B5D"/>
    <w:rsid w:val="006A460C"/>
    <w:rsid w:val="006A4E9B"/>
    <w:rsid w:val="006A530F"/>
    <w:rsid w:val="006A64FB"/>
    <w:rsid w:val="006A67DD"/>
    <w:rsid w:val="006A70A4"/>
    <w:rsid w:val="006A72D6"/>
    <w:rsid w:val="006A7443"/>
    <w:rsid w:val="006A7881"/>
    <w:rsid w:val="006A7883"/>
    <w:rsid w:val="006A7D15"/>
    <w:rsid w:val="006B0F53"/>
    <w:rsid w:val="006B142C"/>
    <w:rsid w:val="006B15F2"/>
    <w:rsid w:val="006B17B9"/>
    <w:rsid w:val="006B19DE"/>
    <w:rsid w:val="006B2081"/>
    <w:rsid w:val="006B20D4"/>
    <w:rsid w:val="006B3043"/>
    <w:rsid w:val="006B31FF"/>
    <w:rsid w:val="006B34E9"/>
    <w:rsid w:val="006B3BC4"/>
    <w:rsid w:val="006B4842"/>
    <w:rsid w:val="006B4BDF"/>
    <w:rsid w:val="006B4EE4"/>
    <w:rsid w:val="006B79D9"/>
    <w:rsid w:val="006B7C7F"/>
    <w:rsid w:val="006C05BB"/>
    <w:rsid w:val="006C1D80"/>
    <w:rsid w:val="006C2A27"/>
    <w:rsid w:val="006C2A81"/>
    <w:rsid w:val="006C3501"/>
    <w:rsid w:val="006C4CCD"/>
    <w:rsid w:val="006C4F5E"/>
    <w:rsid w:val="006C5158"/>
    <w:rsid w:val="006C5CFB"/>
    <w:rsid w:val="006C5DE9"/>
    <w:rsid w:val="006C5EFE"/>
    <w:rsid w:val="006C62AF"/>
    <w:rsid w:val="006C6D1E"/>
    <w:rsid w:val="006C7A20"/>
    <w:rsid w:val="006C7C8A"/>
    <w:rsid w:val="006C7E4C"/>
    <w:rsid w:val="006D0540"/>
    <w:rsid w:val="006D0CCB"/>
    <w:rsid w:val="006D1BE3"/>
    <w:rsid w:val="006D1EC1"/>
    <w:rsid w:val="006D2CF6"/>
    <w:rsid w:val="006D47A5"/>
    <w:rsid w:val="006D4854"/>
    <w:rsid w:val="006D4E57"/>
    <w:rsid w:val="006D53D9"/>
    <w:rsid w:val="006D5E9E"/>
    <w:rsid w:val="006D6213"/>
    <w:rsid w:val="006D6FEE"/>
    <w:rsid w:val="006D71E5"/>
    <w:rsid w:val="006D74C7"/>
    <w:rsid w:val="006D7731"/>
    <w:rsid w:val="006E0A1F"/>
    <w:rsid w:val="006E0BD2"/>
    <w:rsid w:val="006E0D78"/>
    <w:rsid w:val="006E0D79"/>
    <w:rsid w:val="006E21B0"/>
    <w:rsid w:val="006E2294"/>
    <w:rsid w:val="006E243D"/>
    <w:rsid w:val="006E29DF"/>
    <w:rsid w:val="006E3061"/>
    <w:rsid w:val="006E33CD"/>
    <w:rsid w:val="006E40C4"/>
    <w:rsid w:val="006E47C9"/>
    <w:rsid w:val="006E4D52"/>
    <w:rsid w:val="006E5588"/>
    <w:rsid w:val="006E55F8"/>
    <w:rsid w:val="006E644B"/>
    <w:rsid w:val="006E6509"/>
    <w:rsid w:val="006E6546"/>
    <w:rsid w:val="006E663A"/>
    <w:rsid w:val="006E6D32"/>
    <w:rsid w:val="006E6F40"/>
    <w:rsid w:val="006F1C85"/>
    <w:rsid w:val="006F264B"/>
    <w:rsid w:val="006F2865"/>
    <w:rsid w:val="006F2F3B"/>
    <w:rsid w:val="006F2FE6"/>
    <w:rsid w:val="006F3E14"/>
    <w:rsid w:val="006F3F7D"/>
    <w:rsid w:val="006F3FBD"/>
    <w:rsid w:val="006F51C5"/>
    <w:rsid w:val="006F6A25"/>
    <w:rsid w:val="006F7EE2"/>
    <w:rsid w:val="006F7FED"/>
    <w:rsid w:val="007001AC"/>
    <w:rsid w:val="007004D9"/>
    <w:rsid w:val="007007A3"/>
    <w:rsid w:val="00700D89"/>
    <w:rsid w:val="007010E2"/>
    <w:rsid w:val="007017A3"/>
    <w:rsid w:val="00701BEE"/>
    <w:rsid w:val="007024FC"/>
    <w:rsid w:val="007034A7"/>
    <w:rsid w:val="00704B82"/>
    <w:rsid w:val="00704CE1"/>
    <w:rsid w:val="00705A20"/>
    <w:rsid w:val="00705B05"/>
    <w:rsid w:val="00705BC9"/>
    <w:rsid w:val="00705CD1"/>
    <w:rsid w:val="00706F61"/>
    <w:rsid w:val="00711106"/>
    <w:rsid w:val="00712011"/>
    <w:rsid w:val="0071252D"/>
    <w:rsid w:val="0071307D"/>
    <w:rsid w:val="0071451C"/>
    <w:rsid w:val="007146E0"/>
    <w:rsid w:val="00715515"/>
    <w:rsid w:val="00716407"/>
    <w:rsid w:val="00716C26"/>
    <w:rsid w:val="00717556"/>
    <w:rsid w:val="00720400"/>
    <w:rsid w:val="00720B14"/>
    <w:rsid w:val="00721F29"/>
    <w:rsid w:val="007225F9"/>
    <w:rsid w:val="0072445C"/>
    <w:rsid w:val="0072504F"/>
    <w:rsid w:val="00725163"/>
    <w:rsid w:val="0072530D"/>
    <w:rsid w:val="00725354"/>
    <w:rsid w:val="00725460"/>
    <w:rsid w:val="00726F32"/>
    <w:rsid w:val="00726F64"/>
    <w:rsid w:val="00727722"/>
    <w:rsid w:val="00727D0A"/>
    <w:rsid w:val="00727FF7"/>
    <w:rsid w:val="007303D6"/>
    <w:rsid w:val="00730B87"/>
    <w:rsid w:val="007311F9"/>
    <w:rsid w:val="007317EA"/>
    <w:rsid w:val="00731CC9"/>
    <w:rsid w:val="007324F8"/>
    <w:rsid w:val="00732E4F"/>
    <w:rsid w:val="00733363"/>
    <w:rsid w:val="0073387D"/>
    <w:rsid w:val="00734C3A"/>
    <w:rsid w:val="00735CB9"/>
    <w:rsid w:val="00736103"/>
    <w:rsid w:val="007361CB"/>
    <w:rsid w:val="0073627F"/>
    <w:rsid w:val="00736BC2"/>
    <w:rsid w:val="00737B49"/>
    <w:rsid w:val="00741008"/>
    <w:rsid w:val="007413D4"/>
    <w:rsid w:val="007413E1"/>
    <w:rsid w:val="007421F6"/>
    <w:rsid w:val="0074283F"/>
    <w:rsid w:val="00742E27"/>
    <w:rsid w:val="00743A36"/>
    <w:rsid w:val="00743BCC"/>
    <w:rsid w:val="00743F13"/>
    <w:rsid w:val="00744512"/>
    <w:rsid w:val="00744B74"/>
    <w:rsid w:val="00744D71"/>
    <w:rsid w:val="00745C9F"/>
    <w:rsid w:val="00745D3F"/>
    <w:rsid w:val="0074637A"/>
    <w:rsid w:val="0074637B"/>
    <w:rsid w:val="00746658"/>
    <w:rsid w:val="007467D9"/>
    <w:rsid w:val="00747E58"/>
    <w:rsid w:val="00750008"/>
    <w:rsid w:val="00750251"/>
    <w:rsid w:val="00750353"/>
    <w:rsid w:val="00750938"/>
    <w:rsid w:val="00750DCB"/>
    <w:rsid w:val="007517EF"/>
    <w:rsid w:val="00751FFC"/>
    <w:rsid w:val="00752265"/>
    <w:rsid w:val="00752F4B"/>
    <w:rsid w:val="00753485"/>
    <w:rsid w:val="00753E89"/>
    <w:rsid w:val="00755715"/>
    <w:rsid w:val="00756660"/>
    <w:rsid w:val="00756C28"/>
    <w:rsid w:val="00756ED2"/>
    <w:rsid w:val="00757372"/>
    <w:rsid w:val="0075769C"/>
    <w:rsid w:val="00757BB9"/>
    <w:rsid w:val="00757E2C"/>
    <w:rsid w:val="0076013F"/>
    <w:rsid w:val="00760710"/>
    <w:rsid w:val="007617D6"/>
    <w:rsid w:val="00761C74"/>
    <w:rsid w:val="0076290A"/>
    <w:rsid w:val="00762C53"/>
    <w:rsid w:val="00763125"/>
    <w:rsid w:val="007632C8"/>
    <w:rsid w:val="00763A02"/>
    <w:rsid w:val="00763DD4"/>
    <w:rsid w:val="0076414A"/>
    <w:rsid w:val="0076468B"/>
    <w:rsid w:val="00764A19"/>
    <w:rsid w:val="00764C2C"/>
    <w:rsid w:val="00764E02"/>
    <w:rsid w:val="00764E7B"/>
    <w:rsid w:val="00764F62"/>
    <w:rsid w:val="007656BD"/>
    <w:rsid w:val="007669F5"/>
    <w:rsid w:val="00766A74"/>
    <w:rsid w:val="00767940"/>
    <w:rsid w:val="00767ED2"/>
    <w:rsid w:val="0077078E"/>
    <w:rsid w:val="00771250"/>
    <w:rsid w:val="007720EF"/>
    <w:rsid w:val="0077265A"/>
    <w:rsid w:val="007726D1"/>
    <w:rsid w:val="00772A93"/>
    <w:rsid w:val="0077302B"/>
    <w:rsid w:val="0077358E"/>
    <w:rsid w:val="007744C1"/>
    <w:rsid w:val="00774D6B"/>
    <w:rsid w:val="00775210"/>
    <w:rsid w:val="00776AAE"/>
    <w:rsid w:val="00776B3A"/>
    <w:rsid w:val="00776CA8"/>
    <w:rsid w:val="00777261"/>
    <w:rsid w:val="00777735"/>
    <w:rsid w:val="00777D2F"/>
    <w:rsid w:val="00781018"/>
    <w:rsid w:val="00781EC0"/>
    <w:rsid w:val="00782039"/>
    <w:rsid w:val="007824D3"/>
    <w:rsid w:val="00782ADE"/>
    <w:rsid w:val="00782D70"/>
    <w:rsid w:val="00783BBC"/>
    <w:rsid w:val="00783EDC"/>
    <w:rsid w:val="007843C4"/>
    <w:rsid w:val="0078472C"/>
    <w:rsid w:val="00784B40"/>
    <w:rsid w:val="00784E16"/>
    <w:rsid w:val="00784E43"/>
    <w:rsid w:val="0078586B"/>
    <w:rsid w:val="00786244"/>
    <w:rsid w:val="00786DE9"/>
    <w:rsid w:val="00786FF8"/>
    <w:rsid w:val="0078703D"/>
    <w:rsid w:val="00787D1D"/>
    <w:rsid w:val="0079184C"/>
    <w:rsid w:val="007938EB"/>
    <w:rsid w:val="00793B83"/>
    <w:rsid w:val="007945B9"/>
    <w:rsid w:val="007953EA"/>
    <w:rsid w:val="00796717"/>
    <w:rsid w:val="007967E0"/>
    <w:rsid w:val="007979E8"/>
    <w:rsid w:val="007A0133"/>
    <w:rsid w:val="007A09C2"/>
    <w:rsid w:val="007A09CF"/>
    <w:rsid w:val="007A09E1"/>
    <w:rsid w:val="007A0D74"/>
    <w:rsid w:val="007A0E53"/>
    <w:rsid w:val="007A31B0"/>
    <w:rsid w:val="007A3888"/>
    <w:rsid w:val="007A38B1"/>
    <w:rsid w:val="007A3962"/>
    <w:rsid w:val="007A48C9"/>
    <w:rsid w:val="007A4BFF"/>
    <w:rsid w:val="007A4FA7"/>
    <w:rsid w:val="007A518F"/>
    <w:rsid w:val="007A5599"/>
    <w:rsid w:val="007A5651"/>
    <w:rsid w:val="007A576A"/>
    <w:rsid w:val="007A5869"/>
    <w:rsid w:val="007A5A43"/>
    <w:rsid w:val="007A5CE7"/>
    <w:rsid w:val="007A6CB5"/>
    <w:rsid w:val="007A6F40"/>
    <w:rsid w:val="007A75F2"/>
    <w:rsid w:val="007B0D39"/>
    <w:rsid w:val="007B122A"/>
    <w:rsid w:val="007B1655"/>
    <w:rsid w:val="007B16E6"/>
    <w:rsid w:val="007B1A79"/>
    <w:rsid w:val="007B1B83"/>
    <w:rsid w:val="007B1BD0"/>
    <w:rsid w:val="007B209E"/>
    <w:rsid w:val="007B35CA"/>
    <w:rsid w:val="007B3812"/>
    <w:rsid w:val="007B39E7"/>
    <w:rsid w:val="007B4215"/>
    <w:rsid w:val="007B4B14"/>
    <w:rsid w:val="007B548B"/>
    <w:rsid w:val="007B5CC5"/>
    <w:rsid w:val="007B6455"/>
    <w:rsid w:val="007B6970"/>
    <w:rsid w:val="007C17BB"/>
    <w:rsid w:val="007C1A72"/>
    <w:rsid w:val="007C230F"/>
    <w:rsid w:val="007C24DE"/>
    <w:rsid w:val="007C276B"/>
    <w:rsid w:val="007C2C36"/>
    <w:rsid w:val="007C33AA"/>
    <w:rsid w:val="007C37B4"/>
    <w:rsid w:val="007C393F"/>
    <w:rsid w:val="007C3B9C"/>
    <w:rsid w:val="007C4806"/>
    <w:rsid w:val="007C4BB7"/>
    <w:rsid w:val="007C4D11"/>
    <w:rsid w:val="007C4D2D"/>
    <w:rsid w:val="007C54D5"/>
    <w:rsid w:val="007C57DA"/>
    <w:rsid w:val="007C605F"/>
    <w:rsid w:val="007C61C7"/>
    <w:rsid w:val="007C639F"/>
    <w:rsid w:val="007C6827"/>
    <w:rsid w:val="007C6B17"/>
    <w:rsid w:val="007C7FAD"/>
    <w:rsid w:val="007D002E"/>
    <w:rsid w:val="007D0513"/>
    <w:rsid w:val="007D0B34"/>
    <w:rsid w:val="007D1BF5"/>
    <w:rsid w:val="007D3C87"/>
    <w:rsid w:val="007D3FA6"/>
    <w:rsid w:val="007D4300"/>
    <w:rsid w:val="007D4A6F"/>
    <w:rsid w:val="007D50B0"/>
    <w:rsid w:val="007D58DB"/>
    <w:rsid w:val="007D651D"/>
    <w:rsid w:val="007D6CFF"/>
    <w:rsid w:val="007D7DE4"/>
    <w:rsid w:val="007E0233"/>
    <w:rsid w:val="007E0DB8"/>
    <w:rsid w:val="007E144C"/>
    <w:rsid w:val="007E1844"/>
    <w:rsid w:val="007E1DF4"/>
    <w:rsid w:val="007E3041"/>
    <w:rsid w:val="007E3684"/>
    <w:rsid w:val="007E399D"/>
    <w:rsid w:val="007E4A9D"/>
    <w:rsid w:val="007E5A15"/>
    <w:rsid w:val="007E68E3"/>
    <w:rsid w:val="007E6D9E"/>
    <w:rsid w:val="007E7B44"/>
    <w:rsid w:val="007E7BE2"/>
    <w:rsid w:val="007F0533"/>
    <w:rsid w:val="007F19C6"/>
    <w:rsid w:val="007F3B26"/>
    <w:rsid w:val="007F5E11"/>
    <w:rsid w:val="007F5FC4"/>
    <w:rsid w:val="007F678F"/>
    <w:rsid w:val="007F7D4F"/>
    <w:rsid w:val="00802AF9"/>
    <w:rsid w:val="00802E21"/>
    <w:rsid w:val="00803558"/>
    <w:rsid w:val="008041CA"/>
    <w:rsid w:val="00804D11"/>
    <w:rsid w:val="00804E65"/>
    <w:rsid w:val="00806A78"/>
    <w:rsid w:val="00807067"/>
    <w:rsid w:val="0080720F"/>
    <w:rsid w:val="00807995"/>
    <w:rsid w:val="00810253"/>
    <w:rsid w:val="0081027B"/>
    <w:rsid w:val="00810428"/>
    <w:rsid w:val="00810BAC"/>
    <w:rsid w:val="00810E77"/>
    <w:rsid w:val="00811A04"/>
    <w:rsid w:val="00812F6F"/>
    <w:rsid w:val="00813296"/>
    <w:rsid w:val="008137B6"/>
    <w:rsid w:val="00813CC1"/>
    <w:rsid w:val="00814736"/>
    <w:rsid w:val="00814A09"/>
    <w:rsid w:val="00814D1A"/>
    <w:rsid w:val="00814DC6"/>
    <w:rsid w:val="00815235"/>
    <w:rsid w:val="0081632E"/>
    <w:rsid w:val="008164AA"/>
    <w:rsid w:val="00817C6D"/>
    <w:rsid w:val="00821189"/>
    <w:rsid w:val="00821860"/>
    <w:rsid w:val="00821B3B"/>
    <w:rsid w:val="00821FF7"/>
    <w:rsid w:val="00822041"/>
    <w:rsid w:val="00822334"/>
    <w:rsid w:val="008223CE"/>
    <w:rsid w:val="00822539"/>
    <w:rsid w:val="0082275D"/>
    <w:rsid w:val="00822873"/>
    <w:rsid w:val="00822C3E"/>
    <w:rsid w:val="00822E4B"/>
    <w:rsid w:val="0082661D"/>
    <w:rsid w:val="00826DF4"/>
    <w:rsid w:val="008277D4"/>
    <w:rsid w:val="00827D3F"/>
    <w:rsid w:val="00830207"/>
    <w:rsid w:val="00831BB9"/>
    <w:rsid w:val="00831C7F"/>
    <w:rsid w:val="008329F2"/>
    <w:rsid w:val="0083320F"/>
    <w:rsid w:val="0083357E"/>
    <w:rsid w:val="00833AEF"/>
    <w:rsid w:val="0083524C"/>
    <w:rsid w:val="008355BC"/>
    <w:rsid w:val="00835B44"/>
    <w:rsid w:val="00835BDC"/>
    <w:rsid w:val="00836463"/>
    <w:rsid w:val="00836CF2"/>
    <w:rsid w:val="00837D71"/>
    <w:rsid w:val="00840E3B"/>
    <w:rsid w:val="00841851"/>
    <w:rsid w:val="008420DC"/>
    <w:rsid w:val="0084268E"/>
    <w:rsid w:val="00842772"/>
    <w:rsid w:val="0084323D"/>
    <w:rsid w:val="008442E4"/>
    <w:rsid w:val="00844350"/>
    <w:rsid w:val="0084463B"/>
    <w:rsid w:val="00844BA8"/>
    <w:rsid w:val="00844FC7"/>
    <w:rsid w:val="008453E1"/>
    <w:rsid w:val="00845A2D"/>
    <w:rsid w:val="00845B11"/>
    <w:rsid w:val="0084727F"/>
    <w:rsid w:val="00850467"/>
    <w:rsid w:val="008509A0"/>
    <w:rsid w:val="00850A1A"/>
    <w:rsid w:val="00850AA1"/>
    <w:rsid w:val="00850EC8"/>
    <w:rsid w:val="00851462"/>
    <w:rsid w:val="00851DF2"/>
    <w:rsid w:val="00852805"/>
    <w:rsid w:val="00852A95"/>
    <w:rsid w:val="00852CDC"/>
    <w:rsid w:val="00853220"/>
    <w:rsid w:val="00853FAB"/>
    <w:rsid w:val="0085402A"/>
    <w:rsid w:val="00856365"/>
    <w:rsid w:val="008564BF"/>
    <w:rsid w:val="00857F09"/>
    <w:rsid w:val="0086079E"/>
    <w:rsid w:val="0086108C"/>
    <w:rsid w:val="00861291"/>
    <w:rsid w:val="00861401"/>
    <w:rsid w:val="008633FE"/>
    <w:rsid w:val="0086352F"/>
    <w:rsid w:val="00864272"/>
    <w:rsid w:val="0086459B"/>
    <w:rsid w:val="008648B9"/>
    <w:rsid w:val="00865215"/>
    <w:rsid w:val="00865B2D"/>
    <w:rsid w:val="0086752B"/>
    <w:rsid w:val="0086756C"/>
    <w:rsid w:val="008676B7"/>
    <w:rsid w:val="00870025"/>
    <w:rsid w:val="00870274"/>
    <w:rsid w:val="0087153E"/>
    <w:rsid w:val="00871A03"/>
    <w:rsid w:val="00871C86"/>
    <w:rsid w:val="00872DB4"/>
    <w:rsid w:val="008733BE"/>
    <w:rsid w:val="00873770"/>
    <w:rsid w:val="00874AA1"/>
    <w:rsid w:val="008750F5"/>
    <w:rsid w:val="00876397"/>
    <w:rsid w:val="008766CB"/>
    <w:rsid w:val="00876A4D"/>
    <w:rsid w:val="00876BCB"/>
    <w:rsid w:val="0087725B"/>
    <w:rsid w:val="00877DE0"/>
    <w:rsid w:val="00880AD7"/>
    <w:rsid w:val="008815A2"/>
    <w:rsid w:val="00881698"/>
    <w:rsid w:val="00881C9A"/>
    <w:rsid w:val="00881EA4"/>
    <w:rsid w:val="0088325D"/>
    <w:rsid w:val="00883944"/>
    <w:rsid w:val="00883E44"/>
    <w:rsid w:val="0088437D"/>
    <w:rsid w:val="00884932"/>
    <w:rsid w:val="008858B9"/>
    <w:rsid w:val="00886643"/>
    <w:rsid w:val="00887465"/>
    <w:rsid w:val="00890BED"/>
    <w:rsid w:val="00891365"/>
    <w:rsid w:val="00891E3A"/>
    <w:rsid w:val="00892298"/>
    <w:rsid w:val="008923D6"/>
    <w:rsid w:val="00893376"/>
    <w:rsid w:val="00894894"/>
    <w:rsid w:val="00895189"/>
    <w:rsid w:val="00895D67"/>
    <w:rsid w:val="0089603E"/>
    <w:rsid w:val="00896931"/>
    <w:rsid w:val="00897285"/>
    <w:rsid w:val="008979C0"/>
    <w:rsid w:val="008A0AC4"/>
    <w:rsid w:val="008A152B"/>
    <w:rsid w:val="008A2CC9"/>
    <w:rsid w:val="008A3170"/>
    <w:rsid w:val="008A3F3A"/>
    <w:rsid w:val="008A3FC4"/>
    <w:rsid w:val="008A4ECB"/>
    <w:rsid w:val="008A4F09"/>
    <w:rsid w:val="008A5512"/>
    <w:rsid w:val="008A602B"/>
    <w:rsid w:val="008A603D"/>
    <w:rsid w:val="008A61A1"/>
    <w:rsid w:val="008A68CE"/>
    <w:rsid w:val="008A7574"/>
    <w:rsid w:val="008A7C0A"/>
    <w:rsid w:val="008B1CA9"/>
    <w:rsid w:val="008B259A"/>
    <w:rsid w:val="008B274B"/>
    <w:rsid w:val="008B33E6"/>
    <w:rsid w:val="008B4606"/>
    <w:rsid w:val="008B49C4"/>
    <w:rsid w:val="008B4EF7"/>
    <w:rsid w:val="008B53E1"/>
    <w:rsid w:val="008B5BE0"/>
    <w:rsid w:val="008B65E7"/>
    <w:rsid w:val="008B66A4"/>
    <w:rsid w:val="008B677C"/>
    <w:rsid w:val="008B6B4C"/>
    <w:rsid w:val="008B711F"/>
    <w:rsid w:val="008B728B"/>
    <w:rsid w:val="008B7464"/>
    <w:rsid w:val="008B78F8"/>
    <w:rsid w:val="008B7A76"/>
    <w:rsid w:val="008C07AA"/>
    <w:rsid w:val="008C155A"/>
    <w:rsid w:val="008C1B16"/>
    <w:rsid w:val="008C1CC4"/>
    <w:rsid w:val="008C5009"/>
    <w:rsid w:val="008C50D7"/>
    <w:rsid w:val="008C5621"/>
    <w:rsid w:val="008C5EFA"/>
    <w:rsid w:val="008C6126"/>
    <w:rsid w:val="008C6374"/>
    <w:rsid w:val="008C64C5"/>
    <w:rsid w:val="008C6727"/>
    <w:rsid w:val="008C74B8"/>
    <w:rsid w:val="008C7857"/>
    <w:rsid w:val="008C7F9A"/>
    <w:rsid w:val="008D053C"/>
    <w:rsid w:val="008D0BD8"/>
    <w:rsid w:val="008D2105"/>
    <w:rsid w:val="008D2587"/>
    <w:rsid w:val="008D29CA"/>
    <w:rsid w:val="008D2DDD"/>
    <w:rsid w:val="008D4244"/>
    <w:rsid w:val="008D4389"/>
    <w:rsid w:val="008D44E2"/>
    <w:rsid w:val="008D4A69"/>
    <w:rsid w:val="008D4F95"/>
    <w:rsid w:val="008D510C"/>
    <w:rsid w:val="008D54FB"/>
    <w:rsid w:val="008D5F17"/>
    <w:rsid w:val="008D612A"/>
    <w:rsid w:val="008D63F6"/>
    <w:rsid w:val="008D6CFA"/>
    <w:rsid w:val="008D6ED1"/>
    <w:rsid w:val="008D7CE3"/>
    <w:rsid w:val="008D7E7E"/>
    <w:rsid w:val="008E1C6C"/>
    <w:rsid w:val="008E2221"/>
    <w:rsid w:val="008E2D64"/>
    <w:rsid w:val="008E321E"/>
    <w:rsid w:val="008E34AE"/>
    <w:rsid w:val="008E3E95"/>
    <w:rsid w:val="008E43FF"/>
    <w:rsid w:val="008E4AA8"/>
    <w:rsid w:val="008E51F4"/>
    <w:rsid w:val="008E52B6"/>
    <w:rsid w:val="008E722B"/>
    <w:rsid w:val="008E73F4"/>
    <w:rsid w:val="008E7891"/>
    <w:rsid w:val="008E7D43"/>
    <w:rsid w:val="008F0152"/>
    <w:rsid w:val="008F055E"/>
    <w:rsid w:val="008F1264"/>
    <w:rsid w:val="008F1606"/>
    <w:rsid w:val="008F2D7A"/>
    <w:rsid w:val="008F3765"/>
    <w:rsid w:val="008F39A2"/>
    <w:rsid w:val="008F440F"/>
    <w:rsid w:val="008F5F3E"/>
    <w:rsid w:val="008F6277"/>
    <w:rsid w:val="008F653B"/>
    <w:rsid w:val="008F7500"/>
    <w:rsid w:val="008F7823"/>
    <w:rsid w:val="00900AB0"/>
    <w:rsid w:val="00901AC4"/>
    <w:rsid w:val="00901EFA"/>
    <w:rsid w:val="00901F3E"/>
    <w:rsid w:val="00902185"/>
    <w:rsid w:val="00903128"/>
    <w:rsid w:val="00903608"/>
    <w:rsid w:val="00903C9B"/>
    <w:rsid w:val="00904A24"/>
    <w:rsid w:val="00905740"/>
    <w:rsid w:val="00905824"/>
    <w:rsid w:val="00905B64"/>
    <w:rsid w:val="009060FD"/>
    <w:rsid w:val="00906114"/>
    <w:rsid w:val="00906D83"/>
    <w:rsid w:val="0090710B"/>
    <w:rsid w:val="009073E3"/>
    <w:rsid w:val="009076C4"/>
    <w:rsid w:val="00907A9B"/>
    <w:rsid w:val="00907B49"/>
    <w:rsid w:val="00907D00"/>
    <w:rsid w:val="00907D08"/>
    <w:rsid w:val="00907EC9"/>
    <w:rsid w:val="00910454"/>
    <w:rsid w:val="009108BD"/>
    <w:rsid w:val="0091183A"/>
    <w:rsid w:val="0091185B"/>
    <w:rsid w:val="00911BAE"/>
    <w:rsid w:val="00911EC5"/>
    <w:rsid w:val="009137BB"/>
    <w:rsid w:val="00913F58"/>
    <w:rsid w:val="0091469A"/>
    <w:rsid w:val="00914A12"/>
    <w:rsid w:val="009153CF"/>
    <w:rsid w:val="00917955"/>
    <w:rsid w:val="0092002A"/>
    <w:rsid w:val="00921470"/>
    <w:rsid w:val="00921695"/>
    <w:rsid w:val="009217AE"/>
    <w:rsid w:val="009222C1"/>
    <w:rsid w:val="00922641"/>
    <w:rsid w:val="0092284F"/>
    <w:rsid w:val="00923522"/>
    <w:rsid w:val="00923C4A"/>
    <w:rsid w:val="00923CB2"/>
    <w:rsid w:val="00925A27"/>
    <w:rsid w:val="00927CAB"/>
    <w:rsid w:val="009303AC"/>
    <w:rsid w:val="009304E9"/>
    <w:rsid w:val="00930766"/>
    <w:rsid w:val="00930B30"/>
    <w:rsid w:val="00930BB2"/>
    <w:rsid w:val="00931E49"/>
    <w:rsid w:val="00931E9F"/>
    <w:rsid w:val="009329EB"/>
    <w:rsid w:val="009332B9"/>
    <w:rsid w:val="00933596"/>
    <w:rsid w:val="009345AA"/>
    <w:rsid w:val="00934E4A"/>
    <w:rsid w:val="00935754"/>
    <w:rsid w:val="00936272"/>
    <w:rsid w:val="009370C1"/>
    <w:rsid w:val="00937388"/>
    <w:rsid w:val="00937408"/>
    <w:rsid w:val="00937A1A"/>
    <w:rsid w:val="00940262"/>
    <w:rsid w:val="00940527"/>
    <w:rsid w:val="00940748"/>
    <w:rsid w:val="00940B3F"/>
    <w:rsid w:val="00941DCF"/>
    <w:rsid w:val="009428FF"/>
    <w:rsid w:val="009429B7"/>
    <w:rsid w:val="009429E4"/>
    <w:rsid w:val="00942A98"/>
    <w:rsid w:val="009439D9"/>
    <w:rsid w:val="00943D9D"/>
    <w:rsid w:val="00945436"/>
    <w:rsid w:val="00945550"/>
    <w:rsid w:val="009466AE"/>
    <w:rsid w:val="0094788C"/>
    <w:rsid w:val="00947A50"/>
    <w:rsid w:val="00950C08"/>
    <w:rsid w:val="00951112"/>
    <w:rsid w:val="00951459"/>
    <w:rsid w:val="0095167F"/>
    <w:rsid w:val="0095269A"/>
    <w:rsid w:val="009526C3"/>
    <w:rsid w:val="009527C7"/>
    <w:rsid w:val="00952955"/>
    <w:rsid w:val="00952D86"/>
    <w:rsid w:val="009533F1"/>
    <w:rsid w:val="00953497"/>
    <w:rsid w:val="00954631"/>
    <w:rsid w:val="009549E5"/>
    <w:rsid w:val="00954C20"/>
    <w:rsid w:val="009561E7"/>
    <w:rsid w:val="009562AF"/>
    <w:rsid w:val="00956373"/>
    <w:rsid w:val="009564D8"/>
    <w:rsid w:val="00956925"/>
    <w:rsid w:val="00956A95"/>
    <w:rsid w:val="00956ABF"/>
    <w:rsid w:val="00957082"/>
    <w:rsid w:val="00957378"/>
    <w:rsid w:val="00957BB1"/>
    <w:rsid w:val="00957CA6"/>
    <w:rsid w:val="0096006E"/>
    <w:rsid w:val="00960190"/>
    <w:rsid w:val="00960887"/>
    <w:rsid w:val="00960977"/>
    <w:rsid w:val="00960B60"/>
    <w:rsid w:val="00961018"/>
    <w:rsid w:val="00961B7B"/>
    <w:rsid w:val="00961D17"/>
    <w:rsid w:val="00961EBA"/>
    <w:rsid w:val="0096246C"/>
    <w:rsid w:val="00962915"/>
    <w:rsid w:val="009639A5"/>
    <w:rsid w:val="00963B23"/>
    <w:rsid w:val="00964500"/>
    <w:rsid w:val="00965155"/>
    <w:rsid w:val="00966226"/>
    <w:rsid w:val="00966333"/>
    <w:rsid w:val="009670ED"/>
    <w:rsid w:val="009673E3"/>
    <w:rsid w:val="00967534"/>
    <w:rsid w:val="0096799D"/>
    <w:rsid w:val="009679D6"/>
    <w:rsid w:val="009679FA"/>
    <w:rsid w:val="00970701"/>
    <w:rsid w:val="00970BD3"/>
    <w:rsid w:val="009720E5"/>
    <w:rsid w:val="0097216C"/>
    <w:rsid w:val="00972762"/>
    <w:rsid w:val="009728CD"/>
    <w:rsid w:val="00972A7B"/>
    <w:rsid w:val="00972F11"/>
    <w:rsid w:val="00973328"/>
    <w:rsid w:val="009734DA"/>
    <w:rsid w:val="009738EC"/>
    <w:rsid w:val="00973D5F"/>
    <w:rsid w:val="00974266"/>
    <w:rsid w:val="00974570"/>
    <w:rsid w:val="009746B4"/>
    <w:rsid w:val="00974BB1"/>
    <w:rsid w:val="00975686"/>
    <w:rsid w:val="0097580D"/>
    <w:rsid w:val="009759A4"/>
    <w:rsid w:val="00975A5F"/>
    <w:rsid w:val="009761AB"/>
    <w:rsid w:val="00977724"/>
    <w:rsid w:val="009779A5"/>
    <w:rsid w:val="0098119C"/>
    <w:rsid w:val="0098153A"/>
    <w:rsid w:val="00981621"/>
    <w:rsid w:val="00981CD4"/>
    <w:rsid w:val="0098209B"/>
    <w:rsid w:val="00982DD4"/>
    <w:rsid w:val="00982F95"/>
    <w:rsid w:val="00983209"/>
    <w:rsid w:val="0098388C"/>
    <w:rsid w:val="00983BA5"/>
    <w:rsid w:val="00983CAE"/>
    <w:rsid w:val="00985252"/>
    <w:rsid w:val="0098555D"/>
    <w:rsid w:val="00985F08"/>
    <w:rsid w:val="00986C4F"/>
    <w:rsid w:val="00986E12"/>
    <w:rsid w:val="00987164"/>
    <w:rsid w:val="009876C8"/>
    <w:rsid w:val="009877BA"/>
    <w:rsid w:val="00990263"/>
    <w:rsid w:val="00990915"/>
    <w:rsid w:val="00990A2D"/>
    <w:rsid w:val="00991513"/>
    <w:rsid w:val="0099161C"/>
    <w:rsid w:val="0099188C"/>
    <w:rsid w:val="00992284"/>
    <w:rsid w:val="0099252E"/>
    <w:rsid w:val="0099265E"/>
    <w:rsid w:val="00992D21"/>
    <w:rsid w:val="0099325B"/>
    <w:rsid w:val="00993848"/>
    <w:rsid w:val="00993987"/>
    <w:rsid w:val="00993ECE"/>
    <w:rsid w:val="00994B7C"/>
    <w:rsid w:val="00994D10"/>
    <w:rsid w:val="009952CB"/>
    <w:rsid w:val="00996596"/>
    <w:rsid w:val="009968FF"/>
    <w:rsid w:val="00996A59"/>
    <w:rsid w:val="00996BCA"/>
    <w:rsid w:val="00997D98"/>
    <w:rsid w:val="009A0666"/>
    <w:rsid w:val="009A0ED8"/>
    <w:rsid w:val="009A1280"/>
    <w:rsid w:val="009A1B87"/>
    <w:rsid w:val="009A1B88"/>
    <w:rsid w:val="009A1D24"/>
    <w:rsid w:val="009A1D2C"/>
    <w:rsid w:val="009A2D97"/>
    <w:rsid w:val="009A31C4"/>
    <w:rsid w:val="009A353D"/>
    <w:rsid w:val="009A3731"/>
    <w:rsid w:val="009A3A23"/>
    <w:rsid w:val="009A3BEA"/>
    <w:rsid w:val="009A44C3"/>
    <w:rsid w:val="009A4D90"/>
    <w:rsid w:val="009A6D49"/>
    <w:rsid w:val="009A7443"/>
    <w:rsid w:val="009A7EC9"/>
    <w:rsid w:val="009B0099"/>
    <w:rsid w:val="009B0439"/>
    <w:rsid w:val="009B1057"/>
    <w:rsid w:val="009B2BC0"/>
    <w:rsid w:val="009B3A7B"/>
    <w:rsid w:val="009B3F13"/>
    <w:rsid w:val="009B516C"/>
    <w:rsid w:val="009B5249"/>
    <w:rsid w:val="009B5BF7"/>
    <w:rsid w:val="009B6323"/>
    <w:rsid w:val="009B6EC9"/>
    <w:rsid w:val="009B72F6"/>
    <w:rsid w:val="009B731D"/>
    <w:rsid w:val="009B7FBB"/>
    <w:rsid w:val="009C0A04"/>
    <w:rsid w:val="009C0E48"/>
    <w:rsid w:val="009C1791"/>
    <w:rsid w:val="009C3050"/>
    <w:rsid w:val="009C364A"/>
    <w:rsid w:val="009C3A9E"/>
    <w:rsid w:val="009C4C10"/>
    <w:rsid w:val="009C51BF"/>
    <w:rsid w:val="009C6F9A"/>
    <w:rsid w:val="009C7BE6"/>
    <w:rsid w:val="009C7FC3"/>
    <w:rsid w:val="009D000F"/>
    <w:rsid w:val="009D01D7"/>
    <w:rsid w:val="009D020C"/>
    <w:rsid w:val="009D1753"/>
    <w:rsid w:val="009D229D"/>
    <w:rsid w:val="009D29A1"/>
    <w:rsid w:val="009D2A43"/>
    <w:rsid w:val="009D348B"/>
    <w:rsid w:val="009D38CC"/>
    <w:rsid w:val="009D4DA8"/>
    <w:rsid w:val="009D53CD"/>
    <w:rsid w:val="009D5533"/>
    <w:rsid w:val="009D57E6"/>
    <w:rsid w:val="009D5918"/>
    <w:rsid w:val="009D5C07"/>
    <w:rsid w:val="009D5CF4"/>
    <w:rsid w:val="009D5D26"/>
    <w:rsid w:val="009D5D73"/>
    <w:rsid w:val="009D6106"/>
    <w:rsid w:val="009D61FF"/>
    <w:rsid w:val="009D714D"/>
    <w:rsid w:val="009D7AB5"/>
    <w:rsid w:val="009D7EF7"/>
    <w:rsid w:val="009E0800"/>
    <w:rsid w:val="009E0899"/>
    <w:rsid w:val="009E0942"/>
    <w:rsid w:val="009E11F9"/>
    <w:rsid w:val="009E2122"/>
    <w:rsid w:val="009E2933"/>
    <w:rsid w:val="009E34D2"/>
    <w:rsid w:val="009E3AE1"/>
    <w:rsid w:val="009E3CAE"/>
    <w:rsid w:val="009E3F2A"/>
    <w:rsid w:val="009E4A75"/>
    <w:rsid w:val="009E4EFE"/>
    <w:rsid w:val="009E5193"/>
    <w:rsid w:val="009E520D"/>
    <w:rsid w:val="009E55A7"/>
    <w:rsid w:val="009E56BD"/>
    <w:rsid w:val="009E6311"/>
    <w:rsid w:val="009E6A08"/>
    <w:rsid w:val="009E6ACB"/>
    <w:rsid w:val="009E6C91"/>
    <w:rsid w:val="009E709E"/>
    <w:rsid w:val="009F038E"/>
    <w:rsid w:val="009F0689"/>
    <w:rsid w:val="009F0DA8"/>
    <w:rsid w:val="009F0FED"/>
    <w:rsid w:val="009F1163"/>
    <w:rsid w:val="009F16FD"/>
    <w:rsid w:val="009F4FD3"/>
    <w:rsid w:val="009F5BAE"/>
    <w:rsid w:val="009F7254"/>
    <w:rsid w:val="00A00ACB"/>
    <w:rsid w:val="00A00D55"/>
    <w:rsid w:val="00A027A7"/>
    <w:rsid w:val="00A02C39"/>
    <w:rsid w:val="00A036E3"/>
    <w:rsid w:val="00A038C9"/>
    <w:rsid w:val="00A03F34"/>
    <w:rsid w:val="00A050B5"/>
    <w:rsid w:val="00A06226"/>
    <w:rsid w:val="00A06573"/>
    <w:rsid w:val="00A06868"/>
    <w:rsid w:val="00A0728D"/>
    <w:rsid w:val="00A075A9"/>
    <w:rsid w:val="00A07C0F"/>
    <w:rsid w:val="00A07E10"/>
    <w:rsid w:val="00A07F5F"/>
    <w:rsid w:val="00A10294"/>
    <w:rsid w:val="00A105C1"/>
    <w:rsid w:val="00A108EF"/>
    <w:rsid w:val="00A11095"/>
    <w:rsid w:val="00A11599"/>
    <w:rsid w:val="00A11C17"/>
    <w:rsid w:val="00A125AC"/>
    <w:rsid w:val="00A12F42"/>
    <w:rsid w:val="00A13588"/>
    <w:rsid w:val="00A1374C"/>
    <w:rsid w:val="00A140F2"/>
    <w:rsid w:val="00A15AD8"/>
    <w:rsid w:val="00A15CD5"/>
    <w:rsid w:val="00A1635C"/>
    <w:rsid w:val="00A17021"/>
    <w:rsid w:val="00A17EF2"/>
    <w:rsid w:val="00A2005D"/>
    <w:rsid w:val="00A20FF3"/>
    <w:rsid w:val="00A22144"/>
    <w:rsid w:val="00A22656"/>
    <w:rsid w:val="00A22B86"/>
    <w:rsid w:val="00A2360C"/>
    <w:rsid w:val="00A24342"/>
    <w:rsid w:val="00A24B6F"/>
    <w:rsid w:val="00A24F79"/>
    <w:rsid w:val="00A2597F"/>
    <w:rsid w:val="00A25B9C"/>
    <w:rsid w:val="00A278D4"/>
    <w:rsid w:val="00A3052E"/>
    <w:rsid w:val="00A31D74"/>
    <w:rsid w:val="00A31F08"/>
    <w:rsid w:val="00A32F63"/>
    <w:rsid w:val="00A33391"/>
    <w:rsid w:val="00A337C4"/>
    <w:rsid w:val="00A33A28"/>
    <w:rsid w:val="00A33D11"/>
    <w:rsid w:val="00A33EF4"/>
    <w:rsid w:val="00A343EA"/>
    <w:rsid w:val="00A34E14"/>
    <w:rsid w:val="00A35A34"/>
    <w:rsid w:val="00A364E1"/>
    <w:rsid w:val="00A36D87"/>
    <w:rsid w:val="00A40899"/>
    <w:rsid w:val="00A412F8"/>
    <w:rsid w:val="00A421B3"/>
    <w:rsid w:val="00A426D8"/>
    <w:rsid w:val="00A42BE7"/>
    <w:rsid w:val="00A42C93"/>
    <w:rsid w:val="00A4347E"/>
    <w:rsid w:val="00A44001"/>
    <w:rsid w:val="00A45590"/>
    <w:rsid w:val="00A460DC"/>
    <w:rsid w:val="00A4672F"/>
    <w:rsid w:val="00A4709B"/>
    <w:rsid w:val="00A4724F"/>
    <w:rsid w:val="00A47419"/>
    <w:rsid w:val="00A47792"/>
    <w:rsid w:val="00A47BD7"/>
    <w:rsid w:val="00A50149"/>
    <w:rsid w:val="00A506AC"/>
    <w:rsid w:val="00A51297"/>
    <w:rsid w:val="00A51F29"/>
    <w:rsid w:val="00A52168"/>
    <w:rsid w:val="00A521C1"/>
    <w:rsid w:val="00A52BB5"/>
    <w:rsid w:val="00A5337C"/>
    <w:rsid w:val="00A533FB"/>
    <w:rsid w:val="00A53E61"/>
    <w:rsid w:val="00A5526D"/>
    <w:rsid w:val="00A55892"/>
    <w:rsid w:val="00A559A1"/>
    <w:rsid w:val="00A55E4F"/>
    <w:rsid w:val="00A560EF"/>
    <w:rsid w:val="00A56190"/>
    <w:rsid w:val="00A561B6"/>
    <w:rsid w:val="00A5748E"/>
    <w:rsid w:val="00A574E2"/>
    <w:rsid w:val="00A61C59"/>
    <w:rsid w:val="00A6290C"/>
    <w:rsid w:val="00A63153"/>
    <w:rsid w:val="00A6346C"/>
    <w:rsid w:val="00A63E7F"/>
    <w:rsid w:val="00A640A5"/>
    <w:rsid w:val="00A6429B"/>
    <w:rsid w:val="00A64524"/>
    <w:rsid w:val="00A65183"/>
    <w:rsid w:val="00A65D60"/>
    <w:rsid w:val="00A660DA"/>
    <w:rsid w:val="00A6618A"/>
    <w:rsid w:val="00A6639A"/>
    <w:rsid w:val="00A671AC"/>
    <w:rsid w:val="00A673C9"/>
    <w:rsid w:val="00A67616"/>
    <w:rsid w:val="00A67D13"/>
    <w:rsid w:val="00A70279"/>
    <w:rsid w:val="00A707E6"/>
    <w:rsid w:val="00A70D5A"/>
    <w:rsid w:val="00A71B16"/>
    <w:rsid w:val="00A71FE5"/>
    <w:rsid w:val="00A721D7"/>
    <w:rsid w:val="00A722B5"/>
    <w:rsid w:val="00A72772"/>
    <w:rsid w:val="00A75439"/>
    <w:rsid w:val="00A76167"/>
    <w:rsid w:val="00A76561"/>
    <w:rsid w:val="00A77318"/>
    <w:rsid w:val="00A776C2"/>
    <w:rsid w:val="00A77A96"/>
    <w:rsid w:val="00A8041B"/>
    <w:rsid w:val="00A8065F"/>
    <w:rsid w:val="00A807E2"/>
    <w:rsid w:val="00A80B50"/>
    <w:rsid w:val="00A81665"/>
    <w:rsid w:val="00A82875"/>
    <w:rsid w:val="00A8387D"/>
    <w:rsid w:val="00A84DF1"/>
    <w:rsid w:val="00A85577"/>
    <w:rsid w:val="00A86430"/>
    <w:rsid w:val="00A867A0"/>
    <w:rsid w:val="00A86983"/>
    <w:rsid w:val="00A869D5"/>
    <w:rsid w:val="00A86D54"/>
    <w:rsid w:val="00A871F0"/>
    <w:rsid w:val="00A8749A"/>
    <w:rsid w:val="00A90772"/>
    <w:rsid w:val="00A90BE9"/>
    <w:rsid w:val="00A91776"/>
    <w:rsid w:val="00A9295D"/>
    <w:rsid w:val="00A92CAF"/>
    <w:rsid w:val="00A932E3"/>
    <w:rsid w:val="00A93A79"/>
    <w:rsid w:val="00A93C2B"/>
    <w:rsid w:val="00A93C2C"/>
    <w:rsid w:val="00A93E78"/>
    <w:rsid w:val="00A94315"/>
    <w:rsid w:val="00A94738"/>
    <w:rsid w:val="00A947F0"/>
    <w:rsid w:val="00A95A20"/>
    <w:rsid w:val="00A95A61"/>
    <w:rsid w:val="00A95EF0"/>
    <w:rsid w:val="00A96D9E"/>
    <w:rsid w:val="00A970FF"/>
    <w:rsid w:val="00A97175"/>
    <w:rsid w:val="00A97383"/>
    <w:rsid w:val="00A9751A"/>
    <w:rsid w:val="00AA0B1C"/>
    <w:rsid w:val="00AA10AA"/>
    <w:rsid w:val="00AA1194"/>
    <w:rsid w:val="00AA1977"/>
    <w:rsid w:val="00AA21D6"/>
    <w:rsid w:val="00AA2E03"/>
    <w:rsid w:val="00AA3049"/>
    <w:rsid w:val="00AA321B"/>
    <w:rsid w:val="00AA3752"/>
    <w:rsid w:val="00AA383A"/>
    <w:rsid w:val="00AA3BE3"/>
    <w:rsid w:val="00AA5435"/>
    <w:rsid w:val="00AA5B43"/>
    <w:rsid w:val="00AA5CC4"/>
    <w:rsid w:val="00AA6C55"/>
    <w:rsid w:val="00AA7CB9"/>
    <w:rsid w:val="00AA7CBD"/>
    <w:rsid w:val="00AA7E2A"/>
    <w:rsid w:val="00AA7F12"/>
    <w:rsid w:val="00AB0828"/>
    <w:rsid w:val="00AB0926"/>
    <w:rsid w:val="00AB09CE"/>
    <w:rsid w:val="00AB108C"/>
    <w:rsid w:val="00AB21A1"/>
    <w:rsid w:val="00AB2293"/>
    <w:rsid w:val="00AB2C2A"/>
    <w:rsid w:val="00AB3A6E"/>
    <w:rsid w:val="00AB5B97"/>
    <w:rsid w:val="00AB614A"/>
    <w:rsid w:val="00AB6414"/>
    <w:rsid w:val="00AB6608"/>
    <w:rsid w:val="00AB78EB"/>
    <w:rsid w:val="00AB7F97"/>
    <w:rsid w:val="00AC00FA"/>
    <w:rsid w:val="00AC110E"/>
    <w:rsid w:val="00AC15C5"/>
    <w:rsid w:val="00AC17CC"/>
    <w:rsid w:val="00AC1FC9"/>
    <w:rsid w:val="00AC21D9"/>
    <w:rsid w:val="00AC2290"/>
    <w:rsid w:val="00AC2591"/>
    <w:rsid w:val="00AC270B"/>
    <w:rsid w:val="00AC28A7"/>
    <w:rsid w:val="00AC3A36"/>
    <w:rsid w:val="00AC43AA"/>
    <w:rsid w:val="00AC5AEE"/>
    <w:rsid w:val="00AC6480"/>
    <w:rsid w:val="00AC67F8"/>
    <w:rsid w:val="00AC6F2C"/>
    <w:rsid w:val="00AC7316"/>
    <w:rsid w:val="00AC7347"/>
    <w:rsid w:val="00AC75DE"/>
    <w:rsid w:val="00AD01D1"/>
    <w:rsid w:val="00AD01D7"/>
    <w:rsid w:val="00AD0214"/>
    <w:rsid w:val="00AD04EB"/>
    <w:rsid w:val="00AD0C99"/>
    <w:rsid w:val="00AD10E7"/>
    <w:rsid w:val="00AD16E1"/>
    <w:rsid w:val="00AD178B"/>
    <w:rsid w:val="00AD1DAA"/>
    <w:rsid w:val="00AD22DB"/>
    <w:rsid w:val="00AD271F"/>
    <w:rsid w:val="00AD2C95"/>
    <w:rsid w:val="00AD30BF"/>
    <w:rsid w:val="00AD3791"/>
    <w:rsid w:val="00AD3EBD"/>
    <w:rsid w:val="00AD5059"/>
    <w:rsid w:val="00AD52CA"/>
    <w:rsid w:val="00AD5B38"/>
    <w:rsid w:val="00AD5BDE"/>
    <w:rsid w:val="00AD6AD7"/>
    <w:rsid w:val="00AD7220"/>
    <w:rsid w:val="00AE02EF"/>
    <w:rsid w:val="00AE1937"/>
    <w:rsid w:val="00AE19A0"/>
    <w:rsid w:val="00AE19CC"/>
    <w:rsid w:val="00AE23F0"/>
    <w:rsid w:val="00AE25C3"/>
    <w:rsid w:val="00AE3012"/>
    <w:rsid w:val="00AE3126"/>
    <w:rsid w:val="00AE3B18"/>
    <w:rsid w:val="00AE3FDE"/>
    <w:rsid w:val="00AE44A1"/>
    <w:rsid w:val="00AE4562"/>
    <w:rsid w:val="00AE7573"/>
    <w:rsid w:val="00AF0137"/>
    <w:rsid w:val="00AF04DD"/>
    <w:rsid w:val="00AF0F8E"/>
    <w:rsid w:val="00AF11AB"/>
    <w:rsid w:val="00AF13C5"/>
    <w:rsid w:val="00AF1E93"/>
    <w:rsid w:val="00AF1F79"/>
    <w:rsid w:val="00AF2194"/>
    <w:rsid w:val="00AF4B42"/>
    <w:rsid w:val="00AF4E16"/>
    <w:rsid w:val="00AF5461"/>
    <w:rsid w:val="00AF6093"/>
    <w:rsid w:val="00AF6C65"/>
    <w:rsid w:val="00AF7F88"/>
    <w:rsid w:val="00B0050F"/>
    <w:rsid w:val="00B00ABF"/>
    <w:rsid w:val="00B00DA2"/>
    <w:rsid w:val="00B01839"/>
    <w:rsid w:val="00B02A4D"/>
    <w:rsid w:val="00B02C73"/>
    <w:rsid w:val="00B03014"/>
    <w:rsid w:val="00B03116"/>
    <w:rsid w:val="00B034FA"/>
    <w:rsid w:val="00B03DAD"/>
    <w:rsid w:val="00B048CD"/>
    <w:rsid w:val="00B0493A"/>
    <w:rsid w:val="00B04BD1"/>
    <w:rsid w:val="00B0504A"/>
    <w:rsid w:val="00B06285"/>
    <w:rsid w:val="00B070A1"/>
    <w:rsid w:val="00B07ACE"/>
    <w:rsid w:val="00B10C33"/>
    <w:rsid w:val="00B111FC"/>
    <w:rsid w:val="00B115A2"/>
    <w:rsid w:val="00B11843"/>
    <w:rsid w:val="00B1190E"/>
    <w:rsid w:val="00B1226A"/>
    <w:rsid w:val="00B137FD"/>
    <w:rsid w:val="00B13896"/>
    <w:rsid w:val="00B14B0F"/>
    <w:rsid w:val="00B14C48"/>
    <w:rsid w:val="00B157A9"/>
    <w:rsid w:val="00B15E77"/>
    <w:rsid w:val="00B16100"/>
    <w:rsid w:val="00B16814"/>
    <w:rsid w:val="00B16A54"/>
    <w:rsid w:val="00B17035"/>
    <w:rsid w:val="00B1785F"/>
    <w:rsid w:val="00B17CAF"/>
    <w:rsid w:val="00B20147"/>
    <w:rsid w:val="00B20716"/>
    <w:rsid w:val="00B2091F"/>
    <w:rsid w:val="00B2097E"/>
    <w:rsid w:val="00B20D9A"/>
    <w:rsid w:val="00B21989"/>
    <w:rsid w:val="00B21A29"/>
    <w:rsid w:val="00B223C1"/>
    <w:rsid w:val="00B22DDA"/>
    <w:rsid w:val="00B22F27"/>
    <w:rsid w:val="00B2324A"/>
    <w:rsid w:val="00B23463"/>
    <w:rsid w:val="00B24059"/>
    <w:rsid w:val="00B24F86"/>
    <w:rsid w:val="00B2516B"/>
    <w:rsid w:val="00B25EEE"/>
    <w:rsid w:val="00B25FFF"/>
    <w:rsid w:val="00B26035"/>
    <w:rsid w:val="00B26087"/>
    <w:rsid w:val="00B260FC"/>
    <w:rsid w:val="00B26279"/>
    <w:rsid w:val="00B26348"/>
    <w:rsid w:val="00B265E4"/>
    <w:rsid w:val="00B278D3"/>
    <w:rsid w:val="00B27933"/>
    <w:rsid w:val="00B27AB0"/>
    <w:rsid w:val="00B27C99"/>
    <w:rsid w:val="00B3014A"/>
    <w:rsid w:val="00B30396"/>
    <w:rsid w:val="00B30464"/>
    <w:rsid w:val="00B30B7A"/>
    <w:rsid w:val="00B30E5E"/>
    <w:rsid w:val="00B310BA"/>
    <w:rsid w:val="00B31AD2"/>
    <w:rsid w:val="00B320FD"/>
    <w:rsid w:val="00B328F4"/>
    <w:rsid w:val="00B333EF"/>
    <w:rsid w:val="00B33530"/>
    <w:rsid w:val="00B33A1D"/>
    <w:rsid w:val="00B33F12"/>
    <w:rsid w:val="00B349AD"/>
    <w:rsid w:val="00B35AC8"/>
    <w:rsid w:val="00B36095"/>
    <w:rsid w:val="00B3723E"/>
    <w:rsid w:val="00B374E6"/>
    <w:rsid w:val="00B37769"/>
    <w:rsid w:val="00B37FAC"/>
    <w:rsid w:val="00B40616"/>
    <w:rsid w:val="00B40758"/>
    <w:rsid w:val="00B41762"/>
    <w:rsid w:val="00B41ECE"/>
    <w:rsid w:val="00B42C58"/>
    <w:rsid w:val="00B43D40"/>
    <w:rsid w:val="00B455AF"/>
    <w:rsid w:val="00B458EA"/>
    <w:rsid w:val="00B45E02"/>
    <w:rsid w:val="00B4602F"/>
    <w:rsid w:val="00B46431"/>
    <w:rsid w:val="00B46805"/>
    <w:rsid w:val="00B47054"/>
    <w:rsid w:val="00B52103"/>
    <w:rsid w:val="00B5382D"/>
    <w:rsid w:val="00B53A4B"/>
    <w:rsid w:val="00B54761"/>
    <w:rsid w:val="00B54E1A"/>
    <w:rsid w:val="00B55339"/>
    <w:rsid w:val="00B5617E"/>
    <w:rsid w:val="00B56517"/>
    <w:rsid w:val="00B56826"/>
    <w:rsid w:val="00B56A98"/>
    <w:rsid w:val="00B56F5B"/>
    <w:rsid w:val="00B57199"/>
    <w:rsid w:val="00B57702"/>
    <w:rsid w:val="00B5778B"/>
    <w:rsid w:val="00B60675"/>
    <w:rsid w:val="00B6080A"/>
    <w:rsid w:val="00B60FED"/>
    <w:rsid w:val="00B61D9E"/>
    <w:rsid w:val="00B627F5"/>
    <w:rsid w:val="00B62E58"/>
    <w:rsid w:val="00B62FCA"/>
    <w:rsid w:val="00B630A9"/>
    <w:rsid w:val="00B63B6A"/>
    <w:rsid w:val="00B63FC7"/>
    <w:rsid w:val="00B64809"/>
    <w:rsid w:val="00B64CD0"/>
    <w:rsid w:val="00B650E9"/>
    <w:rsid w:val="00B65484"/>
    <w:rsid w:val="00B66A8E"/>
    <w:rsid w:val="00B67D16"/>
    <w:rsid w:val="00B70366"/>
    <w:rsid w:val="00B71361"/>
    <w:rsid w:val="00B71399"/>
    <w:rsid w:val="00B71723"/>
    <w:rsid w:val="00B71915"/>
    <w:rsid w:val="00B71BCB"/>
    <w:rsid w:val="00B71C1D"/>
    <w:rsid w:val="00B71D56"/>
    <w:rsid w:val="00B72644"/>
    <w:rsid w:val="00B726B7"/>
    <w:rsid w:val="00B72ACE"/>
    <w:rsid w:val="00B7342A"/>
    <w:rsid w:val="00B7367F"/>
    <w:rsid w:val="00B75609"/>
    <w:rsid w:val="00B756B9"/>
    <w:rsid w:val="00B758AC"/>
    <w:rsid w:val="00B75B22"/>
    <w:rsid w:val="00B7610C"/>
    <w:rsid w:val="00B76981"/>
    <w:rsid w:val="00B76CBD"/>
    <w:rsid w:val="00B773C0"/>
    <w:rsid w:val="00B77CEE"/>
    <w:rsid w:val="00B77DED"/>
    <w:rsid w:val="00B80344"/>
    <w:rsid w:val="00B8045F"/>
    <w:rsid w:val="00B8046B"/>
    <w:rsid w:val="00B8115B"/>
    <w:rsid w:val="00B8158A"/>
    <w:rsid w:val="00B815BE"/>
    <w:rsid w:val="00B81A45"/>
    <w:rsid w:val="00B81AF7"/>
    <w:rsid w:val="00B81B56"/>
    <w:rsid w:val="00B82B4C"/>
    <w:rsid w:val="00B82EB0"/>
    <w:rsid w:val="00B837EE"/>
    <w:rsid w:val="00B84007"/>
    <w:rsid w:val="00B8443D"/>
    <w:rsid w:val="00B84486"/>
    <w:rsid w:val="00B851EC"/>
    <w:rsid w:val="00B862E2"/>
    <w:rsid w:val="00B87782"/>
    <w:rsid w:val="00B87B69"/>
    <w:rsid w:val="00B90155"/>
    <w:rsid w:val="00B90AF4"/>
    <w:rsid w:val="00B91608"/>
    <w:rsid w:val="00B917BB"/>
    <w:rsid w:val="00B91AA9"/>
    <w:rsid w:val="00B91BC0"/>
    <w:rsid w:val="00B91CD8"/>
    <w:rsid w:val="00B921AE"/>
    <w:rsid w:val="00B92AF6"/>
    <w:rsid w:val="00B92F72"/>
    <w:rsid w:val="00B93157"/>
    <w:rsid w:val="00B93255"/>
    <w:rsid w:val="00B9377F"/>
    <w:rsid w:val="00B93A02"/>
    <w:rsid w:val="00B93D39"/>
    <w:rsid w:val="00B94539"/>
    <w:rsid w:val="00B94B96"/>
    <w:rsid w:val="00B951E2"/>
    <w:rsid w:val="00B957FE"/>
    <w:rsid w:val="00B96542"/>
    <w:rsid w:val="00B973E6"/>
    <w:rsid w:val="00B97D70"/>
    <w:rsid w:val="00BA099B"/>
    <w:rsid w:val="00BA09CC"/>
    <w:rsid w:val="00BA1163"/>
    <w:rsid w:val="00BA1397"/>
    <w:rsid w:val="00BA1B54"/>
    <w:rsid w:val="00BA21DE"/>
    <w:rsid w:val="00BA22C0"/>
    <w:rsid w:val="00BA2E9F"/>
    <w:rsid w:val="00BA3251"/>
    <w:rsid w:val="00BA377A"/>
    <w:rsid w:val="00BA3C26"/>
    <w:rsid w:val="00BA5CCA"/>
    <w:rsid w:val="00BA69BC"/>
    <w:rsid w:val="00BA6D24"/>
    <w:rsid w:val="00BA7452"/>
    <w:rsid w:val="00BA7C09"/>
    <w:rsid w:val="00BA7C11"/>
    <w:rsid w:val="00BB0042"/>
    <w:rsid w:val="00BB029B"/>
    <w:rsid w:val="00BB0310"/>
    <w:rsid w:val="00BB0382"/>
    <w:rsid w:val="00BB1850"/>
    <w:rsid w:val="00BB1900"/>
    <w:rsid w:val="00BB1E1B"/>
    <w:rsid w:val="00BB1E31"/>
    <w:rsid w:val="00BB2464"/>
    <w:rsid w:val="00BB2505"/>
    <w:rsid w:val="00BB2869"/>
    <w:rsid w:val="00BB35A7"/>
    <w:rsid w:val="00BB49D1"/>
    <w:rsid w:val="00BB5656"/>
    <w:rsid w:val="00BB582A"/>
    <w:rsid w:val="00BB5925"/>
    <w:rsid w:val="00BB5CE5"/>
    <w:rsid w:val="00BB643E"/>
    <w:rsid w:val="00BB659C"/>
    <w:rsid w:val="00BB6A8C"/>
    <w:rsid w:val="00BB79B3"/>
    <w:rsid w:val="00BB7A01"/>
    <w:rsid w:val="00BB7DE3"/>
    <w:rsid w:val="00BC04AF"/>
    <w:rsid w:val="00BC0B74"/>
    <w:rsid w:val="00BC128A"/>
    <w:rsid w:val="00BC147B"/>
    <w:rsid w:val="00BC1542"/>
    <w:rsid w:val="00BC1DFA"/>
    <w:rsid w:val="00BC30A6"/>
    <w:rsid w:val="00BC37C5"/>
    <w:rsid w:val="00BC399D"/>
    <w:rsid w:val="00BC3D51"/>
    <w:rsid w:val="00BC52FC"/>
    <w:rsid w:val="00BC64EC"/>
    <w:rsid w:val="00BC6FA4"/>
    <w:rsid w:val="00BC734B"/>
    <w:rsid w:val="00BC7FFA"/>
    <w:rsid w:val="00BD01D2"/>
    <w:rsid w:val="00BD079C"/>
    <w:rsid w:val="00BD0AD0"/>
    <w:rsid w:val="00BD0B54"/>
    <w:rsid w:val="00BD1461"/>
    <w:rsid w:val="00BD15BC"/>
    <w:rsid w:val="00BD1DD8"/>
    <w:rsid w:val="00BD1FB7"/>
    <w:rsid w:val="00BD2461"/>
    <w:rsid w:val="00BD281A"/>
    <w:rsid w:val="00BD2B67"/>
    <w:rsid w:val="00BD2FA5"/>
    <w:rsid w:val="00BD37BC"/>
    <w:rsid w:val="00BD42C7"/>
    <w:rsid w:val="00BD4BFA"/>
    <w:rsid w:val="00BD510E"/>
    <w:rsid w:val="00BD5263"/>
    <w:rsid w:val="00BE0049"/>
    <w:rsid w:val="00BE0125"/>
    <w:rsid w:val="00BE0570"/>
    <w:rsid w:val="00BE1447"/>
    <w:rsid w:val="00BE1E0F"/>
    <w:rsid w:val="00BE2116"/>
    <w:rsid w:val="00BE35E0"/>
    <w:rsid w:val="00BE37EF"/>
    <w:rsid w:val="00BE3AD3"/>
    <w:rsid w:val="00BE4774"/>
    <w:rsid w:val="00BE52B1"/>
    <w:rsid w:val="00BE5B75"/>
    <w:rsid w:val="00BE641D"/>
    <w:rsid w:val="00BE6605"/>
    <w:rsid w:val="00BE7103"/>
    <w:rsid w:val="00BE7664"/>
    <w:rsid w:val="00BE780D"/>
    <w:rsid w:val="00BE7BBE"/>
    <w:rsid w:val="00BE7BD1"/>
    <w:rsid w:val="00BF0E15"/>
    <w:rsid w:val="00BF0E23"/>
    <w:rsid w:val="00BF1133"/>
    <w:rsid w:val="00BF1289"/>
    <w:rsid w:val="00BF17A5"/>
    <w:rsid w:val="00BF1989"/>
    <w:rsid w:val="00BF34F4"/>
    <w:rsid w:val="00BF3E1A"/>
    <w:rsid w:val="00BF3E25"/>
    <w:rsid w:val="00BF3E66"/>
    <w:rsid w:val="00BF40ED"/>
    <w:rsid w:val="00BF4370"/>
    <w:rsid w:val="00BF4896"/>
    <w:rsid w:val="00BF59C7"/>
    <w:rsid w:val="00BF5C76"/>
    <w:rsid w:val="00BF65DA"/>
    <w:rsid w:val="00BF680C"/>
    <w:rsid w:val="00BF6934"/>
    <w:rsid w:val="00BF69D7"/>
    <w:rsid w:val="00BF7664"/>
    <w:rsid w:val="00C001A0"/>
    <w:rsid w:val="00C00803"/>
    <w:rsid w:val="00C00865"/>
    <w:rsid w:val="00C0134D"/>
    <w:rsid w:val="00C01465"/>
    <w:rsid w:val="00C02B6B"/>
    <w:rsid w:val="00C031C0"/>
    <w:rsid w:val="00C036A8"/>
    <w:rsid w:val="00C03E67"/>
    <w:rsid w:val="00C0414F"/>
    <w:rsid w:val="00C0443A"/>
    <w:rsid w:val="00C049E6"/>
    <w:rsid w:val="00C05153"/>
    <w:rsid w:val="00C053B2"/>
    <w:rsid w:val="00C0601B"/>
    <w:rsid w:val="00C064D8"/>
    <w:rsid w:val="00C065C6"/>
    <w:rsid w:val="00C06A4B"/>
    <w:rsid w:val="00C071D7"/>
    <w:rsid w:val="00C07570"/>
    <w:rsid w:val="00C07C72"/>
    <w:rsid w:val="00C07DCC"/>
    <w:rsid w:val="00C1001F"/>
    <w:rsid w:val="00C10F1D"/>
    <w:rsid w:val="00C117CA"/>
    <w:rsid w:val="00C118B0"/>
    <w:rsid w:val="00C11A6B"/>
    <w:rsid w:val="00C12A90"/>
    <w:rsid w:val="00C12F6E"/>
    <w:rsid w:val="00C13E08"/>
    <w:rsid w:val="00C1442A"/>
    <w:rsid w:val="00C150D4"/>
    <w:rsid w:val="00C15B2A"/>
    <w:rsid w:val="00C1627F"/>
    <w:rsid w:val="00C169A1"/>
    <w:rsid w:val="00C16D6B"/>
    <w:rsid w:val="00C16EDE"/>
    <w:rsid w:val="00C17A92"/>
    <w:rsid w:val="00C2021C"/>
    <w:rsid w:val="00C20F2A"/>
    <w:rsid w:val="00C21D77"/>
    <w:rsid w:val="00C23071"/>
    <w:rsid w:val="00C234C2"/>
    <w:rsid w:val="00C2389F"/>
    <w:rsid w:val="00C23E19"/>
    <w:rsid w:val="00C246F9"/>
    <w:rsid w:val="00C24C9A"/>
    <w:rsid w:val="00C250DB"/>
    <w:rsid w:val="00C2562C"/>
    <w:rsid w:val="00C25D4F"/>
    <w:rsid w:val="00C25DB3"/>
    <w:rsid w:val="00C27EA2"/>
    <w:rsid w:val="00C30B74"/>
    <w:rsid w:val="00C310D2"/>
    <w:rsid w:val="00C32E9E"/>
    <w:rsid w:val="00C3331A"/>
    <w:rsid w:val="00C340A9"/>
    <w:rsid w:val="00C3533A"/>
    <w:rsid w:val="00C35C3E"/>
    <w:rsid w:val="00C35EEF"/>
    <w:rsid w:val="00C36255"/>
    <w:rsid w:val="00C37253"/>
    <w:rsid w:val="00C3746C"/>
    <w:rsid w:val="00C37753"/>
    <w:rsid w:val="00C37895"/>
    <w:rsid w:val="00C37966"/>
    <w:rsid w:val="00C37B21"/>
    <w:rsid w:val="00C408E3"/>
    <w:rsid w:val="00C40EA2"/>
    <w:rsid w:val="00C41FE9"/>
    <w:rsid w:val="00C42615"/>
    <w:rsid w:val="00C426B1"/>
    <w:rsid w:val="00C43A86"/>
    <w:rsid w:val="00C446E8"/>
    <w:rsid w:val="00C44ECE"/>
    <w:rsid w:val="00C4537D"/>
    <w:rsid w:val="00C4617F"/>
    <w:rsid w:val="00C46704"/>
    <w:rsid w:val="00C467F9"/>
    <w:rsid w:val="00C476C0"/>
    <w:rsid w:val="00C47992"/>
    <w:rsid w:val="00C5083B"/>
    <w:rsid w:val="00C5152B"/>
    <w:rsid w:val="00C52240"/>
    <w:rsid w:val="00C53867"/>
    <w:rsid w:val="00C53A2C"/>
    <w:rsid w:val="00C53C52"/>
    <w:rsid w:val="00C53FB7"/>
    <w:rsid w:val="00C54229"/>
    <w:rsid w:val="00C54906"/>
    <w:rsid w:val="00C54F85"/>
    <w:rsid w:val="00C55178"/>
    <w:rsid w:val="00C55A15"/>
    <w:rsid w:val="00C567FA"/>
    <w:rsid w:val="00C56817"/>
    <w:rsid w:val="00C56F53"/>
    <w:rsid w:val="00C57ADB"/>
    <w:rsid w:val="00C60495"/>
    <w:rsid w:val="00C61956"/>
    <w:rsid w:val="00C61E4F"/>
    <w:rsid w:val="00C62519"/>
    <w:rsid w:val="00C63264"/>
    <w:rsid w:val="00C6349B"/>
    <w:rsid w:val="00C6351B"/>
    <w:rsid w:val="00C6360D"/>
    <w:rsid w:val="00C6557C"/>
    <w:rsid w:val="00C65A57"/>
    <w:rsid w:val="00C65B87"/>
    <w:rsid w:val="00C66510"/>
    <w:rsid w:val="00C66758"/>
    <w:rsid w:val="00C66DC4"/>
    <w:rsid w:val="00C67D4E"/>
    <w:rsid w:val="00C71023"/>
    <w:rsid w:val="00C72D5F"/>
    <w:rsid w:val="00C7411F"/>
    <w:rsid w:val="00C74300"/>
    <w:rsid w:val="00C7433D"/>
    <w:rsid w:val="00C745A4"/>
    <w:rsid w:val="00C74B89"/>
    <w:rsid w:val="00C74D90"/>
    <w:rsid w:val="00C74DB8"/>
    <w:rsid w:val="00C74F58"/>
    <w:rsid w:val="00C752FC"/>
    <w:rsid w:val="00C753ED"/>
    <w:rsid w:val="00C757A1"/>
    <w:rsid w:val="00C76AD9"/>
    <w:rsid w:val="00C77339"/>
    <w:rsid w:val="00C77A2F"/>
    <w:rsid w:val="00C801BE"/>
    <w:rsid w:val="00C8053F"/>
    <w:rsid w:val="00C807A2"/>
    <w:rsid w:val="00C807BC"/>
    <w:rsid w:val="00C81598"/>
    <w:rsid w:val="00C815DF"/>
    <w:rsid w:val="00C81C32"/>
    <w:rsid w:val="00C81D57"/>
    <w:rsid w:val="00C8223B"/>
    <w:rsid w:val="00C82343"/>
    <w:rsid w:val="00C8240D"/>
    <w:rsid w:val="00C8444D"/>
    <w:rsid w:val="00C848C0"/>
    <w:rsid w:val="00C84DE4"/>
    <w:rsid w:val="00C8505C"/>
    <w:rsid w:val="00C852E4"/>
    <w:rsid w:val="00C856D4"/>
    <w:rsid w:val="00C86633"/>
    <w:rsid w:val="00C866B0"/>
    <w:rsid w:val="00C86DFE"/>
    <w:rsid w:val="00C90179"/>
    <w:rsid w:val="00C901B9"/>
    <w:rsid w:val="00C90563"/>
    <w:rsid w:val="00C909BA"/>
    <w:rsid w:val="00C90A61"/>
    <w:rsid w:val="00C90B01"/>
    <w:rsid w:val="00C9159E"/>
    <w:rsid w:val="00C91A96"/>
    <w:rsid w:val="00C91B8F"/>
    <w:rsid w:val="00C92882"/>
    <w:rsid w:val="00C92942"/>
    <w:rsid w:val="00C92E54"/>
    <w:rsid w:val="00C92F5F"/>
    <w:rsid w:val="00C932ED"/>
    <w:rsid w:val="00C9399F"/>
    <w:rsid w:val="00C941C2"/>
    <w:rsid w:val="00C941EC"/>
    <w:rsid w:val="00C9447B"/>
    <w:rsid w:val="00C944A9"/>
    <w:rsid w:val="00C94FE8"/>
    <w:rsid w:val="00C9501F"/>
    <w:rsid w:val="00C953BC"/>
    <w:rsid w:val="00C954CE"/>
    <w:rsid w:val="00C956F6"/>
    <w:rsid w:val="00C95D62"/>
    <w:rsid w:val="00C963AE"/>
    <w:rsid w:val="00C97A14"/>
    <w:rsid w:val="00C97DE8"/>
    <w:rsid w:val="00CA01CB"/>
    <w:rsid w:val="00CA0908"/>
    <w:rsid w:val="00CA0A91"/>
    <w:rsid w:val="00CA1B46"/>
    <w:rsid w:val="00CA3134"/>
    <w:rsid w:val="00CA400F"/>
    <w:rsid w:val="00CA425B"/>
    <w:rsid w:val="00CA4BEC"/>
    <w:rsid w:val="00CA565F"/>
    <w:rsid w:val="00CA6F86"/>
    <w:rsid w:val="00CA74DA"/>
    <w:rsid w:val="00CA76B2"/>
    <w:rsid w:val="00CA7D09"/>
    <w:rsid w:val="00CB0276"/>
    <w:rsid w:val="00CB1409"/>
    <w:rsid w:val="00CB1441"/>
    <w:rsid w:val="00CB28FA"/>
    <w:rsid w:val="00CB2FAB"/>
    <w:rsid w:val="00CB3389"/>
    <w:rsid w:val="00CB3C61"/>
    <w:rsid w:val="00CB4040"/>
    <w:rsid w:val="00CB4A6C"/>
    <w:rsid w:val="00CB4B1E"/>
    <w:rsid w:val="00CB4CF0"/>
    <w:rsid w:val="00CB55A5"/>
    <w:rsid w:val="00CB5D96"/>
    <w:rsid w:val="00CB5ECD"/>
    <w:rsid w:val="00CB6A03"/>
    <w:rsid w:val="00CB6DC5"/>
    <w:rsid w:val="00CB764C"/>
    <w:rsid w:val="00CC1615"/>
    <w:rsid w:val="00CC169A"/>
    <w:rsid w:val="00CC1E45"/>
    <w:rsid w:val="00CC1F82"/>
    <w:rsid w:val="00CC248F"/>
    <w:rsid w:val="00CC37F7"/>
    <w:rsid w:val="00CC3E38"/>
    <w:rsid w:val="00CC4F8B"/>
    <w:rsid w:val="00CC51CF"/>
    <w:rsid w:val="00CC54FD"/>
    <w:rsid w:val="00CC5DF6"/>
    <w:rsid w:val="00CC610A"/>
    <w:rsid w:val="00CC6E0B"/>
    <w:rsid w:val="00CC7579"/>
    <w:rsid w:val="00CC7DDC"/>
    <w:rsid w:val="00CD0190"/>
    <w:rsid w:val="00CD0571"/>
    <w:rsid w:val="00CD057E"/>
    <w:rsid w:val="00CD0819"/>
    <w:rsid w:val="00CD10C7"/>
    <w:rsid w:val="00CD116D"/>
    <w:rsid w:val="00CD15A1"/>
    <w:rsid w:val="00CD1832"/>
    <w:rsid w:val="00CD1864"/>
    <w:rsid w:val="00CD1BDD"/>
    <w:rsid w:val="00CD1E93"/>
    <w:rsid w:val="00CD2528"/>
    <w:rsid w:val="00CD2C57"/>
    <w:rsid w:val="00CD439B"/>
    <w:rsid w:val="00CD5AAA"/>
    <w:rsid w:val="00CD63E4"/>
    <w:rsid w:val="00CD64FB"/>
    <w:rsid w:val="00CD72A2"/>
    <w:rsid w:val="00CD7860"/>
    <w:rsid w:val="00CD799E"/>
    <w:rsid w:val="00CE01D6"/>
    <w:rsid w:val="00CE046F"/>
    <w:rsid w:val="00CE0563"/>
    <w:rsid w:val="00CE05FB"/>
    <w:rsid w:val="00CE06BC"/>
    <w:rsid w:val="00CE0EA7"/>
    <w:rsid w:val="00CE1001"/>
    <w:rsid w:val="00CE1370"/>
    <w:rsid w:val="00CE214A"/>
    <w:rsid w:val="00CE21CC"/>
    <w:rsid w:val="00CE22E4"/>
    <w:rsid w:val="00CE276D"/>
    <w:rsid w:val="00CE2C11"/>
    <w:rsid w:val="00CE2D59"/>
    <w:rsid w:val="00CE3304"/>
    <w:rsid w:val="00CE4C5E"/>
    <w:rsid w:val="00CE61F9"/>
    <w:rsid w:val="00CE68ED"/>
    <w:rsid w:val="00CE6A08"/>
    <w:rsid w:val="00CE74E1"/>
    <w:rsid w:val="00CE7591"/>
    <w:rsid w:val="00CE7ACB"/>
    <w:rsid w:val="00CF0D71"/>
    <w:rsid w:val="00CF147D"/>
    <w:rsid w:val="00CF21FB"/>
    <w:rsid w:val="00CF2E96"/>
    <w:rsid w:val="00CF3CB1"/>
    <w:rsid w:val="00CF412A"/>
    <w:rsid w:val="00CF49CA"/>
    <w:rsid w:val="00CF4DA9"/>
    <w:rsid w:val="00CF601C"/>
    <w:rsid w:val="00CF77DB"/>
    <w:rsid w:val="00CF7CBA"/>
    <w:rsid w:val="00CF7FBC"/>
    <w:rsid w:val="00D000ED"/>
    <w:rsid w:val="00D00706"/>
    <w:rsid w:val="00D00973"/>
    <w:rsid w:val="00D00DE7"/>
    <w:rsid w:val="00D01CD1"/>
    <w:rsid w:val="00D0228B"/>
    <w:rsid w:val="00D02FC4"/>
    <w:rsid w:val="00D030D8"/>
    <w:rsid w:val="00D031A8"/>
    <w:rsid w:val="00D033D3"/>
    <w:rsid w:val="00D03607"/>
    <w:rsid w:val="00D0378B"/>
    <w:rsid w:val="00D0380F"/>
    <w:rsid w:val="00D03CCF"/>
    <w:rsid w:val="00D0400C"/>
    <w:rsid w:val="00D0443A"/>
    <w:rsid w:val="00D04619"/>
    <w:rsid w:val="00D0461A"/>
    <w:rsid w:val="00D04DB9"/>
    <w:rsid w:val="00D04F30"/>
    <w:rsid w:val="00D05141"/>
    <w:rsid w:val="00D05304"/>
    <w:rsid w:val="00D05674"/>
    <w:rsid w:val="00D06B0E"/>
    <w:rsid w:val="00D06F5C"/>
    <w:rsid w:val="00D07208"/>
    <w:rsid w:val="00D0731A"/>
    <w:rsid w:val="00D07457"/>
    <w:rsid w:val="00D0787C"/>
    <w:rsid w:val="00D07D82"/>
    <w:rsid w:val="00D10A78"/>
    <w:rsid w:val="00D10BF6"/>
    <w:rsid w:val="00D11405"/>
    <w:rsid w:val="00D121C1"/>
    <w:rsid w:val="00D12601"/>
    <w:rsid w:val="00D132B7"/>
    <w:rsid w:val="00D138B1"/>
    <w:rsid w:val="00D139CA"/>
    <w:rsid w:val="00D14519"/>
    <w:rsid w:val="00D14F36"/>
    <w:rsid w:val="00D1506C"/>
    <w:rsid w:val="00D1570D"/>
    <w:rsid w:val="00D159A0"/>
    <w:rsid w:val="00D16F10"/>
    <w:rsid w:val="00D203A0"/>
    <w:rsid w:val="00D20ACC"/>
    <w:rsid w:val="00D21250"/>
    <w:rsid w:val="00D22841"/>
    <w:rsid w:val="00D2290F"/>
    <w:rsid w:val="00D24B23"/>
    <w:rsid w:val="00D24E35"/>
    <w:rsid w:val="00D24FEE"/>
    <w:rsid w:val="00D26472"/>
    <w:rsid w:val="00D26942"/>
    <w:rsid w:val="00D26EE1"/>
    <w:rsid w:val="00D27250"/>
    <w:rsid w:val="00D27307"/>
    <w:rsid w:val="00D3066A"/>
    <w:rsid w:val="00D314C7"/>
    <w:rsid w:val="00D317A4"/>
    <w:rsid w:val="00D3182A"/>
    <w:rsid w:val="00D31923"/>
    <w:rsid w:val="00D31995"/>
    <w:rsid w:val="00D31F8F"/>
    <w:rsid w:val="00D326AB"/>
    <w:rsid w:val="00D331CF"/>
    <w:rsid w:val="00D3335C"/>
    <w:rsid w:val="00D342CD"/>
    <w:rsid w:val="00D34FC9"/>
    <w:rsid w:val="00D3529A"/>
    <w:rsid w:val="00D358A0"/>
    <w:rsid w:val="00D407A9"/>
    <w:rsid w:val="00D40D48"/>
    <w:rsid w:val="00D41D15"/>
    <w:rsid w:val="00D43910"/>
    <w:rsid w:val="00D4456D"/>
    <w:rsid w:val="00D449E3"/>
    <w:rsid w:val="00D45391"/>
    <w:rsid w:val="00D458CB"/>
    <w:rsid w:val="00D4680E"/>
    <w:rsid w:val="00D46F0D"/>
    <w:rsid w:val="00D47027"/>
    <w:rsid w:val="00D4775A"/>
    <w:rsid w:val="00D47AE7"/>
    <w:rsid w:val="00D50461"/>
    <w:rsid w:val="00D5126A"/>
    <w:rsid w:val="00D51707"/>
    <w:rsid w:val="00D51E8D"/>
    <w:rsid w:val="00D528D7"/>
    <w:rsid w:val="00D52B6C"/>
    <w:rsid w:val="00D52D74"/>
    <w:rsid w:val="00D5360D"/>
    <w:rsid w:val="00D53A29"/>
    <w:rsid w:val="00D54339"/>
    <w:rsid w:val="00D551C6"/>
    <w:rsid w:val="00D560C3"/>
    <w:rsid w:val="00D562B7"/>
    <w:rsid w:val="00D56458"/>
    <w:rsid w:val="00D57895"/>
    <w:rsid w:val="00D57CBB"/>
    <w:rsid w:val="00D6052A"/>
    <w:rsid w:val="00D61091"/>
    <w:rsid w:val="00D62070"/>
    <w:rsid w:val="00D627BC"/>
    <w:rsid w:val="00D64864"/>
    <w:rsid w:val="00D64978"/>
    <w:rsid w:val="00D663C9"/>
    <w:rsid w:val="00D705A3"/>
    <w:rsid w:val="00D70745"/>
    <w:rsid w:val="00D70F20"/>
    <w:rsid w:val="00D726F7"/>
    <w:rsid w:val="00D73AF7"/>
    <w:rsid w:val="00D74281"/>
    <w:rsid w:val="00D74520"/>
    <w:rsid w:val="00D74620"/>
    <w:rsid w:val="00D74AC4"/>
    <w:rsid w:val="00D74ADD"/>
    <w:rsid w:val="00D753B7"/>
    <w:rsid w:val="00D75B14"/>
    <w:rsid w:val="00D75D6E"/>
    <w:rsid w:val="00D76A91"/>
    <w:rsid w:val="00D8030D"/>
    <w:rsid w:val="00D80416"/>
    <w:rsid w:val="00D804CC"/>
    <w:rsid w:val="00D80CF8"/>
    <w:rsid w:val="00D80ED6"/>
    <w:rsid w:val="00D82222"/>
    <w:rsid w:val="00D824D6"/>
    <w:rsid w:val="00D839BD"/>
    <w:rsid w:val="00D83B1A"/>
    <w:rsid w:val="00D83F79"/>
    <w:rsid w:val="00D85450"/>
    <w:rsid w:val="00D8581C"/>
    <w:rsid w:val="00D859DF"/>
    <w:rsid w:val="00D85DA2"/>
    <w:rsid w:val="00D85EE4"/>
    <w:rsid w:val="00D85F6F"/>
    <w:rsid w:val="00D86BF5"/>
    <w:rsid w:val="00D86D63"/>
    <w:rsid w:val="00D86EDD"/>
    <w:rsid w:val="00D91552"/>
    <w:rsid w:val="00D91EF1"/>
    <w:rsid w:val="00D92FA8"/>
    <w:rsid w:val="00D93486"/>
    <w:rsid w:val="00D938E0"/>
    <w:rsid w:val="00D94028"/>
    <w:rsid w:val="00D9454B"/>
    <w:rsid w:val="00D9489E"/>
    <w:rsid w:val="00D94E50"/>
    <w:rsid w:val="00D95A42"/>
    <w:rsid w:val="00D962F0"/>
    <w:rsid w:val="00D9649F"/>
    <w:rsid w:val="00D9792A"/>
    <w:rsid w:val="00D97D9F"/>
    <w:rsid w:val="00D97F01"/>
    <w:rsid w:val="00DA006C"/>
    <w:rsid w:val="00DA09F4"/>
    <w:rsid w:val="00DA0CEA"/>
    <w:rsid w:val="00DA0D4C"/>
    <w:rsid w:val="00DA11A4"/>
    <w:rsid w:val="00DA1F88"/>
    <w:rsid w:val="00DA20A3"/>
    <w:rsid w:val="00DA28D1"/>
    <w:rsid w:val="00DA341C"/>
    <w:rsid w:val="00DA4F12"/>
    <w:rsid w:val="00DA55BF"/>
    <w:rsid w:val="00DA6960"/>
    <w:rsid w:val="00DA697F"/>
    <w:rsid w:val="00DA6AC1"/>
    <w:rsid w:val="00DA6AE4"/>
    <w:rsid w:val="00DA756F"/>
    <w:rsid w:val="00DA7E6E"/>
    <w:rsid w:val="00DB0134"/>
    <w:rsid w:val="00DB01D0"/>
    <w:rsid w:val="00DB0550"/>
    <w:rsid w:val="00DB0664"/>
    <w:rsid w:val="00DB0830"/>
    <w:rsid w:val="00DB093C"/>
    <w:rsid w:val="00DB235D"/>
    <w:rsid w:val="00DB3589"/>
    <w:rsid w:val="00DB395C"/>
    <w:rsid w:val="00DB39D2"/>
    <w:rsid w:val="00DB3B33"/>
    <w:rsid w:val="00DB4339"/>
    <w:rsid w:val="00DB4640"/>
    <w:rsid w:val="00DB4CF3"/>
    <w:rsid w:val="00DB4E60"/>
    <w:rsid w:val="00DB4FEF"/>
    <w:rsid w:val="00DB52DF"/>
    <w:rsid w:val="00DB55BA"/>
    <w:rsid w:val="00DB61F5"/>
    <w:rsid w:val="00DB6665"/>
    <w:rsid w:val="00DB7301"/>
    <w:rsid w:val="00DB7F3A"/>
    <w:rsid w:val="00DC0C88"/>
    <w:rsid w:val="00DC0F9D"/>
    <w:rsid w:val="00DC1E7F"/>
    <w:rsid w:val="00DC2418"/>
    <w:rsid w:val="00DC2B46"/>
    <w:rsid w:val="00DC2C52"/>
    <w:rsid w:val="00DC33D3"/>
    <w:rsid w:val="00DC3D1C"/>
    <w:rsid w:val="00DC4D98"/>
    <w:rsid w:val="00DC606D"/>
    <w:rsid w:val="00DC66E3"/>
    <w:rsid w:val="00DC6F41"/>
    <w:rsid w:val="00DC75A6"/>
    <w:rsid w:val="00DC7809"/>
    <w:rsid w:val="00DC79B9"/>
    <w:rsid w:val="00DD0553"/>
    <w:rsid w:val="00DD1C7A"/>
    <w:rsid w:val="00DD41B8"/>
    <w:rsid w:val="00DD460E"/>
    <w:rsid w:val="00DD46E8"/>
    <w:rsid w:val="00DD4A9D"/>
    <w:rsid w:val="00DD4E19"/>
    <w:rsid w:val="00DD4E6F"/>
    <w:rsid w:val="00DD4FB4"/>
    <w:rsid w:val="00DD606D"/>
    <w:rsid w:val="00DD6404"/>
    <w:rsid w:val="00DD68BE"/>
    <w:rsid w:val="00DD719A"/>
    <w:rsid w:val="00DE09CE"/>
    <w:rsid w:val="00DE0D53"/>
    <w:rsid w:val="00DE1942"/>
    <w:rsid w:val="00DE196B"/>
    <w:rsid w:val="00DE1D96"/>
    <w:rsid w:val="00DE24F9"/>
    <w:rsid w:val="00DE3AF0"/>
    <w:rsid w:val="00DE445F"/>
    <w:rsid w:val="00DE45F5"/>
    <w:rsid w:val="00DE467C"/>
    <w:rsid w:val="00DE46BD"/>
    <w:rsid w:val="00DE4A1C"/>
    <w:rsid w:val="00DE54E6"/>
    <w:rsid w:val="00DE595A"/>
    <w:rsid w:val="00DE5965"/>
    <w:rsid w:val="00DE7994"/>
    <w:rsid w:val="00DE7F5D"/>
    <w:rsid w:val="00DF01A6"/>
    <w:rsid w:val="00DF02AC"/>
    <w:rsid w:val="00DF03D0"/>
    <w:rsid w:val="00DF1734"/>
    <w:rsid w:val="00DF1B63"/>
    <w:rsid w:val="00DF329D"/>
    <w:rsid w:val="00DF36F6"/>
    <w:rsid w:val="00DF577C"/>
    <w:rsid w:val="00DF60F1"/>
    <w:rsid w:val="00DF66D1"/>
    <w:rsid w:val="00DF6B65"/>
    <w:rsid w:val="00DF71DD"/>
    <w:rsid w:val="00DF7839"/>
    <w:rsid w:val="00DF7909"/>
    <w:rsid w:val="00DF7D8C"/>
    <w:rsid w:val="00E00CD5"/>
    <w:rsid w:val="00E00D9E"/>
    <w:rsid w:val="00E011DD"/>
    <w:rsid w:val="00E01F18"/>
    <w:rsid w:val="00E02578"/>
    <w:rsid w:val="00E02FC4"/>
    <w:rsid w:val="00E03203"/>
    <w:rsid w:val="00E03564"/>
    <w:rsid w:val="00E0360F"/>
    <w:rsid w:val="00E03979"/>
    <w:rsid w:val="00E03A9C"/>
    <w:rsid w:val="00E03BDD"/>
    <w:rsid w:val="00E04493"/>
    <w:rsid w:val="00E047FF"/>
    <w:rsid w:val="00E04861"/>
    <w:rsid w:val="00E049DD"/>
    <w:rsid w:val="00E04BE1"/>
    <w:rsid w:val="00E04F70"/>
    <w:rsid w:val="00E05AE1"/>
    <w:rsid w:val="00E06CBB"/>
    <w:rsid w:val="00E070EC"/>
    <w:rsid w:val="00E0786E"/>
    <w:rsid w:val="00E10191"/>
    <w:rsid w:val="00E10668"/>
    <w:rsid w:val="00E1095C"/>
    <w:rsid w:val="00E1153B"/>
    <w:rsid w:val="00E11CB4"/>
    <w:rsid w:val="00E11CC3"/>
    <w:rsid w:val="00E1252F"/>
    <w:rsid w:val="00E126FE"/>
    <w:rsid w:val="00E129CF"/>
    <w:rsid w:val="00E12AC8"/>
    <w:rsid w:val="00E12EDC"/>
    <w:rsid w:val="00E1308D"/>
    <w:rsid w:val="00E1315F"/>
    <w:rsid w:val="00E13F3C"/>
    <w:rsid w:val="00E14019"/>
    <w:rsid w:val="00E14456"/>
    <w:rsid w:val="00E147E4"/>
    <w:rsid w:val="00E14FB3"/>
    <w:rsid w:val="00E150F6"/>
    <w:rsid w:val="00E15637"/>
    <w:rsid w:val="00E15AF7"/>
    <w:rsid w:val="00E1652E"/>
    <w:rsid w:val="00E17ED4"/>
    <w:rsid w:val="00E208C4"/>
    <w:rsid w:val="00E21115"/>
    <w:rsid w:val="00E21AC8"/>
    <w:rsid w:val="00E21D98"/>
    <w:rsid w:val="00E22100"/>
    <w:rsid w:val="00E2212F"/>
    <w:rsid w:val="00E2251A"/>
    <w:rsid w:val="00E22618"/>
    <w:rsid w:val="00E23274"/>
    <w:rsid w:val="00E2416E"/>
    <w:rsid w:val="00E25613"/>
    <w:rsid w:val="00E25824"/>
    <w:rsid w:val="00E25942"/>
    <w:rsid w:val="00E25BC0"/>
    <w:rsid w:val="00E26489"/>
    <w:rsid w:val="00E266DB"/>
    <w:rsid w:val="00E2676F"/>
    <w:rsid w:val="00E267D3"/>
    <w:rsid w:val="00E26AA8"/>
    <w:rsid w:val="00E27706"/>
    <w:rsid w:val="00E27D01"/>
    <w:rsid w:val="00E30A4C"/>
    <w:rsid w:val="00E30E3B"/>
    <w:rsid w:val="00E31A1D"/>
    <w:rsid w:val="00E321DB"/>
    <w:rsid w:val="00E325C0"/>
    <w:rsid w:val="00E32703"/>
    <w:rsid w:val="00E32CBD"/>
    <w:rsid w:val="00E3354C"/>
    <w:rsid w:val="00E33FAE"/>
    <w:rsid w:val="00E3482E"/>
    <w:rsid w:val="00E34A14"/>
    <w:rsid w:val="00E3546A"/>
    <w:rsid w:val="00E35A7E"/>
    <w:rsid w:val="00E35C00"/>
    <w:rsid w:val="00E36CE2"/>
    <w:rsid w:val="00E37454"/>
    <w:rsid w:val="00E40539"/>
    <w:rsid w:val="00E4079A"/>
    <w:rsid w:val="00E40D04"/>
    <w:rsid w:val="00E42717"/>
    <w:rsid w:val="00E42DAE"/>
    <w:rsid w:val="00E42DFB"/>
    <w:rsid w:val="00E430FB"/>
    <w:rsid w:val="00E43233"/>
    <w:rsid w:val="00E43754"/>
    <w:rsid w:val="00E43C13"/>
    <w:rsid w:val="00E44229"/>
    <w:rsid w:val="00E4479F"/>
    <w:rsid w:val="00E448F3"/>
    <w:rsid w:val="00E4502E"/>
    <w:rsid w:val="00E452C7"/>
    <w:rsid w:val="00E460E6"/>
    <w:rsid w:val="00E463FD"/>
    <w:rsid w:val="00E467F6"/>
    <w:rsid w:val="00E4712E"/>
    <w:rsid w:val="00E47228"/>
    <w:rsid w:val="00E47254"/>
    <w:rsid w:val="00E474EE"/>
    <w:rsid w:val="00E477AE"/>
    <w:rsid w:val="00E479F4"/>
    <w:rsid w:val="00E50466"/>
    <w:rsid w:val="00E50F3E"/>
    <w:rsid w:val="00E5213E"/>
    <w:rsid w:val="00E526B0"/>
    <w:rsid w:val="00E52926"/>
    <w:rsid w:val="00E5294A"/>
    <w:rsid w:val="00E52B47"/>
    <w:rsid w:val="00E52DDE"/>
    <w:rsid w:val="00E53583"/>
    <w:rsid w:val="00E53C79"/>
    <w:rsid w:val="00E54EC8"/>
    <w:rsid w:val="00E552B4"/>
    <w:rsid w:val="00E5546C"/>
    <w:rsid w:val="00E558F5"/>
    <w:rsid w:val="00E55995"/>
    <w:rsid w:val="00E55DA2"/>
    <w:rsid w:val="00E56DA9"/>
    <w:rsid w:val="00E5750E"/>
    <w:rsid w:val="00E6089B"/>
    <w:rsid w:val="00E60C7E"/>
    <w:rsid w:val="00E61263"/>
    <w:rsid w:val="00E61730"/>
    <w:rsid w:val="00E62685"/>
    <w:rsid w:val="00E63410"/>
    <w:rsid w:val="00E637B1"/>
    <w:rsid w:val="00E638A2"/>
    <w:rsid w:val="00E63C39"/>
    <w:rsid w:val="00E63FD2"/>
    <w:rsid w:val="00E6470A"/>
    <w:rsid w:val="00E64955"/>
    <w:rsid w:val="00E64FAD"/>
    <w:rsid w:val="00E6591E"/>
    <w:rsid w:val="00E65A63"/>
    <w:rsid w:val="00E66234"/>
    <w:rsid w:val="00E6658C"/>
    <w:rsid w:val="00E67E5E"/>
    <w:rsid w:val="00E70553"/>
    <w:rsid w:val="00E7204E"/>
    <w:rsid w:val="00E72871"/>
    <w:rsid w:val="00E72E6E"/>
    <w:rsid w:val="00E73426"/>
    <w:rsid w:val="00E74370"/>
    <w:rsid w:val="00E74E3E"/>
    <w:rsid w:val="00E7527B"/>
    <w:rsid w:val="00E75908"/>
    <w:rsid w:val="00E76514"/>
    <w:rsid w:val="00E76AF7"/>
    <w:rsid w:val="00E76EF6"/>
    <w:rsid w:val="00E772BC"/>
    <w:rsid w:val="00E77B97"/>
    <w:rsid w:val="00E80616"/>
    <w:rsid w:val="00E807DD"/>
    <w:rsid w:val="00E811FA"/>
    <w:rsid w:val="00E82AE9"/>
    <w:rsid w:val="00E82DFC"/>
    <w:rsid w:val="00E83043"/>
    <w:rsid w:val="00E83A96"/>
    <w:rsid w:val="00E849EE"/>
    <w:rsid w:val="00E84A58"/>
    <w:rsid w:val="00E84C7F"/>
    <w:rsid w:val="00E85418"/>
    <w:rsid w:val="00E858CB"/>
    <w:rsid w:val="00E860E0"/>
    <w:rsid w:val="00E8628A"/>
    <w:rsid w:val="00E8676A"/>
    <w:rsid w:val="00E86812"/>
    <w:rsid w:val="00E8777E"/>
    <w:rsid w:val="00E90229"/>
    <w:rsid w:val="00E90DBF"/>
    <w:rsid w:val="00E91590"/>
    <w:rsid w:val="00E916AA"/>
    <w:rsid w:val="00E9176C"/>
    <w:rsid w:val="00E924A8"/>
    <w:rsid w:val="00E92677"/>
    <w:rsid w:val="00E92E28"/>
    <w:rsid w:val="00E92F8B"/>
    <w:rsid w:val="00E93298"/>
    <w:rsid w:val="00E94524"/>
    <w:rsid w:val="00E9457B"/>
    <w:rsid w:val="00E9462D"/>
    <w:rsid w:val="00E94E06"/>
    <w:rsid w:val="00E9629C"/>
    <w:rsid w:val="00E9630D"/>
    <w:rsid w:val="00E96B47"/>
    <w:rsid w:val="00E97150"/>
    <w:rsid w:val="00E97725"/>
    <w:rsid w:val="00E97AC6"/>
    <w:rsid w:val="00E97F24"/>
    <w:rsid w:val="00EA047E"/>
    <w:rsid w:val="00EA0721"/>
    <w:rsid w:val="00EA08C1"/>
    <w:rsid w:val="00EA0A48"/>
    <w:rsid w:val="00EA1597"/>
    <w:rsid w:val="00EA1BD2"/>
    <w:rsid w:val="00EA1C5A"/>
    <w:rsid w:val="00EA2475"/>
    <w:rsid w:val="00EA2BE6"/>
    <w:rsid w:val="00EA35B0"/>
    <w:rsid w:val="00EA3CE7"/>
    <w:rsid w:val="00EA3FBB"/>
    <w:rsid w:val="00EA4138"/>
    <w:rsid w:val="00EA4146"/>
    <w:rsid w:val="00EA4507"/>
    <w:rsid w:val="00EA48C1"/>
    <w:rsid w:val="00EA492E"/>
    <w:rsid w:val="00EA4E87"/>
    <w:rsid w:val="00EA4F00"/>
    <w:rsid w:val="00EA4F5A"/>
    <w:rsid w:val="00EA5498"/>
    <w:rsid w:val="00EA55B2"/>
    <w:rsid w:val="00EA6274"/>
    <w:rsid w:val="00EA64BA"/>
    <w:rsid w:val="00EA6781"/>
    <w:rsid w:val="00EA6C21"/>
    <w:rsid w:val="00EA72D8"/>
    <w:rsid w:val="00EA7ED3"/>
    <w:rsid w:val="00EB0CFA"/>
    <w:rsid w:val="00EB0F6A"/>
    <w:rsid w:val="00EB0FF2"/>
    <w:rsid w:val="00EB17B3"/>
    <w:rsid w:val="00EB28CC"/>
    <w:rsid w:val="00EB2C91"/>
    <w:rsid w:val="00EB362C"/>
    <w:rsid w:val="00EB3EA5"/>
    <w:rsid w:val="00EB4099"/>
    <w:rsid w:val="00EB51DA"/>
    <w:rsid w:val="00EB54E2"/>
    <w:rsid w:val="00EB5F2C"/>
    <w:rsid w:val="00EB67AD"/>
    <w:rsid w:val="00EB74D5"/>
    <w:rsid w:val="00EB76B9"/>
    <w:rsid w:val="00EB7F8D"/>
    <w:rsid w:val="00EC111F"/>
    <w:rsid w:val="00EC161E"/>
    <w:rsid w:val="00EC22FF"/>
    <w:rsid w:val="00EC248E"/>
    <w:rsid w:val="00EC2987"/>
    <w:rsid w:val="00EC2E79"/>
    <w:rsid w:val="00EC3432"/>
    <w:rsid w:val="00EC3ACD"/>
    <w:rsid w:val="00EC426F"/>
    <w:rsid w:val="00EC4274"/>
    <w:rsid w:val="00EC43C0"/>
    <w:rsid w:val="00EC5690"/>
    <w:rsid w:val="00EC5E62"/>
    <w:rsid w:val="00EC7239"/>
    <w:rsid w:val="00EC7885"/>
    <w:rsid w:val="00ED0074"/>
    <w:rsid w:val="00ED02CE"/>
    <w:rsid w:val="00ED0545"/>
    <w:rsid w:val="00ED12A7"/>
    <w:rsid w:val="00ED1747"/>
    <w:rsid w:val="00ED21BC"/>
    <w:rsid w:val="00ED2B23"/>
    <w:rsid w:val="00ED307E"/>
    <w:rsid w:val="00ED468B"/>
    <w:rsid w:val="00ED4A51"/>
    <w:rsid w:val="00ED4A6B"/>
    <w:rsid w:val="00ED4D45"/>
    <w:rsid w:val="00ED533A"/>
    <w:rsid w:val="00ED59B1"/>
    <w:rsid w:val="00ED631A"/>
    <w:rsid w:val="00ED6DAA"/>
    <w:rsid w:val="00ED6F54"/>
    <w:rsid w:val="00ED73B6"/>
    <w:rsid w:val="00ED789E"/>
    <w:rsid w:val="00ED7ED9"/>
    <w:rsid w:val="00EE080C"/>
    <w:rsid w:val="00EE09B6"/>
    <w:rsid w:val="00EE0B66"/>
    <w:rsid w:val="00EE0F0A"/>
    <w:rsid w:val="00EE0F1C"/>
    <w:rsid w:val="00EE202E"/>
    <w:rsid w:val="00EE20F6"/>
    <w:rsid w:val="00EE26DD"/>
    <w:rsid w:val="00EE2AA3"/>
    <w:rsid w:val="00EE304C"/>
    <w:rsid w:val="00EE3157"/>
    <w:rsid w:val="00EE336A"/>
    <w:rsid w:val="00EE35CB"/>
    <w:rsid w:val="00EE4B0F"/>
    <w:rsid w:val="00EE4B9D"/>
    <w:rsid w:val="00EE6607"/>
    <w:rsid w:val="00EE67F1"/>
    <w:rsid w:val="00EF0172"/>
    <w:rsid w:val="00EF032C"/>
    <w:rsid w:val="00EF0573"/>
    <w:rsid w:val="00EF0E1F"/>
    <w:rsid w:val="00EF19C8"/>
    <w:rsid w:val="00EF1B64"/>
    <w:rsid w:val="00EF3920"/>
    <w:rsid w:val="00EF3E50"/>
    <w:rsid w:val="00EF3ED8"/>
    <w:rsid w:val="00EF4F64"/>
    <w:rsid w:val="00EF573E"/>
    <w:rsid w:val="00EF621D"/>
    <w:rsid w:val="00EF64ED"/>
    <w:rsid w:val="00EF75FE"/>
    <w:rsid w:val="00F001F3"/>
    <w:rsid w:val="00F00A81"/>
    <w:rsid w:val="00F011DF"/>
    <w:rsid w:val="00F01A4F"/>
    <w:rsid w:val="00F02054"/>
    <w:rsid w:val="00F023F3"/>
    <w:rsid w:val="00F024F5"/>
    <w:rsid w:val="00F02527"/>
    <w:rsid w:val="00F0398A"/>
    <w:rsid w:val="00F039F6"/>
    <w:rsid w:val="00F03C02"/>
    <w:rsid w:val="00F03DC6"/>
    <w:rsid w:val="00F04786"/>
    <w:rsid w:val="00F04957"/>
    <w:rsid w:val="00F05572"/>
    <w:rsid w:val="00F05CE3"/>
    <w:rsid w:val="00F06C0C"/>
    <w:rsid w:val="00F07B6A"/>
    <w:rsid w:val="00F07E85"/>
    <w:rsid w:val="00F100E8"/>
    <w:rsid w:val="00F10DEF"/>
    <w:rsid w:val="00F12489"/>
    <w:rsid w:val="00F12A19"/>
    <w:rsid w:val="00F133D5"/>
    <w:rsid w:val="00F13679"/>
    <w:rsid w:val="00F15E90"/>
    <w:rsid w:val="00F16467"/>
    <w:rsid w:val="00F16DA2"/>
    <w:rsid w:val="00F16F43"/>
    <w:rsid w:val="00F17F8A"/>
    <w:rsid w:val="00F21944"/>
    <w:rsid w:val="00F21BF9"/>
    <w:rsid w:val="00F22D1E"/>
    <w:rsid w:val="00F2368B"/>
    <w:rsid w:val="00F239B7"/>
    <w:rsid w:val="00F2415F"/>
    <w:rsid w:val="00F25257"/>
    <w:rsid w:val="00F2531C"/>
    <w:rsid w:val="00F25870"/>
    <w:rsid w:val="00F25B80"/>
    <w:rsid w:val="00F25FE4"/>
    <w:rsid w:val="00F260DB"/>
    <w:rsid w:val="00F2610A"/>
    <w:rsid w:val="00F26A01"/>
    <w:rsid w:val="00F26ECC"/>
    <w:rsid w:val="00F2784C"/>
    <w:rsid w:val="00F27898"/>
    <w:rsid w:val="00F27C33"/>
    <w:rsid w:val="00F30BEC"/>
    <w:rsid w:val="00F3119E"/>
    <w:rsid w:val="00F314B7"/>
    <w:rsid w:val="00F315EC"/>
    <w:rsid w:val="00F318D5"/>
    <w:rsid w:val="00F31A08"/>
    <w:rsid w:val="00F32950"/>
    <w:rsid w:val="00F329CA"/>
    <w:rsid w:val="00F32B63"/>
    <w:rsid w:val="00F337C6"/>
    <w:rsid w:val="00F33A7F"/>
    <w:rsid w:val="00F3443A"/>
    <w:rsid w:val="00F344CB"/>
    <w:rsid w:val="00F375FD"/>
    <w:rsid w:val="00F37D42"/>
    <w:rsid w:val="00F37E56"/>
    <w:rsid w:val="00F4033C"/>
    <w:rsid w:val="00F40601"/>
    <w:rsid w:val="00F41189"/>
    <w:rsid w:val="00F41BCB"/>
    <w:rsid w:val="00F42395"/>
    <w:rsid w:val="00F42675"/>
    <w:rsid w:val="00F42AC3"/>
    <w:rsid w:val="00F4310E"/>
    <w:rsid w:val="00F43860"/>
    <w:rsid w:val="00F43F65"/>
    <w:rsid w:val="00F448D5"/>
    <w:rsid w:val="00F44E1C"/>
    <w:rsid w:val="00F45235"/>
    <w:rsid w:val="00F4527B"/>
    <w:rsid w:val="00F4559F"/>
    <w:rsid w:val="00F456F1"/>
    <w:rsid w:val="00F4590D"/>
    <w:rsid w:val="00F45C70"/>
    <w:rsid w:val="00F46B26"/>
    <w:rsid w:val="00F50073"/>
    <w:rsid w:val="00F50363"/>
    <w:rsid w:val="00F50750"/>
    <w:rsid w:val="00F5117C"/>
    <w:rsid w:val="00F51242"/>
    <w:rsid w:val="00F512DB"/>
    <w:rsid w:val="00F5233B"/>
    <w:rsid w:val="00F52B66"/>
    <w:rsid w:val="00F52F19"/>
    <w:rsid w:val="00F5376D"/>
    <w:rsid w:val="00F53E37"/>
    <w:rsid w:val="00F55D09"/>
    <w:rsid w:val="00F567C4"/>
    <w:rsid w:val="00F60223"/>
    <w:rsid w:val="00F60494"/>
    <w:rsid w:val="00F60675"/>
    <w:rsid w:val="00F60F96"/>
    <w:rsid w:val="00F613D1"/>
    <w:rsid w:val="00F61689"/>
    <w:rsid w:val="00F61A4D"/>
    <w:rsid w:val="00F61BBA"/>
    <w:rsid w:val="00F62231"/>
    <w:rsid w:val="00F62947"/>
    <w:rsid w:val="00F62C03"/>
    <w:rsid w:val="00F62CB2"/>
    <w:rsid w:val="00F63504"/>
    <w:rsid w:val="00F6395F"/>
    <w:rsid w:val="00F63AF2"/>
    <w:rsid w:val="00F63B53"/>
    <w:rsid w:val="00F63C33"/>
    <w:rsid w:val="00F63F90"/>
    <w:rsid w:val="00F64336"/>
    <w:rsid w:val="00F646C3"/>
    <w:rsid w:val="00F64DB0"/>
    <w:rsid w:val="00F653B4"/>
    <w:rsid w:val="00F660E8"/>
    <w:rsid w:val="00F664D3"/>
    <w:rsid w:val="00F67A51"/>
    <w:rsid w:val="00F70125"/>
    <w:rsid w:val="00F70C77"/>
    <w:rsid w:val="00F718F7"/>
    <w:rsid w:val="00F723DA"/>
    <w:rsid w:val="00F726DD"/>
    <w:rsid w:val="00F74070"/>
    <w:rsid w:val="00F74173"/>
    <w:rsid w:val="00F7433E"/>
    <w:rsid w:val="00F7447B"/>
    <w:rsid w:val="00F748B2"/>
    <w:rsid w:val="00F74D1D"/>
    <w:rsid w:val="00F74F41"/>
    <w:rsid w:val="00F76417"/>
    <w:rsid w:val="00F76EB8"/>
    <w:rsid w:val="00F77C96"/>
    <w:rsid w:val="00F77D01"/>
    <w:rsid w:val="00F803E0"/>
    <w:rsid w:val="00F805DA"/>
    <w:rsid w:val="00F81198"/>
    <w:rsid w:val="00F8143D"/>
    <w:rsid w:val="00F81A3B"/>
    <w:rsid w:val="00F81A92"/>
    <w:rsid w:val="00F823A4"/>
    <w:rsid w:val="00F8322E"/>
    <w:rsid w:val="00F83984"/>
    <w:rsid w:val="00F83F28"/>
    <w:rsid w:val="00F84355"/>
    <w:rsid w:val="00F84BDA"/>
    <w:rsid w:val="00F85293"/>
    <w:rsid w:val="00F855E9"/>
    <w:rsid w:val="00F8560F"/>
    <w:rsid w:val="00F85DC9"/>
    <w:rsid w:val="00F85ECF"/>
    <w:rsid w:val="00F86EC0"/>
    <w:rsid w:val="00F86FC7"/>
    <w:rsid w:val="00F87281"/>
    <w:rsid w:val="00F87EE4"/>
    <w:rsid w:val="00F9053C"/>
    <w:rsid w:val="00F90978"/>
    <w:rsid w:val="00F90F18"/>
    <w:rsid w:val="00F90F60"/>
    <w:rsid w:val="00F91A7A"/>
    <w:rsid w:val="00F92067"/>
    <w:rsid w:val="00F921C4"/>
    <w:rsid w:val="00F921EB"/>
    <w:rsid w:val="00F92876"/>
    <w:rsid w:val="00F9319D"/>
    <w:rsid w:val="00F93BB5"/>
    <w:rsid w:val="00F944CC"/>
    <w:rsid w:val="00F9451B"/>
    <w:rsid w:val="00F94549"/>
    <w:rsid w:val="00F94A75"/>
    <w:rsid w:val="00F94B9F"/>
    <w:rsid w:val="00F95062"/>
    <w:rsid w:val="00F95E10"/>
    <w:rsid w:val="00F9647E"/>
    <w:rsid w:val="00F96C6C"/>
    <w:rsid w:val="00F96CAB"/>
    <w:rsid w:val="00F97490"/>
    <w:rsid w:val="00F975A0"/>
    <w:rsid w:val="00FA00CC"/>
    <w:rsid w:val="00FA01D9"/>
    <w:rsid w:val="00FA1023"/>
    <w:rsid w:val="00FA11D7"/>
    <w:rsid w:val="00FA137F"/>
    <w:rsid w:val="00FA2235"/>
    <w:rsid w:val="00FA3D81"/>
    <w:rsid w:val="00FA416A"/>
    <w:rsid w:val="00FA45EA"/>
    <w:rsid w:val="00FA4C50"/>
    <w:rsid w:val="00FA5548"/>
    <w:rsid w:val="00FA5C49"/>
    <w:rsid w:val="00FA5EFF"/>
    <w:rsid w:val="00FA6665"/>
    <w:rsid w:val="00FA6A2B"/>
    <w:rsid w:val="00FA6A2F"/>
    <w:rsid w:val="00FA6A4B"/>
    <w:rsid w:val="00FA79BA"/>
    <w:rsid w:val="00FA7BE1"/>
    <w:rsid w:val="00FB003C"/>
    <w:rsid w:val="00FB0321"/>
    <w:rsid w:val="00FB06BE"/>
    <w:rsid w:val="00FB0811"/>
    <w:rsid w:val="00FB12C7"/>
    <w:rsid w:val="00FB1416"/>
    <w:rsid w:val="00FB2377"/>
    <w:rsid w:val="00FB27A8"/>
    <w:rsid w:val="00FB2A58"/>
    <w:rsid w:val="00FB3B50"/>
    <w:rsid w:val="00FB457B"/>
    <w:rsid w:val="00FB59EE"/>
    <w:rsid w:val="00FB648C"/>
    <w:rsid w:val="00FB66EA"/>
    <w:rsid w:val="00FB69ED"/>
    <w:rsid w:val="00FB76BB"/>
    <w:rsid w:val="00FB7FB0"/>
    <w:rsid w:val="00FC1DFE"/>
    <w:rsid w:val="00FC254A"/>
    <w:rsid w:val="00FC266F"/>
    <w:rsid w:val="00FC2BA5"/>
    <w:rsid w:val="00FC35C3"/>
    <w:rsid w:val="00FC38D0"/>
    <w:rsid w:val="00FC5688"/>
    <w:rsid w:val="00FC5C7D"/>
    <w:rsid w:val="00FC6F40"/>
    <w:rsid w:val="00FC707D"/>
    <w:rsid w:val="00FC7AC1"/>
    <w:rsid w:val="00FC7C02"/>
    <w:rsid w:val="00FD0064"/>
    <w:rsid w:val="00FD09DF"/>
    <w:rsid w:val="00FD0A06"/>
    <w:rsid w:val="00FD0F8D"/>
    <w:rsid w:val="00FD2363"/>
    <w:rsid w:val="00FD24D2"/>
    <w:rsid w:val="00FD2B06"/>
    <w:rsid w:val="00FD47E0"/>
    <w:rsid w:val="00FD5980"/>
    <w:rsid w:val="00FD5C95"/>
    <w:rsid w:val="00FD7123"/>
    <w:rsid w:val="00FD7235"/>
    <w:rsid w:val="00FD7885"/>
    <w:rsid w:val="00FE02FA"/>
    <w:rsid w:val="00FE0556"/>
    <w:rsid w:val="00FE0AF4"/>
    <w:rsid w:val="00FE175C"/>
    <w:rsid w:val="00FE1FA5"/>
    <w:rsid w:val="00FE25D7"/>
    <w:rsid w:val="00FE400E"/>
    <w:rsid w:val="00FE4841"/>
    <w:rsid w:val="00FE5054"/>
    <w:rsid w:val="00FE534C"/>
    <w:rsid w:val="00FE5E3F"/>
    <w:rsid w:val="00FE6DD8"/>
    <w:rsid w:val="00FE78DA"/>
    <w:rsid w:val="00FF0251"/>
    <w:rsid w:val="00FF0B68"/>
    <w:rsid w:val="00FF1DAB"/>
    <w:rsid w:val="00FF2425"/>
    <w:rsid w:val="00FF26D1"/>
    <w:rsid w:val="00FF335E"/>
    <w:rsid w:val="00FF37F7"/>
    <w:rsid w:val="00FF40F6"/>
    <w:rsid w:val="00FF4F82"/>
    <w:rsid w:val="00FF50B1"/>
    <w:rsid w:val="00FF63C8"/>
    <w:rsid w:val="00FF6C64"/>
    <w:rsid w:val="00FF7770"/>
    <w:rsid w:val="00FF794B"/>
    <w:rsid w:val="00FF7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DE4"/>
    <w:rPr>
      <w:sz w:val="24"/>
      <w:szCs w:val="24"/>
      <w:lang w:val="es-ES_tradnl"/>
    </w:rPr>
  </w:style>
  <w:style w:type="paragraph" w:styleId="Ttulo1">
    <w:name w:val="heading 1"/>
    <w:aliases w:val="MEMORIA TIT 1"/>
    <w:basedOn w:val="Normal"/>
    <w:next w:val="Textoindependiente"/>
    <w:link w:val="Ttulo1Car"/>
    <w:qFormat/>
    <w:pPr>
      <w:keepNext/>
      <w:keepLines/>
      <w:tabs>
        <w:tab w:val="num" w:pos="432"/>
      </w:tabs>
      <w:spacing w:before="240" w:after="120"/>
      <w:ind w:left="432" w:hanging="432"/>
      <w:outlineLvl w:val="0"/>
    </w:pPr>
    <w:rPr>
      <w:b/>
      <w:caps/>
      <w:color w:val="0000FF"/>
      <w:szCs w:val="20"/>
      <w:lang w:val="es-ES"/>
    </w:rPr>
  </w:style>
  <w:style w:type="paragraph" w:styleId="Ttulo2">
    <w:name w:val="heading 2"/>
    <w:basedOn w:val="Normal"/>
    <w:next w:val="Textoindependiente"/>
    <w:link w:val="Ttulo2Car"/>
    <w:qFormat/>
    <w:pPr>
      <w:keepNext/>
      <w:keepLines/>
      <w:numPr>
        <w:ilvl w:val="1"/>
        <w:numId w:val="1"/>
      </w:numPr>
      <w:spacing w:before="120" w:after="120"/>
      <w:outlineLvl w:val="1"/>
    </w:pPr>
    <w:rPr>
      <w:b/>
      <w:color w:val="0000FF"/>
      <w:lang w:val="es-ES"/>
    </w:rPr>
  </w:style>
  <w:style w:type="paragraph" w:styleId="Ttulo3">
    <w:name w:val="heading 3"/>
    <w:basedOn w:val="Normal"/>
    <w:next w:val="Textoindependiente"/>
    <w:link w:val="Ttulo3Car"/>
    <w:qFormat/>
    <w:pPr>
      <w:keepNext/>
      <w:keepLines/>
      <w:tabs>
        <w:tab w:val="num" w:pos="720"/>
      </w:tabs>
      <w:spacing w:before="120" w:after="60"/>
      <w:ind w:left="720" w:hanging="720"/>
      <w:outlineLvl w:val="2"/>
    </w:pPr>
    <w:rPr>
      <w:rFonts w:cs="Arial"/>
      <w:bCs/>
      <w:i/>
      <w:caps/>
      <w:color w:val="0000FF"/>
      <w:sz w:val="20"/>
      <w:szCs w:val="26"/>
      <w:lang w:val="es-ES"/>
    </w:rPr>
  </w:style>
  <w:style w:type="paragraph" w:styleId="Ttulo4">
    <w:name w:val="heading 4"/>
    <w:basedOn w:val="Normal"/>
    <w:next w:val="Textoindependiente"/>
    <w:link w:val="Ttulo4Car"/>
    <w:qFormat/>
    <w:pPr>
      <w:keepNext/>
      <w:keepLines/>
      <w:tabs>
        <w:tab w:val="num" w:pos="864"/>
      </w:tabs>
      <w:spacing w:before="120" w:after="60"/>
      <w:ind w:left="864" w:hanging="864"/>
      <w:outlineLvl w:val="3"/>
    </w:pPr>
    <w:rPr>
      <w:bCs/>
      <w:i/>
      <w:color w:val="0000FF"/>
      <w:sz w:val="20"/>
      <w:szCs w:val="28"/>
      <w:lang w:val="es-ES"/>
    </w:rPr>
  </w:style>
  <w:style w:type="paragraph" w:styleId="Ttulo5">
    <w:name w:val="heading 5"/>
    <w:basedOn w:val="Normal"/>
    <w:next w:val="Textoindependiente"/>
    <w:link w:val="Ttulo5Car"/>
    <w:qFormat/>
    <w:pPr>
      <w:keepNext/>
      <w:keepLines/>
      <w:tabs>
        <w:tab w:val="num" w:pos="1008"/>
      </w:tabs>
      <w:spacing w:before="120" w:after="60"/>
      <w:ind w:left="1008" w:hanging="1008"/>
      <w:outlineLvl w:val="4"/>
    </w:pPr>
    <w:rPr>
      <w:bCs/>
      <w:i/>
      <w:color w:val="0000FF"/>
      <w:sz w:val="20"/>
      <w:szCs w:val="26"/>
      <w:lang w:val="es-ES"/>
    </w:rPr>
  </w:style>
  <w:style w:type="paragraph" w:styleId="Ttulo6">
    <w:name w:val="heading 6"/>
    <w:basedOn w:val="Normal"/>
    <w:next w:val="Textoindependiente"/>
    <w:link w:val="Ttulo6Car"/>
    <w:qFormat/>
    <w:pPr>
      <w:keepNext/>
      <w:keepLines/>
      <w:tabs>
        <w:tab w:val="num" w:pos="1152"/>
      </w:tabs>
      <w:spacing w:before="120" w:after="60"/>
      <w:ind w:left="1152" w:hanging="1152"/>
      <w:outlineLvl w:val="5"/>
    </w:pPr>
    <w:rPr>
      <w:bCs/>
      <w:i/>
      <w:color w:val="0000FF"/>
      <w:sz w:val="20"/>
      <w:szCs w:val="22"/>
      <w:lang w:val="es-ES"/>
    </w:rPr>
  </w:style>
  <w:style w:type="paragraph" w:styleId="Ttulo7">
    <w:name w:val="heading 7"/>
    <w:basedOn w:val="Normal"/>
    <w:next w:val="Textoindependiente"/>
    <w:link w:val="Ttulo7Car"/>
    <w:qFormat/>
    <w:pPr>
      <w:keepNext/>
      <w:keepLines/>
      <w:tabs>
        <w:tab w:val="num" w:pos="1296"/>
      </w:tabs>
      <w:spacing w:before="120" w:after="60"/>
      <w:ind w:left="1296" w:hanging="1296"/>
      <w:outlineLvl w:val="6"/>
    </w:pPr>
    <w:rPr>
      <w:i/>
      <w:color w:val="0000FF"/>
      <w:sz w:val="20"/>
      <w:lang w:val="es-ES"/>
    </w:rPr>
  </w:style>
  <w:style w:type="paragraph" w:styleId="Ttulo8">
    <w:name w:val="heading 8"/>
    <w:basedOn w:val="Normal"/>
    <w:next w:val="Textoindependiente"/>
    <w:link w:val="Ttulo8Car"/>
    <w:qFormat/>
    <w:pPr>
      <w:keepNext/>
      <w:keepLines/>
      <w:tabs>
        <w:tab w:val="num" w:pos="1440"/>
      </w:tabs>
      <w:spacing w:before="120" w:after="60"/>
      <w:ind w:left="1440" w:hanging="1440"/>
      <w:outlineLvl w:val="7"/>
    </w:pPr>
    <w:rPr>
      <w:i/>
      <w:iCs/>
      <w:color w:val="0000FF"/>
      <w:sz w:val="20"/>
      <w:lang w:val="es-ES"/>
    </w:rPr>
  </w:style>
  <w:style w:type="paragraph" w:styleId="Ttulo9">
    <w:name w:val="heading 9"/>
    <w:basedOn w:val="Normal"/>
    <w:next w:val="Textoindependiente"/>
    <w:link w:val="Ttulo9Car"/>
    <w:qFormat/>
    <w:pPr>
      <w:keepNext/>
      <w:keepLines/>
      <w:tabs>
        <w:tab w:val="num" w:pos="1584"/>
      </w:tabs>
      <w:spacing w:before="120" w:after="60"/>
      <w:ind w:left="1584" w:hanging="1584"/>
      <w:outlineLvl w:val="8"/>
    </w:pPr>
    <w:rPr>
      <w:rFonts w:cs="Arial"/>
      <w:i/>
      <w:color w:val="0000FF"/>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lang w:val="es-ES"/>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tulo0">
    <w:name w:val="Título 0"/>
    <w:basedOn w:val="Normal"/>
    <w:next w:val="Textoindependiente"/>
    <w:pPr>
      <w:keepNext/>
      <w:keepLines/>
      <w:spacing w:before="240" w:after="240"/>
      <w:jc w:val="center"/>
      <w:outlineLvl w:val="0"/>
    </w:pPr>
    <w:rPr>
      <w:b/>
      <w:iCs/>
      <w:caps/>
      <w:color w:val="0000FF"/>
      <w:sz w:val="28"/>
      <w:szCs w:val="20"/>
      <w:lang w:val="es-ES"/>
    </w:rPr>
  </w:style>
  <w:style w:type="paragraph" w:styleId="Textoindependiente3">
    <w:name w:val="Body Text 3"/>
    <w:basedOn w:val="Normal"/>
    <w:link w:val="Textoindependiente3Car"/>
    <w:pPr>
      <w:jc w:val="both"/>
    </w:pPr>
    <w:rPr>
      <w:rFonts w:ascii="Arial" w:hAnsi="Arial"/>
      <w:spacing w:val="-3"/>
      <w:szCs w:val="20"/>
      <w:lang w:val="es-ES"/>
    </w:rPr>
  </w:style>
  <w:style w:type="paragraph" w:styleId="Textoindependiente2">
    <w:name w:val="Body Text 2"/>
    <w:basedOn w:val="Normal"/>
    <w:link w:val="Textoindependiente2Car"/>
    <w:pPr>
      <w:jc w:val="center"/>
    </w:pPr>
    <w:rPr>
      <w:b/>
      <w:bCs/>
      <w:color w:val="0000FF"/>
      <w:lang w:val="es-ES"/>
    </w:rPr>
  </w:style>
  <w:style w:type="paragraph" w:styleId="Textonotapie">
    <w:name w:val="footnote text"/>
    <w:basedOn w:val="Normal"/>
    <w:link w:val="TextonotapieCar"/>
    <w:semiHidden/>
    <w:rPr>
      <w:sz w:val="20"/>
      <w:szCs w:val="20"/>
    </w:rPr>
  </w:style>
  <w:style w:type="character" w:styleId="Refdenotaalpie">
    <w:name w:val="footnote reference"/>
    <w:semiHidden/>
    <w:rPr>
      <w:vertAlign w:val="superscript"/>
    </w:rPr>
  </w:style>
  <w:style w:type="character" w:styleId="Refdecomentario">
    <w:name w:val="annotation reference"/>
    <w:semiHidden/>
    <w:rsid w:val="00B60675"/>
    <w:rPr>
      <w:sz w:val="16"/>
      <w:szCs w:val="16"/>
    </w:rPr>
  </w:style>
  <w:style w:type="character" w:styleId="Textoennegrita">
    <w:name w:val="Strong"/>
    <w:uiPriority w:val="22"/>
    <w:qFormat/>
    <w:rsid w:val="00387A4C"/>
    <w:rPr>
      <w:b/>
      <w:bCs/>
    </w:rPr>
  </w:style>
  <w:style w:type="paragraph" w:styleId="NormalWeb">
    <w:name w:val="Normal (Web)"/>
    <w:basedOn w:val="Normal"/>
    <w:uiPriority w:val="99"/>
    <w:unhideWhenUsed/>
    <w:rsid w:val="00245259"/>
    <w:pPr>
      <w:spacing w:before="100" w:beforeAutospacing="1" w:after="100" w:afterAutospacing="1"/>
    </w:pPr>
    <w:rPr>
      <w:lang w:val="es-ES"/>
    </w:rPr>
  </w:style>
  <w:style w:type="paragraph" w:styleId="Textodeglobo">
    <w:name w:val="Balloon Text"/>
    <w:basedOn w:val="Normal"/>
    <w:link w:val="TextodegloboCar"/>
    <w:rsid w:val="00ED4D45"/>
    <w:rPr>
      <w:rFonts w:ascii="Tahoma" w:hAnsi="Tahoma" w:cs="Tahoma"/>
      <w:sz w:val="16"/>
      <w:szCs w:val="16"/>
    </w:rPr>
  </w:style>
  <w:style w:type="character" w:customStyle="1" w:styleId="TextodegloboCar">
    <w:name w:val="Texto de globo Car"/>
    <w:link w:val="Textodeglobo"/>
    <w:rsid w:val="00ED4D45"/>
    <w:rPr>
      <w:rFonts w:ascii="Tahoma" w:hAnsi="Tahoma" w:cs="Tahoma"/>
      <w:sz w:val="16"/>
      <w:szCs w:val="16"/>
      <w:lang w:val="es-ES_tradnl"/>
    </w:rPr>
  </w:style>
  <w:style w:type="character" w:customStyle="1" w:styleId="salto-documento5">
    <w:name w:val="salto-documento5"/>
    <w:rsid w:val="008B53E1"/>
  </w:style>
  <w:style w:type="paragraph" w:styleId="Prrafodelista">
    <w:name w:val="List Paragraph"/>
    <w:basedOn w:val="Normal"/>
    <w:uiPriority w:val="34"/>
    <w:qFormat/>
    <w:rsid w:val="00055280"/>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rsid w:val="00466547"/>
    <w:pPr>
      <w:tabs>
        <w:tab w:val="center" w:pos="4252"/>
        <w:tab w:val="right" w:pos="8504"/>
      </w:tabs>
    </w:pPr>
  </w:style>
  <w:style w:type="character" w:customStyle="1" w:styleId="EncabezadoCar">
    <w:name w:val="Encabezado Car"/>
    <w:link w:val="Encabezado"/>
    <w:rsid w:val="00466547"/>
    <w:rPr>
      <w:sz w:val="24"/>
      <w:szCs w:val="24"/>
      <w:lang w:val="es-ES_tradnl"/>
    </w:rPr>
  </w:style>
  <w:style w:type="character" w:customStyle="1" w:styleId="TextoindependienteCar">
    <w:name w:val="Texto independiente Car"/>
    <w:basedOn w:val="Fuentedeprrafopredeter"/>
    <w:link w:val="Textoindependiente"/>
    <w:rsid w:val="00646094"/>
    <w:rPr>
      <w:rFonts w:ascii="Arial" w:hAnsi="Arial" w:cs="Arial"/>
      <w:sz w:val="24"/>
      <w:szCs w:val="24"/>
    </w:rPr>
  </w:style>
  <w:style w:type="table" w:styleId="Tablaconcuadrcula">
    <w:name w:val="Table Grid"/>
    <w:basedOn w:val="Tablanormal"/>
    <w:uiPriority w:val="59"/>
    <w:rsid w:val="00AE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MEMORIA TIT 1 Car"/>
    <w:basedOn w:val="Fuentedeprrafopredeter"/>
    <w:link w:val="Ttulo1"/>
    <w:rsid w:val="00433902"/>
    <w:rPr>
      <w:b/>
      <w:caps/>
      <w:color w:val="0000FF"/>
      <w:sz w:val="24"/>
    </w:rPr>
  </w:style>
  <w:style w:type="character" w:customStyle="1" w:styleId="Ttulo2Car">
    <w:name w:val="Título 2 Car"/>
    <w:basedOn w:val="Fuentedeprrafopredeter"/>
    <w:link w:val="Ttulo2"/>
    <w:rsid w:val="00433902"/>
    <w:rPr>
      <w:b/>
      <w:color w:val="0000FF"/>
      <w:sz w:val="24"/>
      <w:szCs w:val="24"/>
    </w:rPr>
  </w:style>
  <w:style w:type="character" w:customStyle="1" w:styleId="Ttulo3Car">
    <w:name w:val="Título 3 Car"/>
    <w:basedOn w:val="Fuentedeprrafopredeter"/>
    <w:link w:val="Ttulo3"/>
    <w:rsid w:val="00433902"/>
    <w:rPr>
      <w:rFonts w:cs="Arial"/>
      <w:bCs/>
      <w:i/>
      <w:caps/>
      <w:color w:val="0000FF"/>
      <w:szCs w:val="26"/>
    </w:rPr>
  </w:style>
  <w:style w:type="character" w:customStyle="1" w:styleId="Ttulo4Car">
    <w:name w:val="Título 4 Car"/>
    <w:basedOn w:val="Fuentedeprrafopredeter"/>
    <w:link w:val="Ttulo4"/>
    <w:rsid w:val="00433902"/>
    <w:rPr>
      <w:bCs/>
      <w:i/>
      <w:color w:val="0000FF"/>
      <w:szCs w:val="28"/>
    </w:rPr>
  </w:style>
  <w:style w:type="character" w:customStyle="1" w:styleId="Ttulo5Car">
    <w:name w:val="Título 5 Car"/>
    <w:basedOn w:val="Fuentedeprrafopredeter"/>
    <w:link w:val="Ttulo5"/>
    <w:rsid w:val="00433902"/>
    <w:rPr>
      <w:bCs/>
      <w:i/>
      <w:color w:val="0000FF"/>
      <w:szCs w:val="26"/>
    </w:rPr>
  </w:style>
  <w:style w:type="character" w:customStyle="1" w:styleId="Ttulo6Car">
    <w:name w:val="Título 6 Car"/>
    <w:basedOn w:val="Fuentedeprrafopredeter"/>
    <w:link w:val="Ttulo6"/>
    <w:rsid w:val="00433902"/>
    <w:rPr>
      <w:bCs/>
      <w:i/>
      <w:color w:val="0000FF"/>
      <w:szCs w:val="22"/>
    </w:rPr>
  </w:style>
  <w:style w:type="character" w:customStyle="1" w:styleId="Ttulo7Car">
    <w:name w:val="Título 7 Car"/>
    <w:basedOn w:val="Fuentedeprrafopredeter"/>
    <w:link w:val="Ttulo7"/>
    <w:rsid w:val="00433902"/>
    <w:rPr>
      <w:i/>
      <w:color w:val="0000FF"/>
      <w:szCs w:val="24"/>
    </w:rPr>
  </w:style>
  <w:style w:type="character" w:customStyle="1" w:styleId="Ttulo8Car">
    <w:name w:val="Título 8 Car"/>
    <w:basedOn w:val="Fuentedeprrafopredeter"/>
    <w:link w:val="Ttulo8"/>
    <w:rsid w:val="00433902"/>
    <w:rPr>
      <w:i/>
      <w:iCs/>
      <w:color w:val="0000FF"/>
      <w:szCs w:val="24"/>
    </w:rPr>
  </w:style>
  <w:style w:type="character" w:customStyle="1" w:styleId="Ttulo9Car">
    <w:name w:val="Título 9 Car"/>
    <w:basedOn w:val="Fuentedeprrafopredeter"/>
    <w:link w:val="Ttulo9"/>
    <w:rsid w:val="00433902"/>
    <w:rPr>
      <w:rFonts w:cs="Arial"/>
      <w:i/>
      <w:color w:val="0000FF"/>
      <w:szCs w:val="22"/>
    </w:rPr>
  </w:style>
  <w:style w:type="numbering" w:customStyle="1" w:styleId="Sinlista1">
    <w:name w:val="Sin lista1"/>
    <w:next w:val="Sinlista"/>
    <w:uiPriority w:val="99"/>
    <w:semiHidden/>
    <w:unhideWhenUsed/>
    <w:rsid w:val="00433902"/>
  </w:style>
  <w:style w:type="character" w:customStyle="1" w:styleId="PiedepginaCar">
    <w:name w:val="Pie de página Car"/>
    <w:basedOn w:val="Fuentedeprrafopredeter"/>
    <w:link w:val="Piedepgina"/>
    <w:rsid w:val="00433902"/>
    <w:rPr>
      <w:sz w:val="24"/>
      <w:szCs w:val="24"/>
      <w:lang w:val="es-ES_tradnl"/>
    </w:rPr>
  </w:style>
  <w:style w:type="character" w:customStyle="1" w:styleId="Textoindependiente3Car">
    <w:name w:val="Texto independiente 3 Car"/>
    <w:basedOn w:val="Fuentedeprrafopredeter"/>
    <w:link w:val="Textoindependiente3"/>
    <w:rsid w:val="00433902"/>
    <w:rPr>
      <w:rFonts w:ascii="Arial" w:hAnsi="Arial"/>
      <w:spacing w:val="-3"/>
      <w:sz w:val="24"/>
    </w:rPr>
  </w:style>
  <w:style w:type="character" w:customStyle="1" w:styleId="Textoindependiente2Car">
    <w:name w:val="Texto independiente 2 Car"/>
    <w:basedOn w:val="Fuentedeprrafopredeter"/>
    <w:link w:val="Textoindependiente2"/>
    <w:rsid w:val="00433902"/>
    <w:rPr>
      <w:b/>
      <w:bCs/>
      <w:color w:val="0000FF"/>
      <w:sz w:val="24"/>
      <w:szCs w:val="24"/>
    </w:rPr>
  </w:style>
  <w:style w:type="character" w:customStyle="1" w:styleId="TextonotapieCar">
    <w:name w:val="Texto nota pie Car"/>
    <w:basedOn w:val="Fuentedeprrafopredeter"/>
    <w:link w:val="Textonotapie"/>
    <w:semiHidden/>
    <w:rsid w:val="00433902"/>
    <w:rPr>
      <w:lang w:val="es-ES_tradnl"/>
    </w:rPr>
  </w:style>
  <w:style w:type="character" w:styleId="Hipervnculo">
    <w:name w:val="Hyperlink"/>
    <w:basedOn w:val="Fuentedeprrafopredeter"/>
    <w:uiPriority w:val="99"/>
    <w:unhideWhenUsed/>
    <w:rsid w:val="003B3FC3"/>
    <w:rPr>
      <w:color w:val="0000FF"/>
      <w:u w:val="single"/>
    </w:rPr>
  </w:style>
  <w:style w:type="paragraph" w:styleId="Textocomentario">
    <w:name w:val="annotation text"/>
    <w:basedOn w:val="Normal"/>
    <w:link w:val="TextocomentarioCar"/>
    <w:rsid w:val="00883E44"/>
    <w:rPr>
      <w:sz w:val="20"/>
      <w:szCs w:val="20"/>
    </w:rPr>
  </w:style>
  <w:style w:type="character" w:customStyle="1" w:styleId="TextocomentarioCar">
    <w:name w:val="Texto comentario Car"/>
    <w:basedOn w:val="Fuentedeprrafopredeter"/>
    <w:link w:val="Textocomentario"/>
    <w:rsid w:val="00883E44"/>
    <w:rPr>
      <w:lang w:val="es-ES_tradnl"/>
    </w:rPr>
  </w:style>
  <w:style w:type="paragraph" w:styleId="Asuntodelcomentario">
    <w:name w:val="annotation subject"/>
    <w:basedOn w:val="Textocomentario"/>
    <w:next w:val="Textocomentario"/>
    <w:link w:val="AsuntodelcomentarioCar"/>
    <w:rsid w:val="00883E44"/>
    <w:rPr>
      <w:b/>
      <w:bCs/>
    </w:rPr>
  </w:style>
  <w:style w:type="character" w:customStyle="1" w:styleId="AsuntodelcomentarioCar">
    <w:name w:val="Asunto del comentario Car"/>
    <w:basedOn w:val="TextocomentarioCar"/>
    <w:link w:val="Asuntodelcomentario"/>
    <w:rsid w:val="00883E44"/>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DE4"/>
    <w:rPr>
      <w:sz w:val="24"/>
      <w:szCs w:val="24"/>
      <w:lang w:val="es-ES_tradnl"/>
    </w:rPr>
  </w:style>
  <w:style w:type="paragraph" w:styleId="Ttulo1">
    <w:name w:val="heading 1"/>
    <w:aliases w:val="MEMORIA TIT 1"/>
    <w:basedOn w:val="Normal"/>
    <w:next w:val="Textoindependiente"/>
    <w:link w:val="Ttulo1Car"/>
    <w:qFormat/>
    <w:pPr>
      <w:keepNext/>
      <w:keepLines/>
      <w:tabs>
        <w:tab w:val="num" w:pos="432"/>
      </w:tabs>
      <w:spacing w:before="240" w:after="120"/>
      <w:ind w:left="432" w:hanging="432"/>
      <w:outlineLvl w:val="0"/>
    </w:pPr>
    <w:rPr>
      <w:b/>
      <w:caps/>
      <w:color w:val="0000FF"/>
      <w:szCs w:val="20"/>
      <w:lang w:val="es-ES"/>
    </w:rPr>
  </w:style>
  <w:style w:type="paragraph" w:styleId="Ttulo2">
    <w:name w:val="heading 2"/>
    <w:basedOn w:val="Normal"/>
    <w:next w:val="Textoindependiente"/>
    <w:link w:val="Ttulo2Car"/>
    <w:qFormat/>
    <w:pPr>
      <w:keepNext/>
      <w:keepLines/>
      <w:numPr>
        <w:ilvl w:val="1"/>
        <w:numId w:val="1"/>
      </w:numPr>
      <w:spacing w:before="120" w:after="120"/>
      <w:outlineLvl w:val="1"/>
    </w:pPr>
    <w:rPr>
      <w:b/>
      <w:color w:val="0000FF"/>
      <w:lang w:val="es-ES"/>
    </w:rPr>
  </w:style>
  <w:style w:type="paragraph" w:styleId="Ttulo3">
    <w:name w:val="heading 3"/>
    <w:basedOn w:val="Normal"/>
    <w:next w:val="Textoindependiente"/>
    <w:link w:val="Ttulo3Car"/>
    <w:qFormat/>
    <w:pPr>
      <w:keepNext/>
      <w:keepLines/>
      <w:tabs>
        <w:tab w:val="num" w:pos="720"/>
      </w:tabs>
      <w:spacing w:before="120" w:after="60"/>
      <w:ind w:left="720" w:hanging="720"/>
      <w:outlineLvl w:val="2"/>
    </w:pPr>
    <w:rPr>
      <w:rFonts w:cs="Arial"/>
      <w:bCs/>
      <w:i/>
      <w:caps/>
      <w:color w:val="0000FF"/>
      <w:sz w:val="20"/>
      <w:szCs w:val="26"/>
      <w:lang w:val="es-ES"/>
    </w:rPr>
  </w:style>
  <w:style w:type="paragraph" w:styleId="Ttulo4">
    <w:name w:val="heading 4"/>
    <w:basedOn w:val="Normal"/>
    <w:next w:val="Textoindependiente"/>
    <w:link w:val="Ttulo4Car"/>
    <w:qFormat/>
    <w:pPr>
      <w:keepNext/>
      <w:keepLines/>
      <w:tabs>
        <w:tab w:val="num" w:pos="864"/>
      </w:tabs>
      <w:spacing w:before="120" w:after="60"/>
      <w:ind w:left="864" w:hanging="864"/>
      <w:outlineLvl w:val="3"/>
    </w:pPr>
    <w:rPr>
      <w:bCs/>
      <w:i/>
      <w:color w:val="0000FF"/>
      <w:sz w:val="20"/>
      <w:szCs w:val="28"/>
      <w:lang w:val="es-ES"/>
    </w:rPr>
  </w:style>
  <w:style w:type="paragraph" w:styleId="Ttulo5">
    <w:name w:val="heading 5"/>
    <w:basedOn w:val="Normal"/>
    <w:next w:val="Textoindependiente"/>
    <w:link w:val="Ttulo5Car"/>
    <w:qFormat/>
    <w:pPr>
      <w:keepNext/>
      <w:keepLines/>
      <w:tabs>
        <w:tab w:val="num" w:pos="1008"/>
      </w:tabs>
      <w:spacing w:before="120" w:after="60"/>
      <w:ind w:left="1008" w:hanging="1008"/>
      <w:outlineLvl w:val="4"/>
    </w:pPr>
    <w:rPr>
      <w:bCs/>
      <w:i/>
      <w:color w:val="0000FF"/>
      <w:sz w:val="20"/>
      <w:szCs w:val="26"/>
      <w:lang w:val="es-ES"/>
    </w:rPr>
  </w:style>
  <w:style w:type="paragraph" w:styleId="Ttulo6">
    <w:name w:val="heading 6"/>
    <w:basedOn w:val="Normal"/>
    <w:next w:val="Textoindependiente"/>
    <w:link w:val="Ttulo6Car"/>
    <w:qFormat/>
    <w:pPr>
      <w:keepNext/>
      <w:keepLines/>
      <w:tabs>
        <w:tab w:val="num" w:pos="1152"/>
      </w:tabs>
      <w:spacing w:before="120" w:after="60"/>
      <w:ind w:left="1152" w:hanging="1152"/>
      <w:outlineLvl w:val="5"/>
    </w:pPr>
    <w:rPr>
      <w:bCs/>
      <w:i/>
      <w:color w:val="0000FF"/>
      <w:sz w:val="20"/>
      <w:szCs w:val="22"/>
      <w:lang w:val="es-ES"/>
    </w:rPr>
  </w:style>
  <w:style w:type="paragraph" w:styleId="Ttulo7">
    <w:name w:val="heading 7"/>
    <w:basedOn w:val="Normal"/>
    <w:next w:val="Textoindependiente"/>
    <w:link w:val="Ttulo7Car"/>
    <w:qFormat/>
    <w:pPr>
      <w:keepNext/>
      <w:keepLines/>
      <w:tabs>
        <w:tab w:val="num" w:pos="1296"/>
      </w:tabs>
      <w:spacing w:before="120" w:after="60"/>
      <w:ind w:left="1296" w:hanging="1296"/>
      <w:outlineLvl w:val="6"/>
    </w:pPr>
    <w:rPr>
      <w:i/>
      <w:color w:val="0000FF"/>
      <w:sz w:val="20"/>
      <w:lang w:val="es-ES"/>
    </w:rPr>
  </w:style>
  <w:style w:type="paragraph" w:styleId="Ttulo8">
    <w:name w:val="heading 8"/>
    <w:basedOn w:val="Normal"/>
    <w:next w:val="Textoindependiente"/>
    <w:link w:val="Ttulo8Car"/>
    <w:qFormat/>
    <w:pPr>
      <w:keepNext/>
      <w:keepLines/>
      <w:tabs>
        <w:tab w:val="num" w:pos="1440"/>
      </w:tabs>
      <w:spacing w:before="120" w:after="60"/>
      <w:ind w:left="1440" w:hanging="1440"/>
      <w:outlineLvl w:val="7"/>
    </w:pPr>
    <w:rPr>
      <w:i/>
      <w:iCs/>
      <w:color w:val="0000FF"/>
      <w:sz w:val="20"/>
      <w:lang w:val="es-ES"/>
    </w:rPr>
  </w:style>
  <w:style w:type="paragraph" w:styleId="Ttulo9">
    <w:name w:val="heading 9"/>
    <w:basedOn w:val="Normal"/>
    <w:next w:val="Textoindependiente"/>
    <w:link w:val="Ttulo9Car"/>
    <w:qFormat/>
    <w:pPr>
      <w:keepNext/>
      <w:keepLines/>
      <w:tabs>
        <w:tab w:val="num" w:pos="1584"/>
      </w:tabs>
      <w:spacing w:before="120" w:after="60"/>
      <w:ind w:left="1584" w:hanging="1584"/>
      <w:outlineLvl w:val="8"/>
    </w:pPr>
    <w:rPr>
      <w:rFonts w:cs="Arial"/>
      <w:i/>
      <w:color w:val="0000FF"/>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lang w:val="es-ES"/>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tulo0">
    <w:name w:val="Título 0"/>
    <w:basedOn w:val="Normal"/>
    <w:next w:val="Textoindependiente"/>
    <w:pPr>
      <w:keepNext/>
      <w:keepLines/>
      <w:spacing w:before="240" w:after="240"/>
      <w:jc w:val="center"/>
      <w:outlineLvl w:val="0"/>
    </w:pPr>
    <w:rPr>
      <w:b/>
      <w:iCs/>
      <w:caps/>
      <w:color w:val="0000FF"/>
      <w:sz w:val="28"/>
      <w:szCs w:val="20"/>
      <w:lang w:val="es-ES"/>
    </w:rPr>
  </w:style>
  <w:style w:type="paragraph" w:styleId="Textoindependiente3">
    <w:name w:val="Body Text 3"/>
    <w:basedOn w:val="Normal"/>
    <w:link w:val="Textoindependiente3Car"/>
    <w:pPr>
      <w:jc w:val="both"/>
    </w:pPr>
    <w:rPr>
      <w:rFonts w:ascii="Arial" w:hAnsi="Arial"/>
      <w:spacing w:val="-3"/>
      <w:szCs w:val="20"/>
      <w:lang w:val="es-ES"/>
    </w:rPr>
  </w:style>
  <w:style w:type="paragraph" w:styleId="Textoindependiente2">
    <w:name w:val="Body Text 2"/>
    <w:basedOn w:val="Normal"/>
    <w:link w:val="Textoindependiente2Car"/>
    <w:pPr>
      <w:jc w:val="center"/>
    </w:pPr>
    <w:rPr>
      <w:b/>
      <w:bCs/>
      <w:color w:val="0000FF"/>
      <w:lang w:val="es-ES"/>
    </w:rPr>
  </w:style>
  <w:style w:type="paragraph" w:styleId="Textonotapie">
    <w:name w:val="footnote text"/>
    <w:basedOn w:val="Normal"/>
    <w:link w:val="TextonotapieCar"/>
    <w:semiHidden/>
    <w:rPr>
      <w:sz w:val="20"/>
      <w:szCs w:val="20"/>
    </w:rPr>
  </w:style>
  <w:style w:type="character" w:styleId="Refdenotaalpie">
    <w:name w:val="footnote reference"/>
    <w:semiHidden/>
    <w:rPr>
      <w:vertAlign w:val="superscript"/>
    </w:rPr>
  </w:style>
  <w:style w:type="character" w:styleId="Refdecomentario">
    <w:name w:val="annotation reference"/>
    <w:semiHidden/>
    <w:rsid w:val="00B60675"/>
    <w:rPr>
      <w:sz w:val="16"/>
      <w:szCs w:val="16"/>
    </w:rPr>
  </w:style>
  <w:style w:type="character" w:styleId="Textoennegrita">
    <w:name w:val="Strong"/>
    <w:uiPriority w:val="22"/>
    <w:qFormat/>
    <w:rsid w:val="00387A4C"/>
    <w:rPr>
      <w:b/>
      <w:bCs/>
    </w:rPr>
  </w:style>
  <w:style w:type="paragraph" w:styleId="NormalWeb">
    <w:name w:val="Normal (Web)"/>
    <w:basedOn w:val="Normal"/>
    <w:uiPriority w:val="99"/>
    <w:unhideWhenUsed/>
    <w:rsid w:val="00245259"/>
    <w:pPr>
      <w:spacing w:before="100" w:beforeAutospacing="1" w:after="100" w:afterAutospacing="1"/>
    </w:pPr>
    <w:rPr>
      <w:lang w:val="es-ES"/>
    </w:rPr>
  </w:style>
  <w:style w:type="paragraph" w:styleId="Textodeglobo">
    <w:name w:val="Balloon Text"/>
    <w:basedOn w:val="Normal"/>
    <w:link w:val="TextodegloboCar"/>
    <w:rsid w:val="00ED4D45"/>
    <w:rPr>
      <w:rFonts w:ascii="Tahoma" w:hAnsi="Tahoma" w:cs="Tahoma"/>
      <w:sz w:val="16"/>
      <w:szCs w:val="16"/>
    </w:rPr>
  </w:style>
  <w:style w:type="character" w:customStyle="1" w:styleId="TextodegloboCar">
    <w:name w:val="Texto de globo Car"/>
    <w:link w:val="Textodeglobo"/>
    <w:rsid w:val="00ED4D45"/>
    <w:rPr>
      <w:rFonts w:ascii="Tahoma" w:hAnsi="Tahoma" w:cs="Tahoma"/>
      <w:sz w:val="16"/>
      <w:szCs w:val="16"/>
      <w:lang w:val="es-ES_tradnl"/>
    </w:rPr>
  </w:style>
  <w:style w:type="character" w:customStyle="1" w:styleId="salto-documento5">
    <w:name w:val="salto-documento5"/>
    <w:rsid w:val="008B53E1"/>
  </w:style>
  <w:style w:type="paragraph" w:styleId="Prrafodelista">
    <w:name w:val="List Paragraph"/>
    <w:basedOn w:val="Normal"/>
    <w:uiPriority w:val="34"/>
    <w:qFormat/>
    <w:rsid w:val="00055280"/>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rsid w:val="00466547"/>
    <w:pPr>
      <w:tabs>
        <w:tab w:val="center" w:pos="4252"/>
        <w:tab w:val="right" w:pos="8504"/>
      </w:tabs>
    </w:pPr>
  </w:style>
  <w:style w:type="character" w:customStyle="1" w:styleId="EncabezadoCar">
    <w:name w:val="Encabezado Car"/>
    <w:link w:val="Encabezado"/>
    <w:rsid w:val="00466547"/>
    <w:rPr>
      <w:sz w:val="24"/>
      <w:szCs w:val="24"/>
      <w:lang w:val="es-ES_tradnl"/>
    </w:rPr>
  </w:style>
  <w:style w:type="character" w:customStyle="1" w:styleId="TextoindependienteCar">
    <w:name w:val="Texto independiente Car"/>
    <w:basedOn w:val="Fuentedeprrafopredeter"/>
    <w:link w:val="Textoindependiente"/>
    <w:rsid w:val="00646094"/>
    <w:rPr>
      <w:rFonts w:ascii="Arial" w:hAnsi="Arial" w:cs="Arial"/>
      <w:sz w:val="24"/>
      <w:szCs w:val="24"/>
    </w:rPr>
  </w:style>
  <w:style w:type="table" w:styleId="Tablaconcuadrcula">
    <w:name w:val="Table Grid"/>
    <w:basedOn w:val="Tablanormal"/>
    <w:uiPriority w:val="59"/>
    <w:rsid w:val="00AE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MEMORIA TIT 1 Car"/>
    <w:basedOn w:val="Fuentedeprrafopredeter"/>
    <w:link w:val="Ttulo1"/>
    <w:rsid w:val="00433902"/>
    <w:rPr>
      <w:b/>
      <w:caps/>
      <w:color w:val="0000FF"/>
      <w:sz w:val="24"/>
    </w:rPr>
  </w:style>
  <w:style w:type="character" w:customStyle="1" w:styleId="Ttulo2Car">
    <w:name w:val="Título 2 Car"/>
    <w:basedOn w:val="Fuentedeprrafopredeter"/>
    <w:link w:val="Ttulo2"/>
    <w:rsid w:val="00433902"/>
    <w:rPr>
      <w:b/>
      <w:color w:val="0000FF"/>
      <w:sz w:val="24"/>
      <w:szCs w:val="24"/>
    </w:rPr>
  </w:style>
  <w:style w:type="character" w:customStyle="1" w:styleId="Ttulo3Car">
    <w:name w:val="Título 3 Car"/>
    <w:basedOn w:val="Fuentedeprrafopredeter"/>
    <w:link w:val="Ttulo3"/>
    <w:rsid w:val="00433902"/>
    <w:rPr>
      <w:rFonts w:cs="Arial"/>
      <w:bCs/>
      <w:i/>
      <w:caps/>
      <w:color w:val="0000FF"/>
      <w:szCs w:val="26"/>
    </w:rPr>
  </w:style>
  <w:style w:type="character" w:customStyle="1" w:styleId="Ttulo4Car">
    <w:name w:val="Título 4 Car"/>
    <w:basedOn w:val="Fuentedeprrafopredeter"/>
    <w:link w:val="Ttulo4"/>
    <w:rsid w:val="00433902"/>
    <w:rPr>
      <w:bCs/>
      <w:i/>
      <w:color w:val="0000FF"/>
      <w:szCs w:val="28"/>
    </w:rPr>
  </w:style>
  <w:style w:type="character" w:customStyle="1" w:styleId="Ttulo5Car">
    <w:name w:val="Título 5 Car"/>
    <w:basedOn w:val="Fuentedeprrafopredeter"/>
    <w:link w:val="Ttulo5"/>
    <w:rsid w:val="00433902"/>
    <w:rPr>
      <w:bCs/>
      <w:i/>
      <w:color w:val="0000FF"/>
      <w:szCs w:val="26"/>
    </w:rPr>
  </w:style>
  <w:style w:type="character" w:customStyle="1" w:styleId="Ttulo6Car">
    <w:name w:val="Título 6 Car"/>
    <w:basedOn w:val="Fuentedeprrafopredeter"/>
    <w:link w:val="Ttulo6"/>
    <w:rsid w:val="00433902"/>
    <w:rPr>
      <w:bCs/>
      <w:i/>
      <w:color w:val="0000FF"/>
      <w:szCs w:val="22"/>
    </w:rPr>
  </w:style>
  <w:style w:type="character" w:customStyle="1" w:styleId="Ttulo7Car">
    <w:name w:val="Título 7 Car"/>
    <w:basedOn w:val="Fuentedeprrafopredeter"/>
    <w:link w:val="Ttulo7"/>
    <w:rsid w:val="00433902"/>
    <w:rPr>
      <w:i/>
      <w:color w:val="0000FF"/>
      <w:szCs w:val="24"/>
    </w:rPr>
  </w:style>
  <w:style w:type="character" w:customStyle="1" w:styleId="Ttulo8Car">
    <w:name w:val="Título 8 Car"/>
    <w:basedOn w:val="Fuentedeprrafopredeter"/>
    <w:link w:val="Ttulo8"/>
    <w:rsid w:val="00433902"/>
    <w:rPr>
      <w:i/>
      <w:iCs/>
      <w:color w:val="0000FF"/>
      <w:szCs w:val="24"/>
    </w:rPr>
  </w:style>
  <w:style w:type="character" w:customStyle="1" w:styleId="Ttulo9Car">
    <w:name w:val="Título 9 Car"/>
    <w:basedOn w:val="Fuentedeprrafopredeter"/>
    <w:link w:val="Ttulo9"/>
    <w:rsid w:val="00433902"/>
    <w:rPr>
      <w:rFonts w:cs="Arial"/>
      <w:i/>
      <w:color w:val="0000FF"/>
      <w:szCs w:val="22"/>
    </w:rPr>
  </w:style>
  <w:style w:type="numbering" w:customStyle="1" w:styleId="Sinlista1">
    <w:name w:val="Sin lista1"/>
    <w:next w:val="Sinlista"/>
    <w:uiPriority w:val="99"/>
    <w:semiHidden/>
    <w:unhideWhenUsed/>
    <w:rsid w:val="00433902"/>
  </w:style>
  <w:style w:type="character" w:customStyle="1" w:styleId="PiedepginaCar">
    <w:name w:val="Pie de página Car"/>
    <w:basedOn w:val="Fuentedeprrafopredeter"/>
    <w:link w:val="Piedepgina"/>
    <w:rsid w:val="00433902"/>
    <w:rPr>
      <w:sz w:val="24"/>
      <w:szCs w:val="24"/>
      <w:lang w:val="es-ES_tradnl"/>
    </w:rPr>
  </w:style>
  <w:style w:type="character" w:customStyle="1" w:styleId="Textoindependiente3Car">
    <w:name w:val="Texto independiente 3 Car"/>
    <w:basedOn w:val="Fuentedeprrafopredeter"/>
    <w:link w:val="Textoindependiente3"/>
    <w:rsid w:val="00433902"/>
    <w:rPr>
      <w:rFonts w:ascii="Arial" w:hAnsi="Arial"/>
      <w:spacing w:val="-3"/>
      <w:sz w:val="24"/>
    </w:rPr>
  </w:style>
  <w:style w:type="character" w:customStyle="1" w:styleId="Textoindependiente2Car">
    <w:name w:val="Texto independiente 2 Car"/>
    <w:basedOn w:val="Fuentedeprrafopredeter"/>
    <w:link w:val="Textoindependiente2"/>
    <w:rsid w:val="00433902"/>
    <w:rPr>
      <w:b/>
      <w:bCs/>
      <w:color w:val="0000FF"/>
      <w:sz w:val="24"/>
      <w:szCs w:val="24"/>
    </w:rPr>
  </w:style>
  <w:style w:type="character" w:customStyle="1" w:styleId="TextonotapieCar">
    <w:name w:val="Texto nota pie Car"/>
    <w:basedOn w:val="Fuentedeprrafopredeter"/>
    <w:link w:val="Textonotapie"/>
    <w:semiHidden/>
    <w:rsid w:val="00433902"/>
    <w:rPr>
      <w:lang w:val="es-ES_tradnl"/>
    </w:rPr>
  </w:style>
  <w:style w:type="character" w:styleId="Hipervnculo">
    <w:name w:val="Hyperlink"/>
    <w:basedOn w:val="Fuentedeprrafopredeter"/>
    <w:uiPriority w:val="99"/>
    <w:unhideWhenUsed/>
    <w:rsid w:val="003B3FC3"/>
    <w:rPr>
      <w:color w:val="0000FF"/>
      <w:u w:val="single"/>
    </w:rPr>
  </w:style>
  <w:style w:type="paragraph" w:styleId="Textocomentario">
    <w:name w:val="annotation text"/>
    <w:basedOn w:val="Normal"/>
    <w:link w:val="TextocomentarioCar"/>
    <w:rsid w:val="00883E44"/>
    <w:rPr>
      <w:sz w:val="20"/>
      <w:szCs w:val="20"/>
    </w:rPr>
  </w:style>
  <w:style w:type="character" w:customStyle="1" w:styleId="TextocomentarioCar">
    <w:name w:val="Texto comentario Car"/>
    <w:basedOn w:val="Fuentedeprrafopredeter"/>
    <w:link w:val="Textocomentario"/>
    <w:rsid w:val="00883E44"/>
    <w:rPr>
      <w:lang w:val="es-ES_tradnl"/>
    </w:rPr>
  </w:style>
  <w:style w:type="paragraph" w:styleId="Asuntodelcomentario">
    <w:name w:val="annotation subject"/>
    <w:basedOn w:val="Textocomentario"/>
    <w:next w:val="Textocomentario"/>
    <w:link w:val="AsuntodelcomentarioCar"/>
    <w:rsid w:val="00883E44"/>
    <w:rPr>
      <w:b/>
      <w:bCs/>
    </w:rPr>
  </w:style>
  <w:style w:type="character" w:customStyle="1" w:styleId="AsuntodelcomentarioCar">
    <w:name w:val="Asunto del comentario Car"/>
    <w:basedOn w:val="TextocomentarioCar"/>
    <w:link w:val="Asuntodelcomentario"/>
    <w:rsid w:val="00883E44"/>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31">
      <w:bodyDiv w:val="1"/>
      <w:marLeft w:val="0"/>
      <w:marRight w:val="0"/>
      <w:marTop w:val="0"/>
      <w:marBottom w:val="0"/>
      <w:divBdr>
        <w:top w:val="none" w:sz="0" w:space="0" w:color="auto"/>
        <w:left w:val="none" w:sz="0" w:space="0" w:color="auto"/>
        <w:bottom w:val="none" w:sz="0" w:space="0" w:color="auto"/>
        <w:right w:val="none" w:sz="0" w:space="0" w:color="auto"/>
      </w:divBdr>
    </w:div>
    <w:div w:id="3434228">
      <w:bodyDiv w:val="1"/>
      <w:marLeft w:val="0"/>
      <w:marRight w:val="0"/>
      <w:marTop w:val="0"/>
      <w:marBottom w:val="0"/>
      <w:divBdr>
        <w:top w:val="none" w:sz="0" w:space="0" w:color="auto"/>
        <w:left w:val="none" w:sz="0" w:space="0" w:color="auto"/>
        <w:bottom w:val="none" w:sz="0" w:space="0" w:color="auto"/>
        <w:right w:val="none" w:sz="0" w:space="0" w:color="auto"/>
      </w:divBdr>
    </w:div>
    <w:div w:id="9451414">
      <w:bodyDiv w:val="1"/>
      <w:marLeft w:val="0"/>
      <w:marRight w:val="0"/>
      <w:marTop w:val="0"/>
      <w:marBottom w:val="0"/>
      <w:divBdr>
        <w:top w:val="none" w:sz="0" w:space="0" w:color="auto"/>
        <w:left w:val="none" w:sz="0" w:space="0" w:color="auto"/>
        <w:bottom w:val="none" w:sz="0" w:space="0" w:color="auto"/>
        <w:right w:val="none" w:sz="0" w:space="0" w:color="auto"/>
      </w:divBdr>
    </w:div>
    <w:div w:id="11228901">
      <w:bodyDiv w:val="1"/>
      <w:marLeft w:val="0"/>
      <w:marRight w:val="0"/>
      <w:marTop w:val="0"/>
      <w:marBottom w:val="0"/>
      <w:divBdr>
        <w:top w:val="none" w:sz="0" w:space="0" w:color="auto"/>
        <w:left w:val="none" w:sz="0" w:space="0" w:color="auto"/>
        <w:bottom w:val="none" w:sz="0" w:space="0" w:color="auto"/>
        <w:right w:val="none" w:sz="0" w:space="0" w:color="auto"/>
      </w:divBdr>
    </w:div>
    <w:div w:id="12463032">
      <w:bodyDiv w:val="1"/>
      <w:marLeft w:val="0"/>
      <w:marRight w:val="0"/>
      <w:marTop w:val="0"/>
      <w:marBottom w:val="0"/>
      <w:divBdr>
        <w:top w:val="none" w:sz="0" w:space="0" w:color="auto"/>
        <w:left w:val="none" w:sz="0" w:space="0" w:color="auto"/>
        <w:bottom w:val="none" w:sz="0" w:space="0" w:color="auto"/>
        <w:right w:val="none" w:sz="0" w:space="0" w:color="auto"/>
      </w:divBdr>
    </w:div>
    <w:div w:id="12726836">
      <w:bodyDiv w:val="1"/>
      <w:marLeft w:val="0"/>
      <w:marRight w:val="0"/>
      <w:marTop w:val="0"/>
      <w:marBottom w:val="0"/>
      <w:divBdr>
        <w:top w:val="none" w:sz="0" w:space="0" w:color="auto"/>
        <w:left w:val="none" w:sz="0" w:space="0" w:color="auto"/>
        <w:bottom w:val="none" w:sz="0" w:space="0" w:color="auto"/>
        <w:right w:val="none" w:sz="0" w:space="0" w:color="auto"/>
      </w:divBdr>
    </w:div>
    <w:div w:id="14157244">
      <w:bodyDiv w:val="1"/>
      <w:marLeft w:val="0"/>
      <w:marRight w:val="0"/>
      <w:marTop w:val="0"/>
      <w:marBottom w:val="0"/>
      <w:divBdr>
        <w:top w:val="none" w:sz="0" w:space="0" w:color="auto"/>
        <w:left w:val="none" w:sz="0" w:space="0" w:color="auto"/>
        <w:bottom w:val="none" w:sz="0" w:space="0" w:color="auto"/>
        <w:right w:val="none" w:sz="0" w:space="0" w:color="auto"/>
      </w:divBdr>
    </w:div>
    <w:div w:id="18482077">
      <w:bodyDiv w:val="1"/>
      <w:marLeft w:val="0"/>
      <w:marRight w:val="0"/>
      <w:marTop w:val="0"/>
      <w:marBottom w:val="0"/>
      <w:divBdr>
        <w:top w:val="none" w:sz="0" w:space="0" w:color="auto"/>
        <w:left w:val="none" w:sz="0" w:space="0" w:color="auto"/>
        <w:bottom w:val="none" w:sz="0" w:space="0" w:color="auto"/>
        <w:right w:val="none" w:sz="0" w:space="0" w:color="auto"/>
      </w:divBdr>
    </w:div>
    <w:div w:id="21514038">
      <w:bodyDiv w:val="1"/>
      <w:marLeft w:val="0"/>
      <w:marRight w:val="0"/>
      <w:marTop w:val="0"/>
      <w:marBottom w:val="0"/>
      <w:divBdr>
        <w:top w:val="none" w:sz="0" w:space="0" w:color="auto"/>
        <w:left w:val="none" w:sz="0" w:space="0" w:color="auto"/>
        <w:bottom w:val="none" w:sz="0" w:space="0" w:color="auto"/>
        <w:right w:val="none" w:sz="0" w:space="0" w:color="auto"/>
      </w:divBdr>
    </w:div>
    <w:div w:id="26181170">
      <w:bodyDiv w:val="1"/>
      <w:marLeft w:val="0"/>
      <w:marRight w:val="0"/>
      <w:marTop w:val="0"/>
      <w:marBottom w:val="0"/>
      <w:divBdr>
        <w:top w:val="none" w:sz="0" w:space="0" w:color="auto"/>
        <w:left w:val="none" w:sz="0" w:space="0" w:color="auto"/>
        <w:bottom w:val="none" w:sz="0" w:space="0" w:color="auto"/>
        <w:right w:val="none" w:sz="0" w:space="0" w:color="auto"/>
      </w:divBdr>
    </w:div>
    <w:div w:id="28143455">
      <w:bodyDiv w:val="1"/>
      <w:marLeft w:val="0"/>
      <w:marRight w:val="0"/>
      <w:marTop w:val="0"/>
      <w:marBottom w:val="0"/>
      <w:divBdr>
        <w:top w:val="none" w:sz="0" w:space="0" w:color="auto"/>
        <w:left w:val="none" w:sz="0" w:space="0" w:color="auto"/>
        <w:bottom w:val="none" w:sz="0" w:space="0" w:color="auto"/>
        <w:right w:val="none" w:sz="0" w:space="0" w:color="auto"/>
      </w:divBdr>
    </w:div>
    <w:div w:id="29108566">
      <w:bodyDiv w:val="1"/>
      <w:marLeft w:val="0"/>
      <w:marRight w:val="0"/>
      <w:marTop w:val="0"/>
      <w:marBottom w:val="0"/>
      <w:divBdr>
        <w:top w:val="none" w:sz="0" w:space="0" w:color="auto"/>
        <w:left w:val="none" w:sz="0" w:space="0" w:color="auto"/>
        <w:bottom w:val="none" w:sz="0" w:space="0" w:color="auto"/>
        <w:right w:val="none" w:sz="0" w:space="0" w:color="auto"/>
      </w:divBdr>
    </w:div>
    <w:div w:id="29231967">
      <w:bodyDiv w:val="1"/>
      <w:marLeft w:val="0"/>
      <w:marRight w:val="0"/>
      <w:marTop w:val="0"/>
      <w:marBottom w:val="0"/>
      <w:divBdr>
        <w:top w:val="none" w:sz="0" w:space="0" w:color="auto"/>
        <w:left w:val="none" w:sz="0" w:space="0" w:color="auto"/>
        <w:bottom w:val="none" w:sz="0" w:space="0" w:color="auto"/>
        <w:right w:val="none" w:sz="0" w:space="0" w:color="auto"/>
      </w:divBdr>
    </w:div>
    <w:div w:id="29377837">
      <w:bodyDiv w:val="1"/>
      <w:marLeft w:val="0"/>
      <w:marRight w:val="0"/>
      <w:marTop w:val="0"/>
      <w:marBottom w:val="0"/>
      <w:divBdr>
        <w:top w:val="none" w:sz="0" w:space="0" w:color="auto"/>
        <w:left w:val="none" w:sz="0" w:space="0" w:color="auto"/>
        <w:bottom w:val="none" w:sz="0" w:space="0" w:color="auto"/>
        <w:right w:val="none" w:sz="0" w:space="0" w:color="auto"/>
      </w:divBdr>
    </w:div>
    <w:div w:id="32926187">
      <w:bodyDiv w:val="1"/>
      <w:marLeft w:val="0"/>
      <w:marRight w:val="0"/>
      <w:marTop w:val="0"/>
      <w:marBottom w:val="0"/>
      <w:divBdr>
        <w:top w:val="none" w:sz="0" w:space="0" w:color="auto"/>
        <w:left w:val="none" w:sz="0" w:space="0" w:color="auto"/>
        <w:bottom w:val="none" w:sz="0" w:space="0" w:color="auto"/>
        <w:right w:val="none" w:sz="0" w:space="0" w:color="auto"/>
      </w:divBdr>
    </w:div>
    <w:div w:id="35086711">
      <w:bodyDiv w:val="1"/>
      <w:marLeft w:val="0"/>
      <w:marRight w:val="0"/>
      <w:marTop w:val="0"/>
      <w:marBottom w:val="0"/>
      <w:divBdr>
        <w:top w:val="none" w:sz="0" w:space="0" w:color="auto"/>
        <w:left w:val="none" w:sz="0" w:space="0" w:color="auto"/>
        <w:bottom w:val="none" w:sz="0" w:space="0" w:color="auto"/>
        <w:right w:val="none" w:sz="0" w:space="0" w:color="auto"/>
      </w:divBdr>
    </w:div>
    <w:div w:id="38869058">
      <w:bodyDiv w:val="1"/>
      <w:marLeft w:val="0"/>
      <w:marRight w:val="0"/>
      <w:marTop w:val="0"/>
      <w:marBottom w:val="0"/>
      <w:divBdr>
        <w:top w:val="none" w:sz="0" w:space="0" w:color="auto"/>
        <w:left w:val="none" w:sz="0" w:space="0" w:color="auto"/>
        <w:bottom w:val="none" w:sz="0" w:space="0" w:color="auto"/>
        <w:right w:val="none" w:sz="0" w:space="0" w:color="auto"/>
      </w:divBdr>
    </w:div>
    <w:div w:id="44568589">
      <w:bodyDiv w:val="1"/>
      <w:marLeft w:val="0"/>
      <w:marRight w:val="0"/>
      <w:marTop w:val="0"/>
      <w:marBottom w:val="0"/>
      <w:divBdr>
        <w:top w:val="none" w:sz="0" w:space="0" w:color="auto"/>
        <w:left w:val="none" w:sz="0" w:space="0" w:color="auto"/>
        <w:bottom w:val="none" w:sz="0" w:space="0" w:color="auto"/>
        <w:right w:val="none" w:sz="0" w:space="0" w:color="auto"/>
      </w:divBdr>
    </w:div>
    <w:div w:id="44568993">
      <w:bodyDiv w:val="1"/>
      <w:marLeft w:val="0"/>
      <w:marRight w:val="0"/>
      <w:marTop w:val="0"/>
      <w:marBottom w:val="0"/>
      <w:divBdr>
        <w:top w:val="none" w:sz="0" w:space="0" w:color="auto"/>
        <w:left w:val="none" w:sz="0" w:space="0" w:color="auto"/>
        <w:bottom w:val="none" w:sz="0" w:space="0" w:color="auto"/>
        <w:right w:val="none" w:sz="0" w:space="0" w:color="auto"/>
      </w:divBdr>
    </w:div>
    <w:div w:id="46152370">
      <w:bodyDiv w:val="1"/>
      <w:marLeft w:val="0"/>
      <w:marRight w:val="0"/>
      <w:marTop w:val="0"/>
      <w:marBottom w:val="0"/>
      <w:divBdr>
        <w:top w:val="none" w:sz="0" w:space="0" w:color="auto"/>
        <w:left w:val="none" w:sz="0" w:space="0" w:color="auto"/>
        <w:bottom w:val="none" w:sz="0" w:space="0" w:color="auto"/>
        <w:right w:val="none" w:sz="0" w:space="0" w:color="auto"/>
      </w:divBdr>
    </w:div>
    <w:div w:id="46803326">
      <w:bodyDiv w:val="1"/>
      <w:marLeft w:val="0"/>
      <w:marRight w:val="0"/>
      <w:marTop w:val="0"/>
      <w:marBottom w:val="0"/>
      <w:divBdr>
        <w:top w:val="none" w:sz="0" w:space="0" w:color="auto"/>
        <w:left w:val="none" w:sz="0" w:space="0" w:color="auto"/>
        <w:bottom w:val="none" w:sz="0" w:space="0" w:color="auto"/>
        <w:right w:val="none" w:sz="0" w:space="0" w:color="auto"/>
      </w:divBdr>
    </w:div>
    <w:div w:id="48187009">
      <w:bodyDiv w:val="1"/>
      <w:marLeft w:val="0"/>
      <w:marRight w:val="0"/>
      <w:marTop w:val="0"/>
      <w:marBottom w:val="0"/>
      <w:divBdr>
        <w:top w:val="none" w:sz="0" w:space="0" w:color="auto"/>
        <w:left w:val="none" w:sz="0" w:space="0" w:color="auto"/>
        <w:bottom w:val="none" w:sz="0" w:space="0" w:color="auto"/>
        <w:right w:val="none" w:sz="0" w:space="0" w:color="auto"/>
      </w:divBdr>
    </w:div>
    <w:div w:id="55324201">
      <w:bodyDiv w:val="1"/>
      <w:marLeft w:val="0"/>
      <w:marRight w:val="0"/>
      <w:marTop w:val="0"/>
      <w:marBottom w:val="0"/>
      <w:divBdr>
        <w:top w:val="none" w:sz="0" w:space="0" w:color="auto"/>
        <w:left w:val="none" w:sz="0" w:space="0" w:color="auto"/>
        <w:bottom w:val="none" w:sz="0" w:space="0" w:color="auto"/>
        <w:right w:val="none" w:sz="0" w:space="0" w:color="auto"/>
      </w:divBdr>
    </w:div>
    <w:div w:id="56824758">
      <w:bodyDiv w:val="1"/>
      <w:marLeft w:val="0"/>
      <w:marRight w:val="0"/>
      <w:marTop w:val="0"/>
      <w:marBottom w:val="0"/>
      <w:divBdr>
        <w:top w:val="none" w:sz="0" w:space="0" w:color="auto"/>
        <w:left w:val="none" w:sz="0" w:space="0" w:color="auto"/>
        <w:bottom w:val="none" w:sz="0" w:space="0" w:color="auto"/>
        <w:right w:val="none" w:sz="0" w:space="0" w:color="auto"/>
      </w:divBdr>
    </w:div>
    <w:div w:id="56981538">
      <w:bodyDiv w:val="1"/>
      <w:marLeft w:val="0"/>
      <w:marRight w:val="0"/>
      <w:marTop w:val="0"/>
      <w:marBottom w:val="0"/>
      <w:divBdr>
        <w:top w:val="none" w:sz="0" w:space="0" w:color="auto"/>
        <w:left w:val="none" w:sz="0" w:space="0" w:color="auto"/>
        <w:bottom w:val="none" w:sz="0" w:space="0" w:color="auto"/>
        <w:right w:val="none" w:sz="0" w:space="0" w:color="auto"/>
      </w:divBdr>
    </w:div>
    <w:div w:id="58137431">
      <w:bodyDiv w:val="1"/>
      <w:marLeft w:val="0"/>
      <w:marRight w:val="0"/>
      <w:marTop w:val="0"/>
      <w:marBottom w:val="0"/>
      <w:divBdr>
        <w:top w:val="none" w:sz="0" w:space="0" w:color="auto"/>
        <w:left w:val="none" w:sz="0" w:space="0" w:color="auto"/>
        <w:bottom w:val="none" w:sz="0" w:space="0" w:color="auto"/>
        <w:right w:val="none" w:sz="0" w:space="0" w:color="auto"/>
      </w:divBdr>
    </w:div>
    <w:div w:id="63798184">
      <w:bodyDiv w:val="1"/>
      <w:marLeft w:val="0"/>
      <w:marRight w:val="0"/>
      <w:marTop w:val="0"/>
      <w:marBottom w:val="0"/>
      <w:divBdr>
        <w:top w:val="none" w:sz="0" w:space="0" w:color="auto"/>
        <w:left w:val="none" w:sz="0" w:space="0" w:color="auto"/>
        <w:bottom w:val="none" w:sz="0" w:space="0" w:color="auto"/>
        <w:right w:val="none" w:sz="0" w:space="0" w:color="auto"/>
      </w:divBdr>
    </w:div>
    <w:div w:id="64496085">
      <w:bodyDiv w:val="1"/>
      <w:marLeft w:val="0"/>
      <w:marRight w:val="0"/>
      <w:marTop w:val="0"/>
      <w:marBottom w:val="0"/>
      <w:divBdr>
        <w:top w:val="none" w:sz="0" w:space="0" w:color="auto"/>
        <w:left w:val="none" w:sz="0" w:space="0" w:color="auto"/>
        <w:bottom w:val="none" w:sz="0" w:space="0" w:color="auto"/>
        <w:right w:val="none" w:sz="0" w:space="0" w:color="auto"/>
      </w:divBdr>
    </w:div>
    <w:div w:id="71198830">
      <w:bodyDiv w:val="1"/>
      <w:marLeft w:val="0"/>
      <w:marRight w:val="0"/>
      <w:marTop w:val="0"/>
      <w:marBottom w:val="0"/>
      <w:divBdr>
        <w:top w:val="none" w:sz="0" w:space="0" w:color="auto"/>
        <w:left w:val="none" w:sz="0" w:space="0" w:color="auto"/>
        <w:bottom w:val="none" w:sz="0" w:space="0" w:color="auto"/>
        <w:right w:val="none" w:sz="0" w:space="0" w:color="auto"/>
      </w:divBdr>
    </w:div>
    <w:div w:id="71859745">
      <w:bodyDiv w:val="1"/>
      <w:marLeft w:val="0"/>
      <w:marRight w:val="0"/>
      <w:marTop w:val="0"/>
      <w:marBottom w:val="0"/>
      <w:divBdr>
        <w:top w:val="none" w:sz="0" w:space="0" w:color="auto"/>
        <w:left w:val="none" w:sz="0" w:space="0" w:color="auto"/>
        <w:bottom w:val="none" w:sz="0" w:space="0" w:color="auto"/>
        <w:right w:val="none" w:sz="0" w:space="0" w:color="auto"/>
      </w:divBdr>
    </w:div>
    <w:div w:id="78450865">
      <w:bodyDiv w:val="1"/>
      <w:marLeft w:val="0"/>
      <w:marRight w:val="0"/>
      <w:marTop w:val="0"/>
      <w:marBottom w:val="0"/>
      <w:divBdr>
        <w:top w:val="none" w:sz="0" w:space="0" w:color="auto"/>
        <w:left w:val="none" w:sz="0" w:space="0" w:color="auto"/>
        <w:bottom w:val="none" w:sz="0" w:space="0" w:color="auto"/>
        <w:right w:val="none" w:sz="0" w:space="0" w:color="auto"/>
      </w:divBdr>
    </w:div>
    <w:div w:id="79642571">
      <w:bodyDiv w:val="1"/>
      <w:marLeft w:val="0"/>
      <w:marRight w:val="0"/>
      <w:marTop w:val="0"/>
      <w:marBottom w:val="0"/>
      <w:divBdr>
        <w:top w:val="none" w:sz="0" w:space="0" w:color="auto"/>
        <w:left w:val="none" w:sz="0" w:space="0" w:color="auto"/>
        <w:bottom w:val="none" w:sz="0" w:space="0" w:color="auto"/>
        <w:right w:val="none" w:sz="0" w:space="0" w:color="auto"/>
      </w:divBdr>
    </w:div>
    <w:div w:id="80419665">
      <w:bodyDiv w:val="1"/>
      <w:marLeft w:val="0"/>
      <w:marRight w:val="0"/>
      <w:marTop w:val="0"/>
      <w:marBottom w:val="0"/>
      <w:divBdr>
        <w:top w:val="none" w:sz="0" w:space="0" w:color="auto"/>
        <w:left w:val="none" w:sz="0" w:space="0" w:color="auto"/>
        <w:bottom w:val="none" w:sz="0" w:space="0" w:color="auto"/>
        <w:right w:val="none" w:sz="0" w:space="0" w:color="auto"/>
      </w:divBdr>
    </w:div>
    <w:div w:id="84498960">
      <w:bodyDiv w:val="1"/>
      <w:marLeft w:val="0"/>
      <w:marRight w:val="0"/>
      <w:marTop w:val="0"/>
      <w:marBottom w:val="0"/>
      <w:divBdr>
        <w:top w:val="none" w:sz="0" w:space="0" w:color="auto"/>
        <w:left w:val="none" w:sz="0" w:space="0" w:color="auto"/>
        <w:bottom w:val="none" w:sz="0" w:space="0" w:color="auto"/>
        <w:right w:val="none" w:sz="0" w:space="0" w:color="auto"/>
      </w:divBdr>
    </w:div>
    <w:div w:id="87964509">
      <w:bodyDiv w:val="1"/>
      <w:marLeft w:val="0"/>
      <w:marRight w:val="0"/>
      <w:marTop w:val="0"/>
      <w:marBottom w:val="0"/>
      <w:divBdr>
        <w:top w:val="none" w:sz="0" w:space="0" w:color="auto"/>
        <w:left w:val="none" w:sz="0" w:space="0" w:color="auto"/>
        <w:bottom w:val="none" w:sz="0" w:space="0" w:color="auto"/>
        <w:right w:val="none" w:sz="0" w:space="0" w:color="auto"/>
      </w:divBdr>
    </w:div>
    <w:div w:id="90859491">
      <w:bodyDiv w:val="1"/>
      <w:marLeft w:val="0"/>
      <w:marRight w:val="0"/>
      <w:marTop w:val="0"/>
      <w:marBottom w:val="0"/>
      <w:divBdr>
        <w:top w:val="none" w:sz="0" w:space="0" w:color="auto"/>
        <w:left w:val="none" w:sz="0" w:space="0" w:color="auto"/>
        <w:bottom w:val="none" w:sz="0" w:space="0" w:color="auto"/>
        <w:right w:val="none" w:sz="0" w:space="0" w:color="auto"/>
      </w:divBdr>
    </w:div>
    <w:div w:id="92018817">
      <w:bodyDiv w:val="1"/>
      <w:marLeft w:val="0"/>
      <w:marRight w:val="0"/>
      <w:marTop w:val="0"/>
      <w:marBottom w:val="0"/>
      <w:divBdr>
        <w:top w:val="none" w:sz="0" w:space="0" w:color="auto"/>
        <w:left w:val="none" w:sz="0" w:space="0" w:color="auto"/>
        <w:bottom w:val="none" w:sz="0" w:space="0" w:color="auto"/>
        <w:right w:val="none" w:sz="0" w:space="0" w:color="auto"/>
      </w:divBdr>
    </w:div>
    <w:div w:id="94718085">
      <w:bodyDiv w:val="1"/>
      <w:marLeft w:val="0"/>
      <w:marRight w:val="0"/>
      <w:marTop w:val="0"/>
      <w:marBottom w:val="0"/>
      <w:divBdr>
        <w:top w:val="none" w:sz="0" w:space="0" w:color="auto"/>
        <w:left w:val="none" w:sz="0" w:space="0" w:color="auto"/>
        <w:bottom w:val="none" w:sz="0" w:space="0" w:color="auto"/>
        <w:right w:val="none" w:sz="0" w:space="0" w:color="auto"/>
      </w:divBdr>
    </w:div>
    <w:div w:id="97484728">
      <w:bodyDiv w:val="1"/>
      <w:marLeft w:val="0"/>
      <w:marRight w:val="0"/>
      <w:marTop w:val="0"/>
      <w:marBottom w:val="0"/>
      <w:divBdr>
        <w:top w:val="none" w:sz="0" w:space="0" w:color="auto"/>
        <w:left w:val="none" w:sz="0" w:space="0" w:color="auto"/>
        <w:bottom w:val="none" w:sz="0" w:space="0" w:color="auto"/>
        <w:right w:val="none" w:sz="0" w:space="0" w:color="auto"/>
      </w:divBdr>
    </w:div>
    <w:div w:id="98449060">
      <w:bodyDiv w:val="1"/>
      <w:marLeft w:val="0"/>
      <w:marRight w:val="0"/>
      <w:marTop w:val="0"/>
      <w:marBottom w:val="0"/>
      <w:divBdr>
        <w:top w:val="none" w:sz="0" w:space="0" w:color="auto"/>
        <w:left w:val="none" w:sz="0" w:space="0" w:color="auto"/>
        <w:bottom w:val="none" w:sz="0" w:space="0" w:color="auto"/>
        <w:right w:val="none" w:sz="0" w:space="0" w:color="auto"/>
      </w:divBdr>
    </w:div>
    <w:div w:id="101072407">
      <w:bodyDiv w:val="1"/>
      <w:marLeft w:val="0"/>
      <w:marRight w:val="0"/>
      <w:marTop w:val="0"/>
      <w:marBottom w:val="0"/>
      <w:divBdr>
        <w:top w:val="none" w:sz="0" w:space="0" w:color="auto"/>
        <w:left w:val="none" w:sz="0" w:space="0" w:color="auto"/>
        <w:bottom w:val="none" w:sz="0" w:space="0" w:color="auto"/>
        <w:right w:val="none" w:sz="0" w:space="0" w:color="auto"/>
      </w:divBdr>
    </w:div>
    <w:div w:id="103313329">
      <w:bodyDiv w:val="1"/>
      <w:marLeft w:val="0"/>
      <w:marRight w:val="0"/>
      <w:marTop w:val="0"/>
      <w:marBottom w:val="0"/>
      <w:divBdr>
        <w:top w:val="none" w:sz="0" w:space="0" w:color="auto"/>
        <w:left w:val="none" w:sz="0" w:space="0" w:color="auto"/>
        <w:bottom w:val="none" w:sz="0" w:space="0" w:color="auto"/>
        <w:right w:val="none" w:sz="0" w:space="0" w:color="auto"/>
      </w:divBdr>
    </w:div>
    <w:div w:id="103547954">
      <w:bodyDiv w:val="1"/>
      <w:marLeft w:val="0"/>
      <w:marRight w:val="0"/>
      <w:marTop w:val="0"/>
      <w:marBottom w:val="0"/>
      <w:divBdr>
        <w:top w:val="none" w:sz="0" w:space="0" w:color="auto"/>
        <w:left w:val="none" w:sz="0" w:space="0" w:color="auto"/>
        <w:bottom w:val="none" w:sz="0" w:space="0" w:color="auto"/>
        <w:right w:val="none" w:sz="0" w:space="0" w:color="auto"/>
      </w:divBdr>
    </w:div>
    <w:div w:id="105082646">
      <w:bodyDiv w:val="1"/>
      <w:marLeft w:val="0"/>
      <w:marRight w:val="0"/>
      <w:marTop w:val="0"/>
      <w:marBottom w:val="0"/>
      <w:divBdr>
        <w:top w:val="none" w:sz="0" w:space="0" w:color="auto"/>
        <w:left w:val="none" w:sz="0" w:space="0" w:color="auto"/>
        <w:bottom w:val="none" w:sz="0" w:space="0" w:color="auto"/>
        <w:right w:val="none" w:sz="0" w:space="0" w:color="auto"/>
      </w:divBdr>
    </w:div>
    <w:div w:id="108090530">
      <w:bodyDiv w:val="1"/>
      <w:marLeft w:val="0"/>
      <w:marRight w:val="0"/>
      <w:marTop w:val="0"/>
      <w:marBottom w:val="0"/>
      <w:divBdr>
        <w:top w:val="none" w:sz="0" w:space="0" w:color="auto"/>
        <w:left w:val="none" w:sz="0" w:space="0" w:color="auto"/>
        <w:bottom w:val="none" w:sz="0" w:space="0" w:color="auto"/>
        <w:right w:val="none" w:sz="0" w:space="0" w:color="auto"/>
      </w:divBdr>
    </w:div>
    <w:div w:id="112329072">
      <w:bodyDiv w:val="1"/>
      <w:marLeft w:val="0"/>
      <w:marRight w:val="0"/>
      <w:marTop w:val="0"/>
      <w:marBottom w:val="0"/>
      <w:divBdr>
        <w:top w:val="none" w:sz="0" w:space="0" w:color="auto"/>
        <w:left w:val="none" w:sz="0" w:space="0" w:color="auto"/>
        <w:bottom w:val="none" w:sz="0" w:space="0" w:color="auto"/>
        <w:right w:val="none" w:sz="0" w:space="0" w:color="auto"/>
      </w:divBdr>
    </w:div>
    <w:div w:id="120417090">
      <w:bodyDiv w:val="1"/>
      <w:marLeft w:val="0"/>
      <w:marRight w:val="0"/>
      <w:marTop w:val="0"/>
      <w:marBottom w:val="0"/>
      <w:divBdr>
        <w:top w:val="none" w:sz="0" w:space="0" w:color="auto"/>
        <w:left w:val="none" w:sz="0" w:space="0" w:color="auto"/>
        <w:bottom w:val="none" w:sz="0" w:space="0" w:color="auto"/>
        <w:right w:val="none" w:sz="0" w:space="0" w:color="auto"/>
      </w:divBdr>
    </w:div>
    <w:div w:id="125858692">
      <w:bodyDiv w:val="1"/>
      <w:marLeft w:val="0"/>
      <w:marRight w:val="0"/>
      <w:marTop w:val="0"/>
      <w:marBottom w:val="0"/>
      <w:divBdr>
        <w:top w:val="none" w:sz="0" w:space="0" w:color="auto"/>
        <w:left w:val="none" w:sz="0" w:space="0" w:color="auto"/>
        <w:bottom w:val="none" w:sz="0" w:space="0" w:color="auto"/>
        <w:right w:val="none" w:sz="0" w:space="0" w:color="auto"/>
      </w:divBdr>
    </w:div>
    <w:div w:id="127675181">
      <w:bodyDiv w:val="1"/>
      <w:marLeft w:val="0"/>
      <w:marRight w:val="0"/>
      <w:marTop w:val="0"/>
      <w:marBottom w:val="0"/>
      <w:divBdr>
        <w:top w:val="none" w:sz="0" w:space="0" w:color="auto"/>
        <w:left w:val="none" w:sz="0" w:space="0" w:color="auto"/>
        <w:bottom w:val="none" w:sz="0" w:space="0" w:color="auto"/>
        <w:right w:val="none" w:sz="0" w:space="0" w:color="auto"/>
      </w:divBdr>
    </w:div>
    <w:div w:id="128404014">
      <w:bodyDiv w:val="1"/>
      <w:marLeft w:val="0"/>
      <w:marRight w:val="0"/>
      <w:marTop w:val="0"/>
      <w:marBottom w:val="0"/>
      <w:divBdr>
        <w:top w:val="none" w:sz="0" w:space="0" w:color="auto"/>
        <w:left w:val="none" w:sz="0" w:space="0" w:color="auto"/>
        <w:bottom w:val="none" w:sz="0" w:space="0" w:color="auto"/>
        <w:right w:val="none" w:sz="0" w:space="0" w:color="auto"/>
      </w:divBdr>
    </w:div>
    <w:div w:id="129985192">
      <w:bodyDiv w:val="1"/>
      <w:marLeft w:val="0"/>
      <w:marRight w:val="0"/>
      <w:marTop w:val="0"/>
      <w:marBottom w:val="0"/>
      <w:divBdr>
        <w:top w:val="none" w:sz="0" w:space="0" w:color="auto"/>
        <w:left w:val="none" w:sz="0" w:space="0" w:color="auto"/>
        <w:bottom w:val="none" w:sz="0" w:space="0" w:color="auto"/>
        <w:right w:val="none" w:sz="0" w:space="0" w:color="auto"/>
      </w:divBdr>
    </w:div>
    <w:div w:id="130052473">
      <w:bodyDiv w:val="1"/>
      <w:marLeft w:val="0"/>
      <w:marRight w:val="0"/>
      <w:marTop w:val="0"/>
      <w:marBottom w:val="0"/>
      <w:divBdr>
        <w:top w:val="none" w:sz="0" w:space="0" w:color="auto"/>
        <w:left w:val="none" w:sz="0" w:space="0" w:color="auto"/>
        <w:bottom w:val="none" w:sz="0" w:space="0" w:color="auto"/>
        <w:right w:val="none" w:sz="0" w:space="0" w:color="auto"/>
      </w:divBdr>
    </w:div>
    <w:div w:id="130366132">
      <w:bodyDiv w:val="1"/>
      <w:marLeft w:val="0"/>
      <w:marRight w:val="0"/>
      <w:marTop w:val="0"/>
      <w:marBottom w:val="0"/>
      <w:divBdr>
        <w:top w:val="none" w:sz="0" w:space="0" w:color="auto"/>
        <w:left w:val="none" w:sz="0" w:space="0" w:color="auto"/>
        <w:bottom w:val="none" w:sz="0" w:space="0" w:color="auto"/>
        <w:right w:val="none" w:sz="0" w:space="0" w:color="auto"/>
      </w:divBdr>
    </w:div>
    <w:div w:id="132254614">
      <w:bodyDiv w:val="1"/>
      <w:marLeft w:val="0"/>
      <w:marRight w:val="0"/>
      <w:marTop w:val="0"/>
      <w:marBottom w:val="0"/>
      <w:divBdr>
        <w:top w:val="none" w:sz="0" w:space="0" w:color="auto"/>
        <w:left w:val="none" w:sz="0" w:space="0" w:color="auto"/>
        <w:bottom w:val="none" w:sz="0" w:space="0" w:color="auto"/>
        <w:right w:val="none" w:sz="0" w:space="0" w:color="auto"/>
      </w:divBdr>
    </w:div>
    <w:div w:id="133068289">
      <w:bodyDiv w:val="1"/>
      <w:marLeft w:val="0"/>
      <w:marRight w:val="0"/>
      <w:marTop w:val="0"/>
      <w:marBottom w:val="0"/>
      <w:divBdr>
        <w:top w:val="none" w:sz="0" w:space="0" w:color="auto"/>
        <w:left w:val="none" w:sz="0" w:space="0" w:color="auto"/>
        <w:bottom w:val="none" w:sz="0" w:space="0" w:color="auto"/>
        <w:right w:val="none" w:sz="0" w:space="0" w:color="auto"/>
      </w:divBdr>
    </w:div>
    <w:div w:id="133916504">
      <w:bodyDiv w:val="1"/>
      <w:marLeft w:val="0"/>
      <w:marRight w:val="0"/>
      <w:marTop w:val="0"/>
      <w:marBottom w:val="0"/>
      <w:divBdr>
        <w:top w:val="none" w:sz="0" w:space="0" w:color="auto"/>
        <w:left w:val="none" w:sz="0" w:space="0" w:color="auto"/>
        <w:bottom w:val="none" w:sz="0" w:space="0" w:color="auto"/>
        <w:right w:val="none" w:sz="0" w:space="0" w:color="auto"/>
      </w:divBdr>
    </w:div>
    <w:div w:id="139158890">
      <w:bodyDiv w:val="1"/>
      <w:marLeft w:val="0"/>
      <w:marRight w:val="0"/>
      <w:marTop w:val="0"/>
      <w:marBottom w:val="0"/>
      <w:divBdr>
        <w:top w:val="none" w:sz="0" w:space="0" w:color="auto"/>
        <w:left w:val="none" w:sz="0" w:space="0" w:color="auto"/>
        <w:bottom w:val="none" w:sz="0" w:space="0" w:color="auto"/>
        <w:right w:val="none" w:sz="0" w:space="0" w:color="auto"/>
      </w:divBdr>
    </w:div>
    <w:div w:id="142040524">
      <w:bodyDiv w:val="1"/>
      <w:marLeft w:val="0"/>
      <w:marRight w:val="0"/>
      <w:marTop w:val="0"/>
      <w:marBottom w:val="0"/>
      <w:divBdr>
        <w:top w:val="none" w:sz="0" w:space="0" w:color="auto"/>
        <w:left w:val="none" w:sz="0" w:space="0" w:color="auto"/>
        <w:bottom w:val="none" w:sz="0" w:space="0" w:color="auto"/>
        <w:right w:val="none" w:sz="0" w:space="0" w:color="auto"/>
      </w:divBdr>
    </w:div>
    <w:div w:id="142089113">
      <w:bodyDiv w:val="1"/>
      <w:marLeft w:val="0"/>
      <w:marRight w:val="0"/>
      <w:marTop w:val="0"/>
      <w:marBottom w:val="0"/>
      <w:divBdr>
        <w:top w:val="none" w:sz="0" w:space="0" w:color="auto"/>
        <w:left w:val="none" w:sz="0" w:space="0" w:color="auto"/>
        <w:bottom w:val="none" w:sz="0" w:space="0" w:color="auto"/>
        <w:right w:val="none" w:sz="0" w:space="0" w:color="auto"/>
      </w:divBdr>
    </w:div>
    <w:div w:id="142551176">
      <w:bodyDiv w:val="1"/>
      <w:marLeft w:val="0"/>
      <w:marRight w:val="0"/>
      <w:marTop w:val="0"/>
      <w:marBottom w:val="0"/>
      <w:divBdr>
        <w:top w:val="none" w:sz="0" w:space="0" w:color="auto"/>
        <w:left w:val="none" w:sz="0" w:space="0" w:color="auto"/>
        <w:bottom w:val="none" w:sz="0" w:space="0" w:color="auto"/>
        <w:right w:val="none" w:sz="0" w:space="0" w:color="auto"/>
      </w:divBdr>
    </w:div>
    <w:div w:id="145168452">
      <w:bodyDiv w:val="1"/>
      <w:marLeft w:val="0"/>
      <w:marRight w:val="0"/>
      <w:marTop w:val="0"/>
      <w:marBottom w:val="0"/>
      <w:divBdr>
        <w:top w:val="none" w:sz="0" w:space="0" w:color="auto"/>
        <w:left w:val="none" w:sz="0" w:space="0" w:color="auto"/>
        <w:bottom w:val="none" w:sz="0" w:space="0" w:color="auto"/>
        <w:right w:val="none" w:sz="0" w:space="0" w:color="auto"/>
      </w:divBdr>
    </w:div>
    <w:div w:id="145710654">
      <w:bodyDiv w:val="1"/>
      <w:marLeft w:val="0"/>
      <w:marRight w:val="0"/>
      <w:marTop w:val="0"/>
      <w:marBottom w:val="0"/>
      <w:divBdr>
        <w:top w:val="none" w:sz="0" w:space="0" w:color="auto"/>
        <w:left w:val="none" w:sz="0" w:space="0" w:color="auto"/>
        <w:bottom w:val="none" w:sz="0" w:space="0" w:color="auto"/>
        <w:right w:val="none" w:sz="0" w:space="0" w:color="auto"/>
      </w:divBdr>
    </w:div>
    <w:div w:id="149517540">
      <w:bodyDiv w:val="1"/>
      <w:marLeft w:val="0"/>
      <w:marRight w:val="0"/>
      <w:marTop w:val="0"/>
      <w:marBottom w:val="0"/>
      <w:divBdr>
        <w:top w:val="none" w:sz="0" w:space="0" w:color="auto"/>
        <w:left w:val="none" w:sz="0" w:space="0" w:color="auto"/>
        <w:bottom w:val="none" w:sz="0" w:space="0" w:color="auto"/>
        <w:right w:val="none" w:sz="0" w:space="0" w:color="auto"/>
      </w:divBdr>
    </w:div>
    <w:div w:id="153642308">
      <w:bodyDiv w:val="1"/>
      <w:marLeft w:val="0"/>
      <w:marRight w:val="0"/>
      <w:marTop w:val="0"/>
      <w:marBottom w:val="0"/>
      <w:divBdr>
        <w:top w:val="none" w:sz="0" w:space="0" w:color="auto"/>
        <w:left w:val="none" w:sz="0" w:space="0" w:color="auto"/>
        <w:bottom w:val="none" w:sz="0" w:space="0" w:color="auto"/>
        <w:right w:val="none" w:sz="0" w:space="0" w:color="auto"/>
      </w:divBdr>
    </w:div>
    <w:div w:id="159348918">
      <w:bodyDiv w:val="1"/>
      <w:marLeft w:val="0"/>
      <w:marRight w:val="0"/>
      <w:marTop w:val="0"/>
      <w:marBottom w:val="0"/>
      <w:divBdr>
        <w:top w:val="none" w:sz="0" w:space="0" w:color="auto"/>
        <w:left w:val="none" w:sz="0" w:space="0" w:color="auto"/>
        <w:bottom w:val="none" w:sz="0" w:space="0" w:color="auto"/>
        <w:right w:val="none" w:sz="0" w:space="0" w:color="auto"/>
      </w:divBdr>
    </w:div>
    <w:div w:id="160124428">
      <w:bodyDiv w:val="1"/>
      <w:marLeft w:val="0"/>
      <w:marRight w:val="0"/>
      <w:marTop w:val="0"/>
      <w:marBottom w:val="0"/>
      <w:divBdr>
        <w:top w:val="none" w:sz="0" w:space="0" w:color="auto"/>
        <w:left w:val="none" w:sz="0" w:space="0" w:color="auto"/>
        <w:bottom w:val="none" w:sz="0" w:space="0" w:color="auto"/>
        <w:right w:val="none" w:sz="0" w:space="0" w:color="auto"/>
      </w:divBdr>
    </w:div>
    <w:div w:id="163740344">
      <w:bodyDiv w:val="1"/>
      <w:marLeft w:val="0"/>
      <w:marRight w:val="0"/>
      <w:marTop w:val="0"/>
      <w:marBottom w:val="0"/>
      <w:divBdr>
        <w:top w:val="none" w:sz="0" w:space="0" w:color="auto"/>
        <w:left w:val="none" w:sz="0" w:space="0" w:color="auto"/>
        <w:bottom w:val="none" w:sz="0" w:space="0" w:color="auto"/>
        <w:right w:val="none" w:sz="0" w:space="0" w:color="auto"/>
      </w:divBdr>
    </w:div>
    <w:div w:id="166986863">
      <w:bodyDiv w:val="1"/>
      <w:marLeft w:val="0"/>
      <w:marRight w:val="0"/>
      <w:marTop w:val="0"/>
      <w:marBottom w:val="0"/>
      <w:divBdr>
        <w:top w:val="none" w:sz="0" w:space="0" w:color="auto"/>
        <w:left w:val="none" w:sz="0" w:space="0" w:color="auto"/>
        <w:bottom w:val="none" w:sz="0" w:space="0" w:color="auto"/>
        <w:right w:val="none" w:sz="0" w:space="0" w:color="auto"/>
      </w:divBdr>
    </w:div>
    <w:div w:id="167212418">
      <w:bodyDiv w:val="1"/>
      <w:marLeft w:val="0"/>
      <w:marRight w:val="0"/>
      <w:marTop w:val="0"/>
      <w:marBottom w:val="0"/>
      <w:divBdr>
        <w:top w:val="none" w:sz="0" w:space="0" w:color="auto"/>
        <w:left w:val="none" w:sz="0" w:space="0" w:color="auto"/>
        <w:bottom w:val="none" w:sz="0" w:space="0" w:color="auto"/>
        <w:right w:val="none" w:sz="0" w:space="0" w:color="auto"/>
      </w:divBdr>
    </w:div>
    <w:div w:id="167332372">
      <w:bodyDiv w:val="1"/>
      <w:marLeft w:val="0"/>
      <w:marRight w:val="0"/>
      <w:marTop w:val="0"/>
      <w:marBottom w:val="0"/>
      <w:divBdr>
        <w:top w:val="none" w:sz="0" w:space="0" w:color="auto"/>
        <w:left w:val="none" w:sz="0" w:space="0" w:color="auto"/>
        <w:bottom w:val="none" w:sz="0" w:space="0" w:color="auto"/>
        <w:right w:val="none" w:sz="0" w:space="0" w:color="auto"/>
      </w:divBdr>
    </w:div>
    <w:div w:id="173963904">
      <w:bodyDiv w:val="1"/>
      <w:marLeft w:val="0"/>
      <w:marRight w:val="0"/>
      <w:marTop w:val="0"/>
      <w:marBottom w:val="0"/>
      <w:divBdr>
        <w:top w:val="none" w:sz="0" w:space="0" w:color="auto"/>
        <w:left w:val="none" w:sz="0" w:space="0" w:color="auto"/>
        <w:bottom w:val="none" w:sz="0" w:space="0" w:color="auto"/>
        <w:right w:val="none" w:sz="0" w:space="0" w:color="auto"/>
      </w:divBdr>
    </w:div>
    <w:div w:id="175002492">
      <w:bodyDiv w:val="1"/>
      <w:marLeft w:val="0"/>
      <w:marRight w:val="0"/>
      <w:marTop w:val="0"/>
      <w:marBottom w:val="0"/>
      <w:divBdr>
        <w:top w:val="none" w:sz="0" w:space="0" w:color="auto"/>
        <w:left w:val="none" w:sz="0" w:space="0" w:color="auto"/>
        <w:bottom w:val="none" w:sz="0" w:space="0" w:color="auto"/>
        <w:right w:val="none" w:sz="0" w:space="0" w:color="auto"/>
      </w:divBdr>
    </w:div>
    <w:div w:id="177083058">
      <w:bodyDiv w:val="1"/>
      <w:marLeft w:val="0"/>
      <w:marRight w:val="0"/>
      <w:marTop w:val="0"/>
      <w:marBottom w:val="0"/>
      <w:divBdr>
        <w:top w:val="none" w:sz="0" w:space="0" w:color="auto"/>
        <w:left w:val="none" w:sz="0" w:space="0" w:color="auto"/>
        <w:bottom w:val="none" w:sz="0" w:space="0" w:color="auto"/>
        <w:right w:val="none" w:sz="0" w:space="0" w:color="auto"/>
      </w:divBdr>
    </w:div>
    <w:div w:id="181011969">
      <w:bodyDiv w:val="1"/>
      <w:marLeft w:val="0"/>
      <w:marRight w:val="0"/>
      <w:marTop w:val="0"/>
      <w:marBottom w:val="0"/>
      <w:divBdr>
        <w:top w:val="none" w:sz="0" w:space="0" w:color="auto"/>
        <w:left w:val="none" w:sz="0" w:space="0" w:color="auto"/>
        <w:bottom w:val="none" w:sz="0" w:space="0" w:color="auto"/>
        <w:right w:val="none" w:sz="0" w:space="0" w:color="auto"/>
      </w:divBdr>
    </w:div>
    <w:div w:id="181405310">
      <w:bodyDiv w:val="1"/>
      <w:marLeft w:val="0"/>
      <w:marRight w:val="0"/>
      <w:marTop w:val="0"/>
      <w:marBottom w:val="0"/>
      <w:divBdr>
        <w:top w:val="none" w:sz="0" w:space="0" w:color="auto"/>
        <w:left w:val="none" w:sz="0" w:space="0" w:color="auto"/>
        <w:bottom w:val="none" w:sz="0" w:space="0" w:color="auto"/>
        <w:right w:val="none" w:sz="0" w:space="0" w:color="auto"/>
      </w:divBdr>
    </w:div>
    <w:div w:id="182398663">
      <w:bodyDiv w:val="1"/>
      <w:marLeft w:val="0"/>
      <w:marRight w:val="0"/>
      <w:marTop w:val="0"/>
      <w:marBottom w:val="0"/>
      <w:divBdr>
        <w:top w:val="none" w:sz="0" w:space="0" w:color="auto"/>
        <w:left w:val="none" w:sz="0" w:space="0" w:color="auto"/>
        <w:bottom w:val="none" w:sz="0" w:space="0" w:color="auto"/>
        <w:right w:val="none" w:sz="0" w:space="0" w:color="auto"/>
      </w:divBdr>
    </w:div>
    <w:div w:id="184290171">
      <w:bodyDiv w:val="1"/>
      <w:marLeft w:val="0"/>
      <w:marRight w:val="0"/>
      <w:marTop w:val="0"/>
      <w:marBottom w:val="0"/>
      <w:divBdr>
        <w:top w:val="none" w:sz="0" w:space="0" w:color="auto"/>
        <w:left w:val="none" w:sz="0" w:space="0" w:color="auto"/>
        <w:bottom w:val="none" w:sz="0" w:space="0" w:color="auto"/>
        <w:right w:val="none" w:sz="0" w:space="0" w:color="auto"/>
      </w:divBdr>
    </w:div>
    <w:div w:id="190188478">
      <w:bodyDiv w:val="1"/>
      <w:marLeft w:val="0"/>
      <w:marRight w:val="0"/>
      <w:marTop w:val="0"/>
      <w:marBottom w:val="0"/>
      <w:divBdr>
        <w:top w:val="none" w:sz="0" w:space="0" w:color="auto"/>
        <w:left w:val="none" w:sz="0" w:space="0" w:color="auto"/>
        <w:bottom w:val="none" w:sz="0" w:space="0" w:color="auto"/>
        <w:right w:val="none" w:sz="0" w:space="0" w:color="auto"/>
      </w:divBdr>
    </w:div>
    <w:div w:id="191186786">
      <w:bodyDiv w:val="1"/>
      <w:marLeft w:val="0"/>
      <w:marRight w:val="0"/>
      <w:marTop w:val="0"/>
      <w:marBottom w:val="0"/>
      <w:divBdr>
        <w:top w:val="none" w:sz="0" w:space="0" w:color="auto"/>
        <w:left w:val="none" w:sz="0" w:space="0" w:color="auto"/>
        <w:bottom w:val="none" w:sz="0" w:space="0" w:color="auto"/>
        <w:right w:val="none" w:sz="0" w:space="0" w:color="auto"/>
      </w:divBdr>
    </w:div>
    <w:div w:id="191769178">
      <w:bodyDiv w:val="1"/>
      <w:marLeft w:val="0"/>
      <w:marRight w:val="0"/>
      <w:marTop w:val="0"/>
      <w:marBottom w:val="0"/>
      <w:divBdr>
        <w:top w:val="none" w:sz="0" w:space="0" w:color="auto"/>
        <w:left w:val="none" w:sz="0" w:space="0" w:color="auto"/>
        <w:bottom w:val="none" w:sz="0" w:space="0" w:color="auto"/>
        <w:right w:val="none" w:sz="0" w:space="0" w:color="auto"/>
      </w:divBdr>
    </w:div>
    <w:div w:id="191966284">
      <w:bodyDiv w:val="1"/>
      <w:marLeft w:val="0"/>
      <w:marRight w:val="0"/>
      <w:marTop w:val="0"/>
      <w:marBottom w:val="0"/>
      <w:divBdr>
        <w:top w:val="none" w:sz="0" w:space="0" w:color="auto"/>
        <w:left w:val="none" w:sz="0" w:space="0" w:color="auto"/>
        <w:bottom w:val="none" w:sz="0" w:space="0" w:color="auto"/>
        <w:right w:val="none" w:sz="0" w:space="0" w:color="auto"/>
      </w:divBdr>
    </w:div>
    <w:div w:id="193731999">
      <w:bodyDiv w:val="1"/>
      <w:marLeft w:val="0"/>
      <w:marRight w:val="0"/>
      <w:marTop w:val="0"/>
      <w:marBottom w:val="0"/>
      <w:divBdr>
        <w:top w:val="none" w:sz="0" w:space="0" w:color="auto"/>
        <w:left w:val="none" w:sz="0" w:space="0" w:color="auto"/>
        <w:bottom w:val="none" w:sz="0" w:space="0" w:color="auto"/>
        <w:right w:val="none" w:sz="0" w:space="0" w:color="auto"/>
      </w:divBdr>
    </w:div>
    <w:div w:id="195627329">
      <w:bodyDiv w:val="1"/>
      <w:marLeft w:val="0"/>
      <w:marRight w:val="0"/>
      <w:marTop w:val="0"/>
      <w:marBottom w:val="0"/>
      <w:divBdr>
        <w:top w:val="none" w:sz="0" w:space="0" w:color="auto"/>
        <w:left w:val="none" w:sz="0" w:space="0" w:color="auto"/>
        <w:bottom w:val="none" w:sz="0" w:space="0" w:color="auto"/>
        <w:right w:val="none" w:sz="0" w:space="0" w:color="auto"/>
      </w:divBdr>
    </w:div>
    <w:div w:id="195822932">
      <w:bodyDiv w:val="1"/>
      <w:marLeft w:val="0"/>
      <w:marRight w:val="0"/>
      <w:marTop w:val="0"/>
      <w:marBottom w:val="0"/>
      <w:divBdr>
        <w:top w:val="none" w:sz="0" w:space="0" w:color="auto"/>
        <w:left w:val="none" w:sz="0" w:space="0" w:color="auto"/>
        <w:bottom w:val="none" w:sz="0" w:space="0" w:color="auto"/>
        <w:right w:val="none" w:sz="0" w:space="0" w:color="auto"/>
      </w:divBdr>
    </w:div>
    <w:div w:id="198203860">
      <w:bodyDiv w:val="1"/>
      <w:marLeft w:val="0"/>
      <w:marRight w:val="0"/>
      <w:marTop w:val="0"/>
      <w:marBottom w:val="0"/>
      <w:divBdr>
        <w:top w:val="none" w:sz="0" w:space="0" w:color="auto"/>
        <w:left w:val="none" w:sz="0" w:space="0" w:color="auto"/>
        <w:bottom w:val="none" w:sz="0" w:space="0" w:color="auto"/>
        <w:right w:val="none" w:sz="0" w:space="0" w:color="auto"/>
      </w:divBdr>
    </w:div>
    <w:div w:id="198326547">
      <w:bodyDiv w:val="1"/>
      <w:marLeft w:val="0"/>
      <w:marRight w:val="0"/>
      <w:marTop w:val="0"/>
      <w:marBottom w:val="0"/>
      <w:divBdr>
        <w:top w:val="none" w:sz="0" w:space="0" w:color="auto"/>
        <w:left w:val="none" w:sz="0" w:space="0" w:color="auto"/>
        <w:bottom w:val="none" w:sz="0" w:space="0" w:color="auto"/>
        <w:right w:val="none" w:sz="0" w:space="0" w:color="auto"/>
      </w:divBdr>
    </w:div>
    <w:div w:id="200095733">
      <w:bodyDiv w:val="1"/>
      <w:marLeft w:val="0"/>
      <w:marRight w:val="0"/>
      <w:marTop w:val="0"/>
      <w:marBottom w:val="0"/>
      <w:divBdr>
        <w:top w:val="none" w:sz="0" w:space="0" w:color="auto"/>
        <w:left w:val="none" w:sz="0" w:space="0" w:color="auto"/>
        <w:bottom w:val="none" w:sz="0" w:space="0" w:color="auto"/>
        <w:right w:val="none" w:sz="0" w:space="0" w:color="auto"/>
      </w:divBdr>
    </w:div>
    <w:div w:id="200438145">
      <w:bodyDiv w:val="1"/>
      <w:marLeft w:val="0"/>
      <w:marRight w:val="0"/>
      <w:marTop w:val="0"/>
      <w:marBottom w:val="0"/>
      <w:divBdr>
        <w:top w:val="none" w:sz="0" w:space="0" w:color="auto"/>
        <w:left w:val="none" w:sz="0" w:space="0" w:color="auto"/>
        <w:bottom w:val="none" w:sz="0" w:space="0" w:color="auto"/>
        <w:right w:val="none" w:sz="0" w:space="0" w:color="auto"/>
      </w:divBdr>
    </w:div>
    <w:div w:id="204292414">
      <w:bodyDiv w:val="1"/>
      <w:marLeft w:val="0"/>
      <w:marRight w:val="0"/>
      <w:marTop w:val="0"/>
      <w:marBottom w:val="0"/>
      <w:divBdr>
        <w:top w:val="none" w:sz="0" w:space="0" w:color="auto"/>
        <w:left w:val="none" w:sz="0" w:space="0" w:color="auto"/>
        <w:bottom w:val="none" w:sz="0" w:space="0" w:color="auto"/>
        <w:right w:val="none" w:sz="0" w:space="0" w:color="auto"/>
      </w:divBdr>
    </w:div>
    <w:div w:id="212230328">
      <w:bodyDiv w:val="1"/>
      <w:marLeft w:val="0"/>
      <w:marRight w:val="0"/>
      <w:marTop w:val="0"/>
      <w:marBottom w:val="0"/>
      <w:divBdr>
        <w:top w:val="none" w:sz="0" w:space="0" w:color="auto"/>
        <w:left w:val="none" w:sz="0" w:space="0" w:color="auto"/>
        <w:bottom w:val="none" w:sz="0" w:space="0" w:color="auto"/>
        <w:right w:val="none" w:sz="0" w:space="0" w:color="auto"/>
      </w:divBdr>
    </w:div>
    <w:div w:id="214779730">
      <w:bodyDiv w:val="1"/>
      <w:marLeft w:val="0"/>
      <w:marRight w:val="0"/>
      <w:marTop w:val="0"/>
      <w:marBottom w:val="0"/>
      <w:divBdr>
        <w:top w:val="none" w:sz="0" w:space="0" w:color="auto"/>
        <w:left w:val="none" w:sz="0" w:space="0" w:color="auto"/>
        <w:bottom w:val="none" w:sz="0" w:space="0" w:color="auto"/>
        <w:right w:val="none" w:sz="0" w:space="0" w:color="auto"/>
      </w:divBdr>
    </w:div>
    <w:div w:id="215050266">
      <w:bodyDiv w:val="1"/>
      <w:marLeft w:val="0"/>
      <w:marRight w:val="0"/>
      <w:marTop w:val="0"/>
      <w:marBottom w:val="0"/>
      <w:divBdr>
        <w:top w:val="none" w:sz="0" w:space="0" w:color="auto"/>
        <w:left w:val="none" w:sz="0" w:space="0" w:color="auto"/>
        <w:bottom w:val="none" w:sz="0" w:space="0" w:color="auto"/>
        <w:right w:val="none" w:sz="0" w:space="0" w:color="auto"/>
      </w:divBdr>
    </w:div>
    <w:div w:id="220871551">
      <w:bodyDiv w:val="1"/>
      <w:marLeft w:val="0"/>
      <w:marRight w:val="0"/>
      <w:marTop w:val="0"/>
      <w:marBottom w:val="0"/>
      <w:divBdr>
        <w:top w:val="none" w:sz="0" w:space="0" w:color="auto"/>
        <w:left w:val="none" w:sz="0" w:space="0" w:color="auto"/>
        <w:bottom w:val="none" w:sz="0" w:space="0" w:color="auto"/>
        <w:right w:val="none" w:sz="0" w:space="0" w:color="auto"/>
      </w:divBdr>
    </w:div>
    <w:div w:id="225185864">
      <w:bodyDiv w:val="1"/>
      <w:marLeft w:val="0"/>
      <w:marRight w:val="0"/>
      <w:marTop w:val="0"/>
      <w:marBottom w:val="0"/>
      <w:divBdr>
        <w:top w:val="none" w:sz="0" w:space="0" w:color="auto"/>
        <w:left w:val="none" w:sz="0" w:space="0" w:color="auto"/>
        <w:bottom w:val="none" w:sz="0" w:space="0" w:color="auto"/>
        <w:right w:val="none" w:sz="0" w:space="0" w:color="auto"/>
      </w:divBdr>
    </w:div>
    <w:div w:id="225187406">
      <w:bodyDiv w:val="1"/>
      <w:marLeft w:val="0"/>
      <w:marRight w:val="0"/>
      <w:marTop w:val="0"/>
      <w:marBottom w:val="0"/>
      <w:divBdr>
        <w:top w:val="none" w:sz="0" w:space="0" w:color="auto"/>
        <w:left w:val="none" w:sz="0" w:space="0" w:color="auto"/>
        <w:bottom w:val="none" w:sz="0" w:space="0" w:color="auto"/>
        <w:right w:val="none" w:sz="0" w:space="0" w:color="auto"/>
      </w:divBdr>
    </w:div>
    <w:div w:id="225730560">
      <w:bodyDiv w:val="1"/>
      <w:marLeft w:val="0"/>
      <w:marRight w:val="0"/>
      <w:marTop w:val="0"/>
      <w:marBottom w:val="0"/>
      <w:divBdr>
        <w:top w:val="none" w:sz="0" w:space="0" w:color="auto"/>
        <w:left w:val="none" w:sz="0" w:space="0" w:color="auto"/>
        <w:bottom w:val="none" w:sz="0" w:space="0" w:color="auto"/>
        <w:right w:val="none" w:sz="0" w:space="0" w:color="auto"/>
      </w:divBdr>
    </w:div>
    <w:div w:id="227883666">
      <w:bodyDiv w:val="1"/>
      <w:marLeft w:val="0"/>
      <w:marRight w:val="0"/>
      <w:marTop w:val="0"/>
      <w:marBottom w:val="0"/>
      <w:divBdr>
        <w:top w:val="none" w:sz="0" w:space="0" w:color="auto"/>
        <w:left w:val="none" w:sz="0" w:space="0" w:color="auto"/>
        <w:bottom w:val="none" w:sz="0" w:space="0" w:color="auto"/>
        <w:right w:val="none" w:sz="0" w:space="0" w:color="auto"/>
      </w:divBdr>
    </w:div>
    <w:div w:id="228150394">
      <w:bodyDiv w:val="1"/>
      <w:marLeft w:val="0"/>
      <w:marRight w:val="0"/>
      <w:marTop w:val="0"/>
      <w:marBottom w:val="0"/>
      <w:divBdr>
        <w:top w:val="none" w:sz="0" w:space="0" w:color="auto"/>
        <w:left w:val="none" w:sz="0" w:space="0" w:color="auto"/>
        <w:bottom w:val="none" w:sz="0" w:space="0" w:color="auto"/>
        <w:right w:val="none" w:sz="0" w:space="0" w:color="auto"/>
      </w:divBdr>
    </w:div>
    <w:div w:id="228225692">
      <w:bodyDiv w:val="1"/>
      <w:marLeft w:val="0"/>
      <w:marRight w:val="0"/>
      <w:marTop w:val="0"/>
      <w:marBottom w:val="0"/>
      <w:divBdr>
        <w:top w:val="none" w:sz="0" w:space="0" w:color="auto"/>
        <w:left w:val="none" w:sz="0" w:space="0" w:color="auto"/>
        <w:bottom w:val="none" w:sz="0" w:space="0" w:color="auto"/>
        <w:right w:val="none" w:sz="0" w:space="0" w:color="auto"/>
      </w:divBdr>
    </w:div>
    <w:div w:id="231351351">
      <w:bodyDiv w:val="1"/>
      <w:marLeft w:val="0"/>
      <w:marRight w:val="0"/>
      <w:marTop w:val="0"/>
      <w:marBottom w:val="0"/>
      <w:divBdr>
        <w:top w:val="none" w:sz="0" w:space="0" w:color="auto"/>
        <w:left w:val="none" w:sz="0" w:space="0" w:color="auto"/>
        <w:bottom w:val="none" w:sz="0" w:space="0" w:color="auto"/>
        <w:right w:val="none" w:sz="0" w:space="0" w:color="auto"/>
      </w:divBdr>
    </w:div>
    <w:div w:id="232859529">
      <w:bodyDiv w:val="1"/>
      <w:marLeft w:val="0"/>
      <w:marRight w:val="0"/>
      <w:marTop w:val="0"/>
      <w:marBottom w:val="0"/>
      <w:divBdr>
        <w:top w:val="none" w:sz="0" w:space="0" w:color="auto"/>
        <w:left w:val="none" w:sz="0" w:space="0" w:color="auto"/>
        <w:bottom w:val="none" w:sz="0" w:space="0" w:color="auto"/>
        <w:right w:val="none" w:sz="0" w:space="0" w:color="auto"/>
      </w:divBdr>
    </w:div>
    <w:div w:id="233007433">
      <w:bodyDiv w:val="1"/>
      <w:marLeft w:val="0"/>
      <w:marRight w:val="0"/>
      <w:marTop w:val="0"/>
      <w:marBottom w:val="0"/>
      <w:divBdr>
        <w:top w:val="none" w:sz="0" w:space="0" w:color="auto"/>
        <w:left w:val="none" w:sz="0" w:space="0" w:color="auto"/>
        <w:bottom w:val="none" w:sz="0" w:space="0" w:color="auto"/>
        <w:right w:val="none" w:sz="0" w:space="0" w:color="auto"/>
      </w:divBdr>
    </w:div>
    <w:div w:id="234323421">
      <w:bodyDiv w:val="1"/>
      <w:marLeft w:val="0"/>
      <w:marRight w:val="0"/>
      <w:marTop w:val="0"/>
      <w:marBottom w:val="0"/>
      <w:divBdr>
        <w:top w:val="none" w:sz="0" w:space="0" w:color="auto"/>
        <w:left w:val="none" w:sz="0" w:space="0" w:color="auto"/>
        <w:bottom w:val="none" w:sz="0" w:space="0" w:color="auto"/>
        <w:right w:val="none" w:sz="0" w:space="0" w:color="auto"/>
      </w:divBdr>
    </w:div>
    <w:div w:id="240259559">
      <w:bodyDiv w:val="1"/>
      <w:marLeft w:val="0"/>
      <w:marRight w:val="0"/>
      <w:marTop w:val="0"/>
      <w:marBottom w:val="0"/>
      <w:divBdr>
        <w:top w:val="none" w:sz="0" w:space="0" w:color="auto"/>
        <w:left w:val="none" w:sz="0" w:space="0" w:color="auto"/>
        <w:bottom w:val="none" w:sz="0" w:space="0" w:color="auto"/>
        <w:right w:val="none" w:sz="0" w:space="0" w:color="auto"/>
      </w:divBdr>
    </w:div>
    <w:div w:id="241528920">
      <w:bodyDiv w:val="1"/>
      <w:marLeft w:val="0"/>
      <w:marRight w:val="0"/>
      <w:marTop w:val="0"/>
      <w:marBottom w:val="0"/>
      <w:divBdr>
        <w:top w:val="none" w:sz="0" w:space="0" w:color="auto"/>
        <w:left w:val="none" w:sz="0" w:space="0" w:color="auto"/>
        <w:bottom w:val="none" w:sz="0" w:space="0" w:color="auto"/>
        <w:right w:val="none" w:sz="0" w:space="0" w:color="auto"/>
      </w:divBdr>
    </w:div>
    <w:div w:id="242181148">
      <w:bodyDiv w:val="1"/>
      <w:marLeft w:val="0"/>
      <w:marRight w:val="0"/>
      <w:marTop w:val="0"/>
      <w:marBottom w:val="0"/>
      <w:divBdr>
        <w:top w:val="none" w:sz="0" w:space="0" w:color="auto"/>
        <w:left w:val="none" w:sz="0" w:space="0" w:color="auto"/>
        <w:bottom w:val="none" w:sz="0" w:space="0" w:color="auto"/>
        <w:right w:val="none" w:sz="0" w:space="0" w:color="auto"/>
      </w:divBdr>
    </w:div>
    <w:div w:id="243690770">
      <w:bodyDiv w:val="1"/>
      <w:marLeft w:val="0"/>
      <w:marRight w:val="0"/>
      <w:marTop w:val="0"/>
      <w:marBottom w:val="0"/>
      <w:divBdr>
        <w:top w:val="none" w:sz="0" w:space="0" w:color="auto"/>
        <w:left w:val="none" w:sz="0" w:space="0" w:color="auto"/>
        <w:bottom w:val="none" w:sz="0" w:space="0" w:color="auto"/>
        <w:right w:val="none" w:sz="0" w:space="0" w:color="auto"/>
      </w:divBdr>
    </w:div>
    <w:div w:id="244998616">
      <w:bodyDiv w:val="1"/>
      <w:marLeft w:val="0"/>
      <w:marRight w:val="0"/>
      <w:marTop w:val="0"/>
      <w:marBottom w:val="0"/>
      <w:divBdr>
        <w:top w:val="none" w:sz="0" w:space="0" w:color="auto"/>
        <w:left w:val="none" w:sz="0" w:space="0" w:color="auto"/>
        <w:bottom w:val="none" w:sz="0" w:space="0" w:color="auto"/>
        <w:right w:val="none" w:sz="0" w:space="0" w:color="auto"/>
      </w:divBdr>
    </w:div>
    <w:div w:id="246616278">
      <w:bodyDiv w:val="1"/>
      <w:marLeft w:val="0"/>
      <w:marRight w:val="0"/>
      <w:marTop w:val="0"/>
      <w:marBottom w:val="0"/>
      <w:divBdr>
        <w:top w:val="none" w:sz="0" w:space="0" w:color="auto"/>
        <w:left w:val="none" w:sz="0" w:space="0" w:color="auto"/>
        <w:bottom w:val="none" w:sz="0" w:space="0" w:color="auto"/>
        <w:right w:val="none" w:sz="0" w:space="0" w:color="auto"/>
      </w:divBdr>
    </w:div>
    <w:div w:id="247271472">
      <w:bodyDiv w:val="1"/>
      <w:marLeft w:val="0"/>
      <w:marRight w:val="0"/>
      <w:marTop w:val="0"/>
      <w:marBottom w:val="0"/>
      <w:divBdr>
        <w:top w:val="none" w:sz="0" w:space="0" w:color="auto"/>
        <w:left w:val="none" w:sz="0" w:space="0" w:color="auto"/>
        <w:bottom w:val="none" w:sz="0" w:space="0" w:color="auto"/>
        <w:right w:val="none" w:sz="0" w:space="0" w:color="auto"/>
      </w:divBdr>
    </w:div>
    <w:div w:id="259458545">
      <w:bodyDiv w:val="1"/>
      <w:marLeft w:val="0"/>
      <w:marRight w:val="0"/>
      <w:marTop w:val="0"/>
      <w:marBottom w:val="0"/>
      <w:divBdr>
        <w:top w:val="none" w:sz="0" w:space="0" w:color="auto"/>
        <w:left w:val="none" w:sz="0" w:space="0" w:color="auto"/>
        <w:bottom w:val="none" w:sz="0" w:space="0" w:color="auto"/>
        <w:right w:val="none" w:sz="0" w:space="0" w:color="auto"/>
      </w:divBdr>
    </w:div>
    <w:div w:id="262110868">
      <w:bodyDiv w:val="1"/>
      <w:marLeft w:val="0"/>
      <w:marRight w:val="0"/>
      <w:marTop w:val="0"/>
      <w:marBottom w:val="0"/>
      <w:divBdr>
        <w:top w:val="none" w:sz="0" w:space="0" w:color="auto"/>
        <w:left w:val="none" w:sz="0" w:space="0" w:color="auto"/>
        <w:bottom w:val="none" w:sz="0" w:space="0" w:color="auto"/>
        <w:right w:val="none" w:sz="0" w:space="0" w:color="auto"/>
      </w:divBdr>
    </w:div>
    <w:div w:id="262347618">
      <w:bodyDiv w:val="1"/>
      <w:marLeft w:val="0"/>
      <w:marRight w:val="0"/>
      <w:marTop w:val="0"/>
      <w:marBottom w:val="0"/>
      <w:divBdr>
        <w:top w:val="none" w:sz="0" w:space="0" w:color="auto"/>
        <w:left w:val="none" w:sz="0" w:space="0" w:color="auto"/>
        <w:bottom w:val="none" w:sz="0" w:space="0" w:color="auto"/>
        <w:right w:val="none" w:sz="0" w:space="0" w:color="auto"/>
      </w:divBdr>
    </w:div>
    <w:div w:id="264849344">
      <w:bodyDiv w:val="1"/>
      <w:marLeft w:val="0"/>
      <w:marRight w:val="0"/>
      <w:marTop w:val="0"/>
      <w:marBottom w:val="0"/>
      <w:divBdr>
        <w:top w:val="none" w:sz="0" w:space="0" w:color="auto"/>
        <w:left w:val="none" w:sz="0" w:space="0" w:color="auto"/>
        <w:bottom w:val="none" w:sz="0" w:space="0" w:color="auto"/>
        <w:right w:val="none" w:sz="0" w:space="0" w:color="auto"/>
      </w:divBdr>
    </w:div>
    <w:div w:id="265162475">
      <w:bodyDiv w:val="1"/>
      <w:marLeft w:val="0"/>
      <w:marRight w:val="0"/>
      <w:marTop w:val="0"/>
      <w:marBottom w:val="0"/>
      <w:divBdr>
        <w:top w:val="none" w:sz="0" w:space="0" w:color="auto"/>
        <w:left w:val="none" w:sz="0" w:space="0" w:color="auto"/>
        <w:bottom w:val="none" w:sz="0" w:space="0" w:color="auto"/>
        <w:right w:val="none" w:sz="0" w:space="0" w:color="auto"/>
      </w:divBdr>
    </w:div>
    <w:div w:id="266696650">
      <w:bodyDiv w:val="1"/>
      <w:marLeft w:val="0"/>
      <w:marRight w:val="0"/>
      <w:marTop w:val="0"/>
      <w:marBottom w:val="0"/>
      <w:divBdr>
        <w:top w:val="none" w:sz="0" w:space="0" w:color="auto"/>
        <w:left w:val="none" w:sz="0" w:space="0" w:color="auto"/>
        <w:bottom w:val="none" w:sz="0" w:space="0" w:color="auto"/>
        <w:right w:val="none" w:sz="0" w:space="0" w:color="auto"/>
      </w:divBdr>
    </w:div>
    <w:div w:id="269708176">
      <w:bodyDiv w:val="1"/>
      <w:marLeft w:val="0"/>
      <w:marRight w:val="0"/>
      <w:marTop w:val="0"/>
      <w:marBottom w:val="0"/>
      <w:divBdr>
        <w:top w:val="none" w:sz="0" w:space="0" w:color="auto"/>
        <w:left w:val="none" w:sz="0" w:space="0" w:color="auto"/>
        <w:bottom w:val="none" w:sz="0" w:space="0" w:color="auto"/>
        <w:right w:val="none" w:sz="0" w:space="0" w:color="auto"/>
      </w:divBdr>
    </w:div>
    <w:div w:id="274481405">
      <w:bodyDiv w:val="1"/>
      <w:marLeft w:val="0"/>
      <w:marRight w:val="0"/>
      <w:marTop w:val="0"/>
      <w:marBottom w:val="0"/>
      <w:divBdr>
        <w:top w:val="none" w:sz="0" w:space="0" w:color="auto"/>
        <w:left w:val="none" w:sz="0" w:space="0" w:color="auto"/>
        <w:bottom w:val="none" w:sz="0" w:space="0" w:color="auto"/>
        <w:right w:val="none" w:sz="0" w:space="0" w:color="auto"/>
      </w:divBdr>
    </w:div>
    <w:div w:id="275911289">
      <w:bodyDiv w:val="1"/>
      <w:marLeft w:val="0"/>
      <w:marRight w:val="0"/>
      <w:marTop w:val="0"/>
      <w:marBottom w:val="0"/>
      <w:divBdr>
        <w:top w:val="none" w:sz="0" w:space="0" w:color="auto"/>
        <w:left w:val="none" w:sz="0" w:space="0" w:color="auto"/>
        <w:bottom w:val="none" w:sz="0" w:space="0" w:color="auto"/>
        <w:right w:val="none" w:sz="0" w:space="0" w:color="auto"/>
      </w:divBdr>
    </w:div>
    <w:div w:id="281621396">
      <w:bodyDiv w:val="1"/>
      <w:marLeft w:val="0"/>
      <w:marRight w:val="0"/>
      <w:marTop w:val="0"/>
      <w:marBottom w:val="0"/>
      <w:divBdr>
        <w:top w:val="none" w:sz="0" w:space="0" w:color="auto"/>
        <w:left w:val="none" w:sz="0" w:space="0" w:color="auto"/>
        <w:bottom w:val="none" w:sz="0" w:space="0" w:color="auto"/>
        <w:right w:val="none" w:sz="0" w:space="0" w:color="auto"/>
      </w:divBdr>
    </w:div>
    <w:div w:id="281696356">
      <w:bodyDiv w:val="1"/>
      <w:marLeft w:val="0"/>
      <w:marRight w:val="0"/>
      <w:marTop w:val="0"/>
      <w:marBottom w:val="0"/>
      <w:divBdr>
        <w:top w:val="none" w:sz="0" w:space="0" w:color="auto"/>
        <w:left w:val="none" w:sz="0" w:space="0" w:color="auto"/>
        <w:bottom w:val="none" w:sz="0" w:space="0" w:color="auto"/>
        <w:right w:val="none" w:sz="0" w:space="0" w:color="auto"/>
      </w:divBdr>
    </w:div>
    <w:div w:id="283586755">
      <w:bodyDiv w:val="1"/>
      <w:marLeft w:val="0"/>
      <w:marRight w:val="0"/>
      <w:marTop w:val="0"/>
      <w:marBottom w:val="0"/>
      <w:divBdr>
        <w:top w:val="none" w:sz="0" w:space="0" w:color="auto"/>
        <w:left w:val="none" w:sz="0" w:space="0" w:color="auto"/>
        <w:bottom w:val="none" w:sz="0" w:space="0" w:color="auto"/>
        <w:right w:val="none" w:sz="0" w:space="0" w:color="auto"/>
      </w:divBdr>
    </w:div>
    <w:div w:id="286277334">
      <w:bodyDiv w:val="1"/>
      <w:marLeft w:val="0"/>
      <w:marRight w:val="0"/>
      <w:marTop w:val="0"/>
      <w:marBottom w:val="0"/>
      <w:divBdr>
        <w:top w:val="none" w:sz="0" w:space="0" w:color="auto"/>
        <w:left w:val="none" w:sz="0" w:space="0" w:color="auto"/>
        <w:bottom w:val="none" w:sz="0" w:space="0" w:color="auto"/>
        <w:right w:val="none" w:sz="0" w:space="0" w:color="auto"/>
      </w:divBdr>
    </w:div>
    <w:div w:id="290863843">
      <w:bodyDiv w:val="1"/>
      <w:marLeft w:val="0"/>
      <w:marRight w:val="0"/>
      <w:marTop w:val="0"/>
      <w:marBottom w:val="0"/>
      <w:divBdr>
        <w:top w:val="none" w:sz="0" w:space="0" w:color="auto"/>
        <w:left w:val="none" w:sz="0" w:space="0" w:color="auto"/>
        <w:bottom w:val="none" w:sz="0" w:space="0" w:color="auto"/>
        <w:right w:val="none" w:sz="0" w:space="0" w:color="auto"/>
      </w:divBdr>
    </w:div>
    <w:div w:id="291982837">
      <w:bodyDiv w:val="1"/>
      <w:marLeft w:val="0"/>
      <w:marRight w:val="0"/>
      <w:marTop w:val="0"/>
      <w:marBottom w:val="0"/>
      <w:divBdr>
        <w:top w:val="none" w:sz="0" w:space="0" w:color="auto"/>
        <w:left w:val="none" w:sz="0" w:space="0" w:color="auto"/>
        <w:bottom w:val="none" w:sz="0" w:space="0" w:color="auto"/>
        <w:right w:val="none" w:sz="0" w:space="0" w:color="auto"/>
      </w:divBdr>
    </w:div>
    <w:div w:id="294529683">
      <w:bodyDiv w:val="1"/>
      <w:marLeft w:val="0"/>
      <w:marRight w:val="0"/>
      <w:marTop w:val="0"/>
      <w:marBottom w:val="0"/>
      <w:divBdr>
        <w:top w:val="none" w:sz="0" w:space="0" w:color="auto"/>
        <w:left w:val="none" w:sz="0" w:space="0" w:color="auto"/>
        <w:bottom w:val="none" w:sz="0" w:space="0" w:color="auto"/>
        <w:right w:val="none" w:sz="0" w:space="0" w:color="auto"/>
      </w:divBdr>
    </w:div>
    <w:div w:id="294987934">
      <w:bodyDiv w:val="1"/>
      <w:marLeft w:val="0"/>
      <w:marRight w:val="0"/>
      <w:marTop w:val="0"/>
      <w:marBottom w:val="0"/>
      <w:divBdr>
        <w:top w:val="none" w:sz="0" w:space="0" w:color="auto"/>
        <w:left w:val="none" w:sz="0" w:space="0" w:color="auto"/>
        <w:bottom w:val="none" w:sz="0" w:space="0" w:color="auto"/>
        <w:right w:val="none" w:sz="0" w:space="0" w:color="auto"/>
      </w:divBdr>
    </w:div>
    <w:div w:id="295453506">
      <w:bodyDiv w:val="1"/>
      <w:marLeft w:val="0"/>
      <w:marRight w:val="0"/>
      <w:marTop w:val="0"/>
      <w:marBottom w:val="0"/>
      <w:divBdr>
        <w:top w:val="none" w:sz="0" w:space="0" w:color="auto"/>
        <w:left w:val="none" w:sz="0" w:space="0" w:color="auto"/>
        <w:bottom w:val="none" w:sz="0" w:space="0" w:color="auto"/>
        <w:right w:val="none" w:sz="0" w:space="0" w:color="auto"/>
      </w:divBdr>
    </w:div>
    <w:div w:id="297030806">
      <w:bodyDiv w:val="1"/>
      <w:marLeft w:val="0"/>
      <w:marRight w:val="0"/>
      <w:marTop w:val="0"/>
      <w:marBottom w:val="0"/>
      <w:divBdr>
        <w:top w:val="none" w:sz="0" w:space="0" w:color="auto"/>
        <w:left w:val="none" w:sz="0" w:space="0" w:color="auto"/>
        <w:bottom w:val="none" w:sz="0" w:space="0" w:color="auto"/>
        <w:right w:val="none" w:sz="0" w:space="0" w:color="auto"/>
      </w:divBdr>
    </w:div>
    <w:div w:id="299455809">
      <w:bodyDiv w:val="1"/>
      <w:marLeft w:val="0"/>
      <w:marRight w:val="0"/>
      <w:marTop w:val="0"/>
      <w:marBottom w:val="0"/>
      <w:divBdr>
        <w:top w:val="none" w:sz="0" w:space="0" w:color="auto"/>
        <w:left w:val="none" w:sz="0" w:space="0" w:color="auto"/>
        <w:bottom w:val="none" w:sz="0" w:space="0" w:color="auto"/>
        <w:right w:val="none" w:sz="0" w:space="0" w:color="auto"/>
      </w:divBdr>
    </w:div>
    <w:div w:id="299728079">
      <w:bodyDiv w:val="1"/>
      <w:marLeft w:val="0"/>
      <w:marRight w:val="0"/>
      <w:marTop w:val="0"/>
      <w:marBottom w:val="0"/>
      <w:divBdr>
        <w:top w:val="none" w:sz="0" w:space="0" w:color="auto"/>
        <w:left w:val="none" w:sz="0" w:space="0" w:color="auto"/>
        <w:bottom w:val="none" w:sz="0" w:space="0" w:color="auto"/>
        <w:right w:val="none" w:sz="0" w:space="0" w:color="auto"/>
      </w:divBdr>
    </w:div>
    <w:div w:id="299917042">
      <w:bodyDiv w:val="1"/>
      <w:marLeft w:val="0"/>
      <w:marRight w:val="0"/>
      <w:marTop w:val="0"/>
      <w:marBottom w:val="0"/>
      <w:divBdr>
        <w:top w:val="none" w:sz="0" w:space="0" w:color="auto"/>
        <w:left w:val="none" w:sz="0" w:space="0" w:color="auto"/>
        <w:bottom w:val="none" w:sz="0" w:space="0" w:color="auto"/>
        <w:right w:val="none" w:sz="0" w:space="0" w:color="auto"/>
      </w:divBdr>
    </w:div>
    <w:div w:id="300501226">
      <w:bodyDiv w:val="1"/>
      <w:marLeft w:val="0"/>
      <w:marRight w:val="0"/>
      <w:marTop w:val="0"/>
      <w:marBottom w:val="0"/>
      <w:divBdr>
        <w:top w:val="none" w:sz="0" w:space="0" w:color="auto"/>
        <w:left w:val="none" w:sz="0" w:space="0" w:color="auto"/>
        <w:bottom w:val="none" w:sz="0" w:space="0" w:color="auto"/>
        <w:right w:val="none" w:sz="0" w:space="0" w:color="auto"/>
      </w:divBdr>
    </w:div>
    <w:div w:id="305009937">
      <w:bodyDiv w:val="1"/>
      <w:marLeft w:val="0"/>
      <w:marRight w:val="0"/>
      <w:marTop w:val="0"/>
      <w:marBottom w:val="0"/>
      <w:divBdr>
        <w:top w:val="none" w:sz="0" w:space="0" w:color="auto"/>
        <w:left w:val="none" w:sz="0" w:space="0" w:color="auto"/>
        <w:bottom w:val="none" w:sz="0" w:space="0" w:color="auto"/>
        <w:right w:val="none" w:sz="0" w:space="0" w:color="auto"/>
      </w:divBdr>
    </w:div>
    <w:div w:id="307636624">
      <w:bodyDiv w:val="1"/>
      <w:marLeft w:val="0"/>
      <w:marRight w:val="0"/>
      <w:marTop w:val="0"/>
      <w:marBottom w:val="0"/>
      <w:divBdr>
        <w:top w:val="none" w:sz="0" w:space="0" w:color="auto"/>
        <w:left w:val="none" w:sz="0" w:space="0" w:color="auto"/>
        <w:bottom w:val="none" w:sz="0" w:space="0" w:color="auto"/>
        <w:right w:val="none" w:sz="0" w:space="0" w:color="auto"/>
      </w:divBdr>
    </w:div>
    <w:div w:id="309746283">
      <w:bodyDiv w:val="1"/>
      <w:marLeft w:val="0"/>
      <w:marRight w:val="0"/>
      <w:marTop w:val="0"/>
      <w:marBottom w:val="0"/>
      <w:divBdr>
        <w:top w:val="none" w:sz="0" w:space="0" w:color="auto"/>
        <w:left w:val="none" w:sz="0" w:space="0" w:color="auto"/>
        <w:bottom w:val="none" w:sz="0" w:space="0" w:color="auto"/>
        <w:right w:val="none" w:sz="0" w:space="0" w:color="auto"/>
      </w:divBdr>
    </w:div>
    <w:div w:id="311445322">
      <w:bodyDiv w:val="1"/>
      <w:marLeft w:val="0"/>
      <w:marRight w:val="0"/>
      <w:marTop w:val="0"/>
      <w:marBottom w:val="0"/>
      <w:divBdr>
        <w:top w:val="none" w:sz="0" w:space="0" w:color="auto"/>
        <w:left w:val="none" w:sz="0" w:space="0" w:color="auto"/>
        <w:bottom w:val="none" w:sz="0" w:space="0" w:color="auto"/>
        <w:right w:val="none" w:sz="0" w:space="0" w:color="auto"/>
      </w:divBdr>
    </w:div>
    <w:div w:id="321204420">
      <w:bodyDiv w:val="1"/>
      <w:marLeft w:val="0"/>
      <w:marRight w:val="0"/>
      <w:marTop w:val="0"/>
      <w:marBottom w:val="0"/>
      <w:divBdr>
        <w:top w:val="none" w:sz="0" w:space="0" w:color="auto"/>
        <w:left w:val="none" w:sz="0" w:space="0" w:color="auto"/>
        <w:bottom w:val="none" w:sz="0" w:space="0" w:color="auto"/>
        <w:right w:val="none" w:sz="0" w:space="0" w:color="auto"/>
      </w:divBdr>
    </w:div>
    <w:div w:id="327365317">
      <w:bodyDiv w:val="1"/>
      <w:marLeft w:val="0"/>
      <w:marRight w:val="0"/>
      <w:marTop w:val="0"/>
      <w:marBottom w:val="0"/>
      <w:divBdr>
        <w:top w:val="none" w:sz="0" w:space="0" w:color="auto"/>
        <w:left w:val="none" w:sz="0" w:space="0" w:color="auto"/>
        <w:bottom w:val="none" w:sz="0" w:space="0" w:color="auto"/>
        <w:right w:val="none" w:sz="0" w:space="0" w:color="auto"/>
      </w:divBdr>
    </w:div>
    <w:div w:id="329600425">
      <w:bodyDiv w:val="1"/>
      <w:marLeft w:val="0"/>
      <w:marRight w:val="0"/>
      <w:marTop w:val="0"/>
      <w:marBottom w:val="0"/>
      <w:divBdr>
        <w:top w:val="none" w:sz="0" w:space="0" w:color="auto"/>
        <w:left w:val="none" w:sz="0" w:space="0" w:color="auto"/>
        <w:bottom w:val="none" w:sz="0" w:space="0" w:color="auto"/>
        <w:right w:val="none" w:sz="0" w:space="0" w:color="auto"/>
      </w:divBdr>
    </w:div>
    <w:div w:id="332151499">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35890237">
      <w:bodyDiv w:val="1"/>
      <w:marLeft w:val="0"/>
      <w:marRight w:val="0"/>
      <w:marTop w:val="0"/>
      <w:marBottom w:val="0"/>
      <w:divBdr>
        <w:top w:val="none" w:sz="0" w:space="0" w:color="auto"/>
        <w:left w:val="none" w:sz="0" w:space="0" w:color="auto"/>
        <w:bottom w:val="none" w:sz="0" w:space="0" w:color="auto"/>
        <w:right w:val="none" w:sz="0" w:space="0" w:color="auto"/>
      </w:divBdr>
    </w:div>
    <w:div w:id="346182144">
      <w:bodyDiv w:val="1"/>
      <w:marLeft w:val="0"/>
      <w:marRight w:val="0"/>
      <w:marTop w:val="0"/>
      <w:marBottom w:val="0"/>
      <w:divBdr>
        <w:top w:val="none" w:sz="0" w:space="0" w:color="auto"/>
        <w:left w:val="none" w:sz="0" w:space="0" w:color="auto"/>
        <w:bottom w:val="none" w:sz="0" w:space="0" w:color="auto"/>
        <w:right w:val="none" w:sz="0" w:space="0" w:color="auto"/>
      </w:divBdr>
    </w:div>
    <w:div w:id="348022336">
      <w:bodyDiv w:val="1"/>
      <w:marLeft w:val="0"/>
      <w:marRight w:val="0"/>
      <w:marTop w:val="0"/>
      <w:marBottom w:val="0"/>
      <w:divBdr>
        <w:top w:val="none" w:sz="0" w:space="0" w:color="auto"/>
        <w:left w:val="none" w:sz="0" w:space="0" w:color="auto"/>
        <w:bottom w:val="none" w:sz="0" w:space="0" w:color="auto"/>
        <w:right w:val="none" w:sz="0" w:space="0" w:color="auto"/>
      </w:divBdr>
    </w:div>
    <w:div w:id="348870559">
      <w:bodyDiv w:val="1"/>
      <w:marLeft w:val="0"/>
      <w:marRight w:val="0"/>
      <w:marTop w:val="0"/>
      <w:marBottom w:val="0"/>
      <w:divBdr>
        <w:top w:val="none" w:sz="0" w:space="0" w:color="auto"/>
        <w:left w:val="none" w:sz="0" w:space="0" w:color="auto"/>
        <w:bottom w:val="none" w:sz="0" w:space="0" w:color="auto"/>
        <w:right w:val="none" w:sz="0" w:space="0" w:color="auto"/>
      </w:divBdr>
    </w:div>
    <w:div w:id="349379727">
      <w:bodyDiv w:val="1"/>
      <w:marLeft w:val="0"/>
      <w:marRight w:val="0"/>
      <w:marTop w:val="0"/>
      <w:marBottom w:val="0"/>
      <w:divBdr>
        <w:top w:val="none" w:sz="0" w:space="0" w:color="auto"/>
        <w:left w:val="none" w:sz="0" w:space="0" w:color="auto"/>
        <w:bottom w:val="none" w:sz="0" w:space="0" w:color="auto"/>
        <w:right w:val="none" w:sz="0" w:space="0" w:color="auto"/>
      </w:divBdr>
    </w:div>
    <w:div w:id="353188028">
      <w:bodyDiv w:val="1"/>
      <w:marLeft w:val="0"/>
      <w:marRight w:val="0"/>
      <w:marTop w:val="0"/>
      <w:marBottom w:val="0"/>
      <w:divBdr>
        <w:top w:val="none" w:sz="0" w:space="0" w:color="auto"/>
        <w:left w:val="none" w:sz="0" w:space="0" w:color="auto"/>
        <w:bottom w:val="none" w:sz="0" w:space="0" w:color="auto"/>
        <w:right w:val="none" w:sz="0" w:space="0" w:color="auto"/>
      </w:divBdr>
    </w:div>
    <w:div w:id="353464464">
      <w:bodyDiv w:val="1"/>
      <w:marLeft w:val="0"/>
      <w:marRight w:val="0"/>
      <w:marTop w:val="0"/>
      <w:marBottom w:val="0"/>
      <w:divBdr>
        <w:top w:val="none" w:sz="0" w:space="0" w:color="auto"/>
        <w:left w:val="none" w:sz="0" w:space="0" w:color="auto"/>
        <w:bottom w:val="none" w:sz="0" w:space="0" w:color="auto"/>
        <w:right w:val="none" w:sz="0" w:space="0" w:color="auto"/>
      </w:divBdr>
    </w:div>
    <w:div w:id="353506709">
      <w:bodyDiv w:val="1"/>
      <w:marLeft w:val="0"/>
      <w:marRight w:val="0"/>
      <w:marTop w:val="0"/>
      <w:marBottom w:val="0"/>
      <w:divBdr>
        <w:top w:val="none" w:sz="0" w:space="0" w:color="auto"/>
        <w:left w:val="none" w:sz="0" w:space="0" w:color="auto"/>
        <w:bottom w:val="none" w:sz="0" w:space="0" w:color="auto"/>
        <w:right w:val="none" w:sz="0" w:space="0" w:color="auto"/>
      </w:divBdr>
    </w:div>
    <w:div w:id="354230058">
      <w:bodyDiv w:val="1"/>
      <w:marLeft w:val="0"/>
      <w:marRight w:val="0"/>
      <w:marTop w:val="0"/>
      <w:marBottom w:val="0"/>
      <w:divBdr>
        <w:top w:val="none" w:sz="0" w:space="0" w:color="auto"/>
        <w:left w:val="none" w:sz="0" w:space="0" w:color="auto"/>
        <w:bottom w:val="none" w:sz="0" w:space="0" w:color="auto"/>
        <w:right w:val="none" w:sz="0" w:space="0" w:color="auto"/>
      </w:divBdr>
    </w:div>
    <w:div w:id="356542539">
      <w:bodyDiv w:val="1"/>
      <w:marLeft w:val="0"/>
      <w:marRight w:val="0"/>
      <w:marTop w:val="0"/>
      <w:marBottom w:val="0"/>
      <w:divBdr>
        <w:top w:val="none" w:sz="0" w:space="0" w:color="auto"/>
        <w:left w:val="none" w:sz="0" w:space="0" w:color="auto"/>
        <w:bottom w:val="none" w:sz="0" w:space="0" w:color="auto"/>
        <w:right w:val="none" w:sz="0" w:space="0" w:color="auto"/>
      </w:divBdr>
    </w:div>
    <w:div w:id="358969604">
      <w:bodyDiv w:val="1"/>
      <w:marLeft w:val="0"/>
      <w:marRight w:val="0"/>
      <w:marTop w:val="0"/>
      <w:marBottom w:val="0"/>
      <w:divBdr>
        <w:top w:val="none" w:sz="0" w:space="0" w:color="auto"/>
        <w:left w:val="none" w:sz="0" w:space="0" w:color="auto"/>
        <w:bottom w:val="none" w:sz="0" w:space="0" w:color="auto"/>
        <w:right w:val="none" w:sz="0" w:space="0" w:color="auto"/>
      </w:divBdr>
    </w:div>
    <w:div w:id="359476554">
      <w:bodyDiv w:val="1"/>
      <w:marLeft w:val="0"/>
      <w:marRight w:val="0"/>
      <w:marTop w:val="0"/>
      <w:marBottom w:val="0"/>
      <w:divBdr>
        <w:top w:val="none" w:sz="0" w:space="0" w:color="auto"/>
        <w:left w:val="none" w:sz="0" w:space="0" w:color="auto"/>
        <w:bottom w:val="none" w:sz="0" w:space="0" w:color="auto"/>
        <w:right w:val="none" w:sz="0" w:space="0" w:color="auto"/>
      </w:divBdr>
    </w:div>
    <w:div w:id="359665490">
      <w:bodyDiv w:val="1"/>
      <w:marLeft w:val="0"/>
      <w:marRight w:val="0"/>
      <w:marTop w:val="0"/>
      <w:marBottom w:val="0"/>
      <w:divBdr>
        <w:top w:val="none" w:sz="0" w:space="0" w:color="auto"/>
        <w:left w:val="none" w:sz="0" w:space="0" w:color="auto"/>
        <w:bottom w:val="none" w:sz="0" w:space="0" w:color="auto"/>
        <w:right w:val="none" w:sz="0" w:space="0" w:color="auto"/>
      </w:divBdr>
    </w:div>
    <w:div w:id="359671150">
      <w:bodyDiv w:val="1"/>
      <w:marLeft w:val="0"/>
      <w:marRight w:val="0"/>
      <w:marTop w:val="0"/>
      <w:marBottom w:val="0"/>
      <w:divBdr>
        <w:top w:val="none" w:sz="0" w:space="0" w:color="auto"/>
        <w:left w:val="none" w:sz="0" w:space="0" w:color="auto"/>
        <w:bottom w:val="none" w:sz="0" w:space="0" w:color="auto"/>
        <w:right w:val="none" w:sz="0" w:space="0" w:color="auto"/>
      </w:divBdr>
    </w:div>
    <w:div w:id="364183737">
      <w:bodyDiv w:val="1"/>
      <w:marLeft w:val="0"/>
      <w:marRight w:val="0"/>
      <w:marTop w:val="0"/>
      <w:marBottom w:val="0"/>
      <w:divBdr>
        <w:top w:val="none" w:sz="0" w:space="0" w:color="auto"/>
        <w:left w:val="none" w:sz="0" w:space="0" w:color="auto"/>
        <w:bottom w:val="none" w:sz="0" w:space="0" w:color="auto"/>
        <w:right w:val="none" w:sz="0" w:space="0" w:color="auto"/>
      </w:divBdr>
    </w:div>
    <w:div w:id="364985206">
      <w:bodyDiv w:val="1"/>
      <w:marLeft w:val="0"/>
      <w:marRight w:val="0"/>
      <w:marTop w:val="0"/>
      <w:marBottom w:val="0"/>
      <w:divBdr>
        <w:top w:val="none" w:sz="0" w:space="0" w:color="auto"/>
        <w:left w:val="none" w:sz="0" w:space="0" w:color="auto"/>
        <w:bottom w:val="none" w:sz="0" w:space="0" w:color="auto"/>
        <w:right w:val="none" w:sz="0" w:space="0" w:color="auto"/>
      </w:divBdr>
    </w:div>
    <w:div w:id="365255501">
      <w:bodyDiv w:val="1"/>
      <w:marLeft w:val="0"/>
      <w:marRight w:val="0"/>
      <w:marTop w:val="0"/>
      <w:marBottom w:val="0"/>
      <w:divBdr>
        <w:top w:val="none" w:sz="0" w:space="0" w:color="auto"/>
        <w:left w:val="none" w:sz="0" w:space="0" w:color="auto"/>
        <w:bottom w:val="none" w:sz="0" w:space="0" w:color="auto"/>
        <w:right w:val="none" w:sz="0" w:space="0" w:color="auto"/>
      </w:divBdr>
    </w:div>
    <w:div w:id="365495956">
      <w:bodyDiv w:val="1"/>
      <w:marLeft w:val="0"/>
      <w:marRight w:val="0"/>
      <w:marTop w:val="0"/>
      <w:marBottom w:val="0"/>
      <w:divBdr>
        <w:top w:val="none" w:sz="0" w:space="0" w:color="auto"/>
        <w:left w:val="none" w:sz="0" w:space="0" w:color="auto"/>
        <w:bottom w:val="none" w:sz="0" w:space="0" w:color="auto"/>
        <w:right w:val="none" w:sz="0" w:space="0" w:color="auto"/>
      </w:divBdr>
    </w:div>
    <w:div w:id="368604469">
      <w:bodyDiv w:val="1"/>
      <w:marLeft w:val="0"/>
      <w:marRight w:val="0"/>
      <w:marTop w:val="0"/>
      <w:marBottom w:val="0"/>
      <w:divBdr>
        <w:top w:val="none" w:sz="0" w:space="0" w:color="auto"/>
        <w:left w:val="none" w:sz="0" w:space="0" w:color="auto"/>
        <w:bottom w:val="none" w:sz="0" w:space="0" w:color="auto"/>
        <w:right w:val="none" w:sz="0" w:space="0" w:color="auto"/>
      </w:divBdr>
    </w:div>
    <w:div w:id="368722844">
      <w:bodyDiv w:val="1"/>
      <w:marLeft w:val="0"/>
      <w:marRight w:val="0"/>
      <w:marTop w:val="0"/>
      <w:marBottom w:val="0"/>
      <w:divBdr>
        <w:top w:val="none" w:sz="0" w:space="0" w:color="auto"/>
        <w:left w:val="none" w:sz="0" w:space="0" w:color="auto"/>
        <w:bottom w:val="none" w:sz="0" w:space="0" w:color="auto"/>
        <w:right w:val="none" w:sz="0" w:space="0" w:color="auto"/>
      </w:divBdr>
    </w:div>
    <w:div w:id="368803109">
      <w:bodyDiv w:val="1"/>
      <w:marLeft w:val="0"/>
      <w:marRight w:val="0"/>
      <w:marTop w:val="0"/>
      <w:marBottom w:val="0"/>
      <w:divBdr>
        <w:top w:val="none" w:sz="0" w:space="0" w:color="auto"/>
        <w:left w:val="none" w:sz="0" w:space="0" w:color="auto"/>
        <w:bottom w:val="none" w:sz="0" w:space="0" w:color="auto"/>
        <w:right w:val="none" w:sz="0" w:space="0" w:color="auto"/>
      </w:divBdr>
    </w:div>
    <w:div w:id="370033501">
      <w:bodyDiv w:val="1"/>
      <w:marLeft w:val="0"/>
      <w:marRight w:val="0"/>
      <w:marTop w:val="0"/>
      <w:marBottom w:val="0"/>
      <w:divBdr>
        <w:top w:val="none" w:sz="0" w:space="0" w:color="auto"/>
        <w:left w:val="none" w:sz="0" w:space="0" w:color="auto"/>
        <w:bottom w:val="none" w:sz="0" w:space="0" w:color="auto"/>
        <w:right w:val="none" w:sz="0" w:space="0" w:color="auto"/>
      </w:divBdr>
    </w:div>
    <w:div w:id="371424409">
      <w:bodyDiv w:val="1"/>
      <w:marLeft w:val="0"/>
      <w:marRight w:val="0"/>
      <w:marTop w:val="0"/>
      <w:marBottom w:val="0"/>
      <w:divBdr>
        <w:top w:val="none" w:sz="0" w:space="0" w:color="auto"/>
        <w:left w:val="none" w:sz="0" w:space="0" w:color="auto"/>
        <w:bottom w:val="none" w:sz="0" w:space="0" w:color="auto"/>
        <w:right w:val="none" w:sz="0" w:space="0" w:color="auto"/>
      </w:divBdr>
    </w:div>
    <w:div w:id="377361328">
      <w:bodyDiv w:val="1"/>
      <w:marLeft w:val="0"/>
      <w:marRight w:val="0"/>
      <w:marTop w:val="0"/>
      <w:marBottom w:val="0"/>
      <w:divBdr>
        <w:top w:val="none" w:sz="0" w:space="0" w:color="auto"/>
        <w:left w:val="none" w:sz="0" w:space="0" w:color="auto"/>
        <w:bottom w:val="none" w:sz="0" w:space="0" w:color="auto"/>
        <w:right w:val="none" w:sz="0" w:space="0" w:color="auto"/>
      </w:divBdr>
    </w:div>
    <w:div w:id="377625451">
      <w:bodyDiv w:val="1"/>
      <w:marLeft w:val="0"/>
      <w:marRight w:val="0"/>
      <w:marTop w:val="0"/>
      <w:marBottom w:val="0"/>
      <w:divBdr>
        <w:top w:val="none" w:sz="0" w:space="0" w:color="auto"/>
        <w:left w:val="none" w:sz="0" w:space="0" w:color="auto"/>
        <w:bottom w:val="none" w:sz="0" w:space="0" w:color="auto"/>
        <w:right w:val="none" w:sz="0" w:space="0" w:color="auto"/>
      </w:divBdr>
    </w:div>
    <w:div w:id="378673085">
      <w:bodyDiv w:val="1"/>
      <w:marLeft w:val="0"/>
      <w:marRight w:val="0"/>
      <w:marTop w:val="0"/>
      <w:marBottom w:val="0"/>
      <w:divBdr>
        <w:top w:val="none" w:sz="0" w:space="0" w:color="auto"/>
        <w:left w:val="none" w:sz="0" w:space="0" w:color="auto"/>
        <w:bottom w:val="none" w:sz="0" w:space="0" w:color="auto"/>
        <w:right w:val="none" w:sz="0" w:space="0" w:color="auto"/>
      </w:divBdr>
    </w:div>
    <w:div w:id="380861057">
      <w:bodyDiv w:val="1"/>
      <w:marLeft w:val="0"/>
      <w:marRight w:val="0"/>
      <w:marTop w:val="0"/>
      <w:marBottom w:val="0"/>
      <w:divBdr>
        <w:top w:val="none" w:sz="0" w:space="0" w:color="auto"/>
        <w:left w:val="none" w:sz="0" w:space="0" w:color="auto"/>
        <w:bottom w:val="none" w:sz="0" w:space="0" w:color="auto"/>
        <w:right w:val="none" w:sz="0" w:space="0" w:color="auto"/>
      </w:divBdr>
    </w:div>
    <w:div w:id="381364152">
      <w:bodyDiv w:val="1"/>
      <w:marLeft w:val="0"/>
      <w:marRight w:val="0"/>
      <w:marTop w:val="0"/>
      <w:marBottom w:val="0"/>
      <w:divBdr>
        <w:top w:val="none" w:sz="0" w:space="0" w:color="auto"/>
        <w:left w:val="none" w:sz="0" w:space="0" w:color="auto"/>
        <w:bottom w:val="none" w:sz="0" w:space="0" w:color="auto"/>
        <w:right w:val="none" w:sz="0" w:space="0" w:color="auto"/>
      </w:divBdr>
    </w:div>
    <w:div w:id="383918404">
      <w:bodyDiv w:val="1"/>
      <w:marLeft w:val="0"/>
      <w:marRight w:val="0"/>
      <w:marTop w:val="0"/>
      <w:marBottom w:val="0"/>
      <w:divBdr>
        <w:top w:val="none" w:sz="0" w:space="0" w:color="auto"/>
        <w:left w:val="none" w:sz="0" w:space="0" w:color="auto"/>
        <w:bottom w:val="none" w:sz="0" w:space="0" w:color="auto"/>
        <w:right w:val="none" w:sz="0" w:space="0" w:color="auto"/>
      </w:divBdr>
    </w:div>
    <w:div w:id="384456470">
      <w:bodyDiv w:val="1"/>
      <w:marLeft w:val="0"/>
      <w:marRight w:val="0"/>
      <w:marTop w:val="0"/>
      <w:marBottom w:val="0"/>
      <w:divBdr>
        <w:top w:val="none" w:sz="0" w:space="0" w:color="auto"/>
        <w:left w:val="none" w:sz="0" w:space="0" w:color="auto"/>
        <w:bottom w:val="none" w:sz="0" w:space="0" w:color="auto"/>
        <w:right w:val="none" w:sz="0" w:space="0" w:color="auto"/>
      </w:divBdr>
    </w:div>
    <w:div w:id="385841974">
      <w:bodyDiv w:val="1"/>
      <w:marLeft w:val="0"/>
      <w:marRight w:val="0"/>
      <w:marTop w:val="0"/>
      <w:marBottom w:val="0"/>
      <w:divBdr>
        <w:top w:val="none" w:sz="0" w:space="0" w:color="auto"/>
        <w:left w:val="none" w:sz="0" w:space="0" w:color="auto"/>
        <w:bottom w:val="none" w:sz="0" w:space="0" w:color="auto"/>
        <w:right w:val="none" w:sz="0" w:space="0" w:color="auto"/>
      </w:divBdr>
    </w:div>
    <w:div w:id="386298351">
      <w:bodyDiv w:val="1"/>
      <w:marLeft w:val="0"/>
      <w:marRight w:val="0"/>
      <w:marTop w:val="0"/>
      <w:marBottom w:val="0"/>
      <w:divBdr>
        <w:top w:val="none" w:sz="0" w:space="0" w:color="auto"/>
        <w:left w:val="none" w:sz="0" w:space="0" w:color="auto"/>
        <w:bottom w:val="none" w:sz="0" w:space="0" w:color="auto"/>
        <w:right w:val="none" w:sz="0" w:space="0" w:color="auto"/>
      </w:divBdr>
    </w:div>
    <w:div w:id="387801704">
      <w:bodyDiv w:val="1"/>
      <w:marLeft w:val="0"/>
      <w:marRight w:val="0"/>
      <w:marTop w:val="0"/>
      <w:marBottom w:val="0"/>
      <w:divBdr>
        <w:top w:val="none" w:sz="0" w:space="0" w:color="auto"/>
        <w:left w:val="none" w:sz="0" w:space="0" w:color="auto"/>
        <w:bottom w:val="none" w:sz="0" w:space="0" w:color="auto"/>
        <w:right w:val="none" w:sz="0" w:space="0" w:color="auto"/>
      </w:divBdr>
    </w:div>
    <w:div w:id="388263689">
      <w:bodyDiv w:val="1"/>
      <w:marLeft w:val="0"/>
      <w:marRight w:val="0"/>
      <w:marTop w:val="0"/>
      <w:marBottom w:val="0"/>
      <w:divBdr>
        <w:top w:val="none" w:sz="0" w:space="0" w:color="auto"/>
        <w:left w:val="none" w:sz="0" w:space="0" w:color="auto"/>
        <w:bottom w:val="none" w:sz="0" w:space="0" w:color="auto"/>
        <w:right w:val="none" w:sz="0" w:space="0" w:color="auto"/>
      </w:divBdr>
    </w:div>
    <w:div w:id="392581317">
      <w:bodyDiv w:val="1"/>
      <w:marLeft w:val="0"/>
      <w:marRight w:val="0"/>
      <w:marTop w:val="0"/>
      <w:marBottom w:val="0"/>
      <w:divBdr>
        <w:top w:val="none" w:sz="0" w:space="0" w:color="auto"/>
        <w:left w:val="none" w:sz="0" w:space="0" w:color="auto"/>
        <w:bottom w:val="none" w:sz="0" w:space="0" w:color="auto"/>
        <w:right w:val="none" w:sz="0" w:space="0" w:color="auto"/>
      </w:divBdr>
    </w:div>
    <w:div w:id="395200838">
      <w:bodyDiv w:val="1"/>
      <w:marLeft w:val="0"/>
      <w:marRight w:val="0"/>
      <w:marTop w:val="0"/>
      <w:marBottom w:val="0"/>
      <w:divBdr>
        <w:top w:val="none" w:sz="0" w:space="0" w:color="auto"/>
        <w:left w:val="none" w:sz="0" w:space="0" w:color="auto"/>
        <w:bottom w:val="none" w:sz="0" w:space="0" w:color="auto"/>
        <w:right w:val="none" w:sz="0" w:space="0" w:color="auto"/>
      </w:divBdr>
    </w:div>
    <w:div w:id="397172208">
      <w:bodyDiv w:val="1"/>
      <w:marLeft w:val="0"/>
      <w:marRight w:val="0"/>
      <w:marTop w:val="0"/>
      <w:marBottom w:val="0"/>
      <w:divBdr>
        <w:top w:val="none" w:sz="0" w:space="0" w:color="auto"/>
        <w:left w:val="none" w:sz="0" w:space="0" w:color="auto"/>
        <w:bottom w:val="none" w:sz="0" w:space="0" w:color="auto"/>
        <w:right w:val="none" w:sz="0" w:space="0" w:color="auto"/>
      </w:divBdr>
    </w:div>
    <w:div w:id="400249422">
      <w:bodyDiv w:val="1"/>
      <w:marLeft w:val="0"/>
      <w:marRight w:val="0"/>
      <w:marTop w:val="0"/>
      <w:marBottom w:val="0"/>
      <w:divBdr>
        <w:top w:val="none" w:sz="0" w:space="0" w:color="auto"/>
        <w:left w:val="none" w:sz="0" w:space="0" w:color="auto"/>
        <w:bottom w:val="none" w:sz="0" w:space="0" w:color="auto"/>
        <w:right w:val="none" w:sz="0" w:space="0" w:color="auto"/>
      </w:divBdr>
    </w:div>
    <w:div w:id="401874329">
      <w:bodyDiv w:val="1"/>
      <w:marLeft w:val="0"/>
      <w:marRight w:val="0"/>
      <w:marTop w:val="0"/>
      <w:marBottom w:val="0"/>
      <w:divBdr>
        <w:top w:val="none" w:sz="0" w:space="0" w:color="auto"/>
        <w:left w:val="none" w:sz="0" w:space="0" w:color="auto"/>
        <w:bottom w:val="none" w:sz="0" w:space="0" w:color="auto"/>
        <w:right w:val="none" w:sz="0" w:space="0" w:color="auto"/>
      </w:divBdr>
    </w:div>
    <w:div w:id="402262497">
      <w:bodyDiv w:val="1"/>
      <w:marLeft w:val="0"/>
      <w:marRight w:val="0"/>
      <w:marTop w:val="0"/>
      <w:marBottom w:val="0"/>
      <w:divBdr>
        <w:top w:val="none" w:sz="0" w:space="0" w:color="auto"/>
        <w:left w:val="none" w:sz="0" w:space="0" w:color="auto"/>
        <w:bottom w:val="none" w:sz="0" w:space="0" w:color="auto"/>
        <w:right w:val="none" w:sz="0" w:space="0" w:color="auto"/>
      </w:divBdr>
    </w:div>
    <w:div w:id="404957324">
      <w:bodyDiv w:val="1"/>
      <w:marLeft w:val="0"/>
      <w:marRight w:val="0"/>
      <w:marTop w:val="0"/>
      <w:marBottom w:val="0"/>
      <w:divBdr>
        <w:top w:val="none" w:sz="0" w:space="0" w:color="auto"/>
        <w:left w:val="none" w:sz="0" w:space="0" w:color="auto"/>
        <w:bottom w:val="none" w:sz="0" w:space="0" w:color="auto"/>
        <w:right w:val="none" w:sz="0" w:space="0" w:color="auto"/>
      </w:divBdr>
    </w:div>
    <w:div w:id="407700180">
      <w:bodyDiv w:val="1"/>
      <w:marLeft w:val="0"/>
      <w:marRight w:val="0"/>
      <w:marTop w:val="0"/>
      <w:marBottom w:val="0"/>
      <w:divBdr>
        <w:top w:val="none" w:sz="0" w:space="0" w:color="auto"/>
        <w:left w:val="none" w:sz="0" w:space="0" w:color="auto"/>
        <w:bottom w:val="none" w:sz="0" w:space="0" w:color="auto"/>
        <w:right w:val="none" w:sz="0" w:space="0" w:color="auto"/>
      </w:divBdr>
    </w:div>
    <w:div w:id="407731892">
      <w:bodyDiv w:val="1"/>
      <w:marLeft w:val="0"/>
      <w:marRight w:val="0"/>
      <w:marTop w:val="0"/>
      <w:marBottom w:val="0"/>
      <w:divBdr>
        <w:top w:val="none" w:sz="0" w:space="0" w:color="auto"/>
        <w:left w:val="none" w:sz="0" w:space="0" w:color="auto"/>
        <w:bottom w:val="none" w:sz="0" w:space="0" w:color="auto"/>
        <w:right w:val="none" w:sz="0" w:space="0" w:color="auto"/>
      </w:divBdr>
    </w:div>
    <w:div w:id="410199222">
      <w:bodyDiv w:val="1"/>
      <w:marLeft w:val="0"/>
      <w:marRight w:val="0"/>
      <w:marTop w:val="0"/>
      <w:marBottom w:val="0"/>
      <w:divBdr>
        <w:top w:val="none" w:sz="0" w:space="0" w:color="auto"/>
        <w:left w:val="none" w:sz="0" w:space="0" w:color="auto"/>
        <w:bottom w:val="none" w:sz="0" w:space="0" w:color="auto"/>
        <w:right w:val="none" w:sz="0" w:space="0" w:color="auto"/>
      </w:divBdr>
    </w:div>
    <w:div w:id="412704859">
      <w:bodyDiv w:val="1"/>
      <w:marLeft w:val="0"/>
      <w:marRight w:val="0"/>
      <w:marTop w:val="0"/>
      <w:marBottom w:val="0"/>
      <w:divBdr>
        <w:top w:val="none" w:sz="0" w:space="0" w:color="auto"/>
        <w:left w:val="none" w:sz="0" w:space="0" w:color="auto"/>
        <w:bottom w:val="none" w:sz="0" w:space="0" w:color="auto"/>
        <w:right w:val="none" w:sz="0" w:space="0" w:color="auto"/>
      </w:divBdr>
    </w:div>
    <w:div w:id="422337509">
      <w:bodyDiv w:val="1"/>
      <w:marLeft w:val="0"/>
      <w:marRight w:val="0"/>
      <w:marTop w:val="0"/>
      <w:marBottom w:val="0"/>
      <w:divBdr>
        <w:top w:val="none" w:sz="0" w:space="0" w:color="auto"/>
        <w:left w:val="none" w:sz="0" w:space="0" w:color="auto"/>
        <w:bottom w:val="none" w:sz="0" w:space="0" w:color="auto"/>
        <w:right w:val="none" w:sz="0" w:space="0" w:color="auto"/>
      </w:divBdr>
    </w:div>
    <w:div w:id="422461056">
      <w:bodyDiv w:val="1"/>
      <w:marLeft w:val="0"/>
      <w:marRight w:val="0"/>
      <w:marTop w:val="0"/>
      <w:marBottom w:val="0"/>
      <w:divBdr>
        <w:top w:val="none" w:sz="0" w:space="0" w:color="auto"/>
        <w:left w:val="none" w:sz="0" w:space="0" w:color="auto"/>
        <w:bottom w:val="none" w:sz="0" w:space="0" w:color="auto"/>
        <w:right w:val="none" w:sz="0" w:space="0" w:color="auto"/>
      </w:divBdr>
    </w:div>
    <w:div w:id="422842644">
      <w:bodyDiv w:val="1"/>
      <w:marLeft w:val="0"/>
      <w:marRight w:val="0"/>
      <w:marTop w:val="0"/>
      <w:marBottom w:val="0"/>
      <w:divBdr>
        <w:top w:val="none" w:sz="0" w:space="0" w:color="auto"/>
        <w:left w:val="none" w:sz="0" w:space="0" w:color="auto"/>
        <w:bottom w:val="none" w:sz="0" w:space="0" w:color="auto"/>
        <w:right w:val="none" w:sz="0" w:space="0" w:color="auto"/>
      </w:divBdr>
    </w:div>
    <w:div w:id="422918809">
      <w:bodyDiv w:val="1"/>
      <w:marLeft w:val="0"/>
      <w:marRight w:val="0"/>
      <w:marTop w:val="0"/>
      <w:marBottom w:val="0"/>
      <w:divBdr>
        <w:top w:val="none" w:sz="0" w:space="0" w:color="auto"/>
        <w:left w:val="none" w:sz="0" w:space="0" w:color="auto"/>
        <w:bottom w:val="none" w:sz="0" w:space="0" w:color="auto"/>
        <w:right w:val="none" w:sz="0" w:space="0" w:color="auto"/>
      </w:divBdr>
    </w:div>
    <w:div w:id="427233317">
      <w:bodyDiv w:val="1"/>
      <w:marLeft w:val="0"/>
      <w:marRight w:val="0"/>
      <w:marTop w:val="0"/>
      <w:marBottom w:val="0"/>
      <w:divBdr>
        <w:top w:val="none" w:sz="0" w:space="0" w:color="auto"/>
        <w:left w:val="none" w:sz="0" w:space="0" w:color="auto"/>
        <w:bottom w:val="none" w:sz="0" w:space="0" w:color="auto"/>
        <w:right w:val="none" w:sz="0" w:space="0" w:color="auto"/>
      </w:divBdr>
    </w:div>
    <w:div w:id="434902901">
      <w:bodyDiv w:val="1"/>
      <w:marLeft w:val="0"/>
      <w:marRight w:val="0"/>
      <w:marTop w:val="0"/>
      <w:marBottom w:val="0"/>
      <w:divBdr>
        <w:top w:val="none" w:sz="0" w:space="0" w:color="auto"/>
        <w:left w:val="none" w:sz="0" w:space="0" w:color="auto"/>
        <w:bottom w:val="none" w:sz="0" w:space="0" w:color="auto"/>
        <w:right w:val="none" w:sz="0" w:space="0" w:color="auto"/>
      </w:divBdr>
    </w:div>
    <w:div w:id="437601965">
      <w:bodyDiv w:val="1"/>
      <w:marLeft w:val="0"/>
      <w:marRight w:val="0"/>
      <w:marTop w:val="0"/>
      <w:marBottom w:val="0"/>
      <w:divBdr>
        <w:top w:val="none" w:sz="0" w:space="0" w:color="auto"/>
        <w:left w:val="none" w:sz="0" w:space="0" w:color="auto"/>
        <w:bottom w:val="none" w:sz="0" w:space="0" w:color="auto"/>
        <w:right w:val="none" w:sz="0" w:space="0" w:color="auto"/>
      </w:divBdr>
    </w:div>
    <w:div w:id="439031697">
      <w:bodyDiv w:val="1"/>
      <w:marLeft w:val="0"/>
      <w:marRight w:val="0"/>
      <w:marTop w:val="0"/>
      <w:marBottom w:val="0"/>
      <w:divBdr>
        <w:top w:val="none" w:sz="0" w:space="0" w:color="auto"/>
        <w:left w:val="none" w:sz="0" w:space="0" w:color="auto"/>
        <w:bottom w:val="none" w:sz="0" w:space="0" w:color="auto"/>
        <w:right w:val="none" w:sz="0" w:space="0" w:color="auto"/>
      </w:divBdr>
    </w:div>
    <w:div w:id="439878129">
      <w:bodyDiv w:val="1"/>
      <w:marLeft w:val="0"/>
      <w:marRight w:val="0"/>
      <w:marTop w:val="0"/>
      <w:marBottom w:val="0"/>
      <w:divBdr>
        <w:top w:val="none" w:sz="0" w:space="0" w:color="auto"/>
        <w:left w:val="none" w:sz="0" w:space="0" w:color="auto"/>
        <w:bottom w:val="none" w:sz="0" w:space="0" w:color="auto"/>
        <w:right w:val="none" w:sz="0" w:space="0" w:color="auto"/>
      </w:divBdr>
    </w:div>
    <w:div w:id="440342815">
      <w:bodyDiv w:val="1"/>
      <w:marLeft w:val="0"/>
      <w:marRight w:val="0"/>
      <w:marTop w:val="0"/>
      <w:marBottom w:val="0"/>
      <w:divBdr>
        <w:top w:val="none" w:sz="0" w:space="0" w:color="auto"/>
        <w:left w:val="none" w:sz="0" w:space="0" w:color="auto"/>
        <w:bottom w:val="none" w:sz="0" w:space="0" w:color="auto"/>
        <w:right w:val="none" w:sz="0" w:space="0" w:color="auto"/>
      </w:divBdr>
    </w:div>
    <w:div w:id="441145279">
      <w:bodyDiv w:val="1"/>
      <w:marLeft w:val="0"/>
      <w:marRight w:val="0"/>
      <w:marTop w:val="0"/>
      <w:marBottom w:val="0"/>
      <w:divBdr>
        <w:top w:val="none" w:sz="0" w:space="0" w:color="auto"/>
        <w:left w:val="none" w:sz="0" w:space="0" w:color="auto"/>
        <w:bottom w:val="none" w:sz="0" w:space="0" w:color="auto"/>
        <w:right w:val="none" w:sz="0" w:space="0" w:color="auto"/>
      </w:divBdr>
    </w:div>
    <w:div w:id="444083996">
      <w:bodyDiv w:val="1"/>
      <w:marLeft w:val="0"/>
      <w:marRight w:val="0"/>
      <w:marTop w:val="0"/>
      <w:marBottom w:val="0"/>
      <w:divBdr>
        <w:top w:val="none" w:sz="0" w:space="0" w:color="auto"/>
        <w:left w:val="none" w:sz="0" w:space="0" w:color="auto"/>
        <w:bottom w:val="none" w:sz="0" w:space="0" w:color="auto"/>
        <w:right w:val="none" w:sz="0" w:space="0" w:color="auto"/>
      </w:divBdr>
    </w:div>
    <w:div w:id="448163097">
      <w:bodyDiv w:val="1"/>
      <w:marLeft w:val="0"/>
      <w:marRight w:val="0"/>
      <w:marTop w:val="0"/>
      <w:marBottom w:val="0"/>
      <w:divBdr>
        <w:top w:val="none" w:sz="0" w:space="0" w:color="auto"/>
        <w:left w:val="none" w:sz="0" w:space="0" w:color="auto"/>
        <w:bottom w:val="none" w:sz="0" w:space="0" w:color="auto"/>
        <w:right w:val="none" w:sz="0" w:space="0" w:color="auto"/>
      </w:divBdr>
    </w:div>
    <w:div w:id="449781805">
      <w:bodyDiv w:val="1"/>
      <w:marLeft w:val="0"/>
      <w:marRight w:val="0"/>
      <w:marTop w:val="0"/>
      <w:marBottom w:val="0"/>
      <w:divBdr>
        <w:top w:val="none" w:sz="0" w:space="0" w:color="auto"/>
        <w:left w:val="none" w:sz="0" w:space="0" w:color="auto"/>
        <w:bottom w:val="none" w:sz="0" w:space="0" w:color="auto"/>
        <w:right w:val="none" w:sz="0" w:space="0" w:color="auto"/>
      </w:divBdr>
    </w:div>
    <w:div w:id="450826066">
      <w:bodyDiv w:val="1"/>
      <w:marLeft w:val="0"/>
      <w:marRight w:val="0"/>
      <w:marTop w:val="0"/>
      <w:marBottom w:val="0"/>
      <w:divBdr>
        <w:top w:val="none" w:sz="0" w:space="0" w:color="auto"/>
        <w:left w:val="none" w:sz="0" w:space="0" w:color="auto"/>
        <w:bottom w:val="none" w:sz="0" w:space="0" w:color="auto"/>
        <w:right w:val="none" w:sz="0" w:space="0" w:color="auto"/>
      </w:divBdr>
    </w:div>
    <w:div w:id="452602291">
      <w:bodyDiv w:val="1"/>
      <w:marLeft w:val="0"/>
      <w:marRight w:val="0"/>
      <w:marTop w:val="0"/>
      <w:marBottom w:val="0"/>
      <w:divBdr>
        <w:top w:val="none" w:sz="0" w:space="0" w:color="auto"/>
        <w:left w:val="none" w:sz="0" w:space="0" w:color="auto"/>
        <w:bottom w:val="none" w:sz="0" w:space="0" w:color="auto"/>
        <w:right w:val="none" w:sz="0" w:space="0" w:color="auto"/>
      </w:divBdr>
    </w:div>
    <w:div w:id="453716663">
      <w:bodyDiv w:val="1"/>
      <w:marLeft w:val="0"/>
      <w:marRight w:val="0"/>
      <w:marTop w:val="0"/>
      <w:marBottom w:val="0"/>
      <w:divBdr>
        <w:top w:val="none" w:sz="0" w:space="0" w:color="auto"/>
        <w:left w:val="none" w:sz="0" w:space="0" w:color="auto"/>
        <w:bottom w:val="none" w:sz="0" w:space="0" w:color="auto"/>
        <w:right w:val="none" w:sz="0" w:space="0" w:color="auto"/>
      </w:divBdr>
    </w:div>
    <w:div w:id="459570183">
      <w:bodyDiv w:val="1"/>
      <w:marLeft w:val="0"/>
      <w:marRight w:val="0"/>
      <w:marTop w:val="0"/>
      <w:marBottom w:val="0"/>
      <w:divBdr>
        <w:top w:val="none" w:sz="0" w:space="0" w:color="auto"/>
        <w:left w:val="none" w:sz="0" w:space="0" w:color="auto"/>
        <w:bottom w:val="none" w:sz="0" w:space="0" w:color="auto"/>
        <w:right w:val="none" w:sz="0" w:space="0" w:color="auto"/>
      </w:divBdr>
    </w:div>
    <w:div w:id="460419912">
      <w:bodyDiv w:val="1"/>
      <w:marLeft w:val="0"/>
      <w:marRight w:val="0"/>
      <w:marTop w:val="0"/>
      <w:marBottom w:val="0"/>
      <w:divBdr>
        <w:top w:val="none" w:sz="0" w:space="0" w:color="auto"/>
        <w:left w:val="none" w:sz="0" w:space="0" w:color="auto"/>
        <w:bottom w:val="none" w:sz="0" w:space="0" w:color="auto"/>
        <w:right w:val="none" w:sz="0" w:space="0" w:color="auto"/>
      </w:divBdr>
    </w:div>
    <w:div w:id="461047633">
      <w:bodyDiv w:val="1"/>
      <w:marLeft w:val="0"/>
      <w:marRight w:val="0"/>
      <w:marTop w:val="0"/>
      <w:marBottom w:val="0"/>
      <w:divBdr>
        <w:top w:val="none" w:sz="0" w:space="0" w:color="auto"/>
        <w:left w:val="none" w:sz="0" w:space="0" w:color="auto"/>
        <w:bottom w:val="none" w:sz="0" w:space="0" w:color="auto"/>
        <w:right w:val="none" w:sz="0" w:space="0" w:color="auto"/>
      </w:divBdr>
    </w:div>
    <w:div w:id="465437157">
      <w:bodyDiv w:val="1"/>
      <w:marLeft w:val="0"/>
      <w:marRight w:val="0"/>
      <w:marTop w:val="0"/>
      <w:marBottom w:val="0"/>
      <w:divBdr>
        <w:top w:val="none" w:sz="0" w:space="0" w:color="auto"/>
        <w:left w:val="none" w:sz="0" w:space="0" w:color="auto"/>
        <w:bottom w:val="none" w:sz="0" w:space="0" w:color="auto"/>
        <w:right w:val="none" w:sz="0" w:space="0" w:color="auto"/>
      </w:divBdr>
    </w:div>
    <w:div w:id="468977555">
      <w:bodyDiv w:val="1"/>
      <w:marLeft w:val="0"/>
      <w:marRight w:val="0"/>
      <w:marTop w:val="0"/>
      <w:marBottom w:val="0"/>
      <w:divBdr>
        <w:top w:val="none" w:sz="0" w:space="0" w:color="auto"/>
        <w:left w:val="none" w:sz="0" w:space="0" w:color="auto"/>
        <w:bottom w:val="none" w:sz="0" w:space="0" w:color="auto"/>
        <w:right w:val="none" w:sz="0" w:space="0" w:color="auto"/>
      </w:divBdr>
    </w:div>
    <w:div w:id="472144085">
      <w:bodyDiv w:val="1"/>
      <w:marLeft w:val="0"/>
      <w:marRight w:val="0"/>
      <w:marTop w:val="0"/>
      <w:marBottom w:val="0"/>
      <w:divBdr>
        <w:top w:val="none" w:sz="0" w:space="0" w:color="auto"/>
        <w:left w:val="none" w:sz="0" w:space="0" w:color="auto"/>
        <w:bottom w:val="none" w:sz="0" w:space="0" w:color="auto"/>
        <w:right w:val="none" w:sz="0" w:space="0" w:color="auto"/>
      </w:divBdr>
    </w:div>
    <w:div w:id="476532102">
      <w:bodyDiv w:val="1"/>
      <w:marLeft w:val="0"/>
      <w:marRight w:val="0"/>
      <w:marTop w:val="0"/>
      <w:marBottom w:val="0"/>
      <w:divBdr>
        <w:top w:val="none" w:sz="0" w:space="0" w:color="auto"/>
        <w:left w:val="none" w:sz="0" w:space="0" w:color="auto"/>
        <w:bottom w:val="none" w:sz="0" w:space="0" w:color="auto"/>
        <w:right w:val="none" w:sz="0" w:space="0" w:color="auto"/>
      </w:divBdr>
    </w:div>
    <w:div w:id="477771489">
      <w:bodyDiv w:val="1"/>
      <w:marLeft w:val="0"/>
      <w:marRight w:val="0"/>
      <w:marTop w:val="0"/>
      <w:marBottom w:val="0"/>
      <w:divBdr>
        <w:top w:val="none" w:sz="0" w:space="0" w:color="auto"/>
        <w:left w:val="none" w:sz="0" w:space="0" w:color="auto"/>
        <w:bottom w:val="none" w:sz="0" w:space="0" w:color="auto"/>
        <w:right w:val="none" w:sz="0" w:space="0" w:color="auto"/>
      </w:divBdr>
    </w:div>
    <w:div w:id="493301279">
      <w:bodyDiv w:val="1"/>
      <w:marLeft w:val="0"/>
      <w:marRight w:val="0"/>
      <w:marTop w:val="0"/>
      <w:marBottom w:val="0"/>
      <w:divBdr>
        <w:top w:val="none" w:sz="0" w:space="0" w:color="auto"/>
        <w:left w:val="none" w:sz="0" w:space="0" w:color="auto"/>
        <w:bottom w:val="none" w:sz="0" w:space="0" w:color="auto"/>
        <w:right w:val="none" w:sz="0" w:space="0" w:color="auto"/>
      </w:divBdr>
    </w:div>
    <w:div w:id="494421864">
      <w:bodyDiv w:val="1"/>
      <w:marLeft w:val="0"/>
      <w:marRight w:val="0"/>
      <w:marTop w:val="0"/>
      <w:marBottom w:val="0"/>
      <w:divBdr>
        <w:top w:val="none" w:sz="0" w:space="0" w:color="auto"/>
        <w:left w:val="none" w:sz="0" w:space="0" w:color="auto"/>
        <w:bottom w:val="none" w:sz="0" w:space="0" w:color="auto"/>
        <w:right w:val="none" w:sz="0" w:space="0" w:color="auto"/>
      </w:divBdr>
    </w:div>
    <w:div w:id="497309462">
      <w:bodyDiv w:val="1"/>
      <w:marLeft w:val="0"/>
      <w:marRight w:val="0"/>
      <w:marTop w:val="0"/>
      <w:marBottom w:val="0"/>
      <w:divBdr>
        <w:top w:val="none" w:sz="0" w:space="0" w:color="auto"/>
        <w:left w:val="none" w:sz="0" w:space="0" w:color="auto"/>
        <w:bottom w:val="none" w:sz="0" w:space="0" w:color="auto"/>
        <w:right w:val="none" w:sz="0" w:space="0" w:color="auto"/>
      </w:divBdr>
    </w:div>
    <w:div w:id="498816231">
      <w:bodyDiv w:val="1"/>
      <w:marLeft w:val="0"/>
      <w:marRight w:val="0"/>
      <w:marTop w:val="0"/>
      <w:marBottom w:val="0"/>
      <w:divBdr>
        <w:top w:val="none" w:sz="0" w:space="0" w:color="auto"/>
        <w:left w:val="none" w:sz="0" w:space="0" w:color="auto"/>
        <w:bottom w:val="none" w:sz="0" w:space="0" w:color="auto"/>
        <w:right w:val="none" w:sz="0" w:space="0" w:color="auto"/>
      </w:divBdr>
    </w:div>
    <w:div w:id="498931313">
      <w:bodyDiv w:val="1"/>
      <w:marLeft w:val="0"/>
      <w:marRight w:val="0"/>
      <w:marTop w:val="0"/>
      <w:marBottom w:val="0"/>
      <w:divBdr>
        <w:top w:val="none" w:sz="0" w:space="0" w:color="auto"/>
        <w:left w:val="none" w:sz="0" w:space="0" w:color="auto"/>
        <w:bottom w:val="none" w:sz="0" w:space="0" w:color="auto"/>
        <w:right w:val="none" w:sz="0" w:space="0" w:color="auto"/>
      </w:divBdr>
    </w:div>
    <w:div w:id="501550319">
      <w:bodyDiv w:val="1"/>
      <w:marLeft w:val="0"/>
      <w:marRight w:val="0"/>
      <w:marTop w:val="0"/>
      <w:marBottom w:val="0"/>
      <w:divBdr>
        <w:top w:val="none" w:sz="0" w:space="0" w:color="auto"/>
        <w:left w:val="none" w:sz="0" w:space="0" w:color="auto"/>
        <w:bottom w:val="none" w:sz="0" w:space="0" w:color="auto"/>
        <w:right w:val="none" w:sz="0" w:space="0" w:color="auto"/>
      </w:divBdr>
    </w:div>
    <w:div w:id="509027537">
      <w:bodyDiv w:val="1"/>
      <w:marLeft w:val="0"/>
      <w:marRight w:val="0"/>
      <w:marTop w:val="0"/>
      <w:marBottom w:val="0"/>
      <w:divBdr>
        <w:top w:val="none" w:sz="0" w:space="0" w:color="auto"/>
        <w:left w:val="none" w:sz="0" w:space="0" w:color="auto"/>
        <w:bottom w:val="none" w:sz="0" w:space="0" w:color="auto"/>
        <w:right w:val="none" w:sz="0" w:space="0" w:color="auto"/>
      </w:divBdr>
    </w:div>
    <w:div w:id="510024597">
      <w:bodyDiv w:val="1"/>
      <w:marLeft w:val="0"/>
      <w:marRight w:val="0"/>
      <w:marTop w:val="0"/>
      <w:marBottom w:val="0"/>
      <w:divBdr>
        <w:top w:val="none" w:sz="0" w:space="0" w:color="auto"/>
        <w:left w:val="none" w:sz="0" w:space="0" w:color="auto"/>
        <w:bottom w:val="none" w:sz="0" w:space="0" w:color="auto"/>
        <w:right w:val="none" w:sz="0" w:space="0" w:color="auto"/>
      </w:divBdr>
    </w:div>
    <w:div w:id="510679259">
      <w:bodyDiv w:val="1"/>
      <w:marLeft w:val="0"/>
      <w:marRight w:val="0"/>
      <w:marTop w:val="0"/>
      <w:marBottom w:val="0"/>
      <w:divBdr>
        <w:top w:val="none" w:sz="0" w:space="0" w:color="auto"/>
        <w:left w:val="none" w:sz="0" w:space="0" w:color="auto"/>
        <w:bottom w:val="none" w:sz="0" w:space="0" w:color="auto"/>
        <w:right w:val="none" w:sz="0" w:space="0" w:color="auto"/>
      </w:divBdr>
    </w:div>
    <w:div w:id="513157863">
      <w:bodyDiv w:val="1"/>
      <w:marLeft w:val="0"/>
      <w:marRight w:val="0"/>
      <w:marTop w:val="0"/>
      <w:marBottom w:val="0"/>
      <w:divBdr>
        <w:top w:val="none" w:sz="0" w:space="0" w:color="auto"/>
        <w:left w:val="none" w:sz="0" w:space="0" w:color="auto"/>
        <w:bottom w:val="none" w:sz="0" w:space="0" w:color="auto"/>
        <w:right w:val="none" w:sz="0" w:space="0" w:color="auto"/>
      </w:divBdr>
    </w:div>
    <w:div w:id="520749337">
      <w:bodyDiv w:val="1"/>
      <w:marLeft w:val="0"/>
      <w:marRight w:val="0"/>
      <w:marTop w:val="0"/>
      <w:marBottom w:val="0"/>
      <w:divBdr>
        <w:top w:val="none" w:sz="0" w:space="0" w:color="auto"/>
        <w:left w:val="none" w:sz="0" w:space="0" w:color="auto"/>
        <w:bottom w:val="none" w:sz="0" w:space="0" w:color="auto"/>
        <w:right w:val="none" w:sz="0" w:space="0" w:color="auto"/>
      </w:divBdr>
    </w:div>
    <w:div w:id="521088934">
      <w:bodyDiv w:val="1"/>
      <w:marLeft w:val="0"/>
      <w:marRight w:val="0"/>
      <w:marTop w:val="0"/>
      <w:marBottom w:val="0"/>
      <w:divBdr>
        <w:top w:val="none" w:sz="0" w:space="0" w:color="auto"/>
        <w:left w:val="none" w:sz="0" w:space="0" w:color="auto"/>
        <w:bottom w:val="none" w:sz="0" w:space="0" w:color="auto"/>
        <w:right w:val="none" w:sz="0" w:space="0" w:color="auto"/>
      </w:divBdr>
    </w:div>
    <w:div w:id="526524246">
      <w:bodyDiv w:val="1"/>
      <w:marLeft w:val="0"/>
      <w:marRight w:val="0"/>
      <w:marTop w:val="0"/>
      <w:marBottom w:val="0"/>
      <w:divBdr>
        <w:top w:val="none" w:sz="0" w:space="0" w:color="auto"/>
        <w:left w:val="none" w:sz="0" w:space="0" w:color="auto"/>
        <w:bottom w:val="none" w:sz="0" w:space="0" w:color="auto"/>
        <w:right w:val="none" w:sz="0" w:space="0" w:color="auto"/>
      </w:divBdr>
    </w:div>
    <w:div w:id="529531479">
      <w:bodyDiv w:val="1"/>
      <w:marLeft w:val="0"/>
      <w:marRight w:val="0"/>
      <w:marTop w:val="0"/>
      <w:marBottom w:val="0"/>
      <w:divBdr>
        <w:top w:val="none" w:sz="0" w:space="0" w:color="auto"/>
        <w:left w:val="none" w:sz="0" w:space="0" w:color="auto"/>
        <w:bottom w:val="none" w:sz="0" w:space="0" w:color="auto"/>
        <w:right w:val="none" w:sz="0" w:space="0" w:color="auto"/>
      </w:divBdr>
    </w:div>
    <w:div w:id="530605505">
      <w:bodyDiv w:val="1"/>
      <w:marLeft w:val="0"/>
      <w:marRight w:val="0"/>
      <w:marTop w:val="0"/>
      <w:marBottom w:val="0"/>
      <w:divBdr>
        <w:top w:val="none" w:sz="0" w:space="0" w:color="auto"/>
        <w:left w:val="none" w:sz="0" w:space="0" w:color="auto"/>
        <w:bottom w:val="none" w:sz="0" w:space="0" w:color="auto"/>
        <w:right w:val="none" w:sz="0" w:space="0" w:color="auto"/>
      </w:divBdr>
    </w:div>
    <w:div w:id="530844379">
      <w:bodyDiv w:val="1"/>
      <w:marLeft w:val="0"/>
      <w:marRight w:val="0"/>
      <w:marTop w:val="0"/>
      <w:marBottom w:val="0"/>
      <w:divBdr>
        <w:top w:val="none" w:sz="0" w:space="0" w:color="auto"/>
        <w:left w:val="none" w:sz="0" w:space="0" w:color="auto"/>
        <w:bottom w:val="none" w:sz="0" w:space="0" w:color="auto"/>
        <w:right w:val="none" w:sz="0" w:space="0" w:color="auto"/>
      </w:divBdr>
    </w:div>
    <w:div w:id="531385341">
      <w:bodyDiv w:val="1"/>
      <w:marLeft w:val="0"/>
      <w:marRight w:val="0"/>
      <w:marTop w:val="0"/>
      <w:marBottom w:val="0"/>
      <w:divBdr>
        <w:top w:val="none" w:sz="0" w:space="0" w:color="auto"/>
        <w:left w:val="none" w:sz="0" w:space="0" w:color="auto"/>
        <w:bottom w:val="none" w:sz="0" w:space="0" w:color="auto"/>
        <w:right w:val="none" w:sz="0" w:space="0" w:color="auto"/>
      </w:divBdr>
    </w:div>
    <w:div w:id="532496263">
      <w:bodyDiv w:val="1"/>
      <w:marLeft w:val="0"/>
      <w:marRight w:val="0"/>
      <w:marTop w:val="0"/>
      <w:marBottom w:val="0"/>
      <w:divBdr>
        <w:top w:val="none" w:sz="0" w:space="0" w:color="auto"/>
        <w:left w:val="none" w:sz="0" w:space="0" w:color="auto"/>
        <w:bottom w:val="none" w:sz="0" w:space="0" w:color="auto"/>
        <w:right w:val="none" w:sz="0" w:space="0" w:color="auto"/>
      </w:divBdr>
    </w:div>
    <w:div w:id="533080694">
      <w:bodyDiv w:val="1"/>
      <w:marLeft w:val="0"/>
      <w:marRight w:val="0"/>
      <w:marTop w:val="0"/>
      <w:marBottom w:val="0"/>
      <w:divBdr>
        <w:top w:val="none" w:sz="0" w:space="0" w:color="auto"/>
        <w:left w:val="none" w:sz="0" w:space="0" w:color="auto"/>
        <w:bottom w:val="none" w:sz="0" w:space="0" w:color="auto"/>
        <w:right w:val="none" w:sz="0" w:space="0" w:color="auto"/>
      </w:divBdr>
    </w:div>
    <w:div w:id="534078825">
      <w:bodyDiv w:val="1"/>
      <w:marLeft w:val="0"/>
      <w:marRight w:val="0"/>
      <w:marTop w:val="0"/>
      <w:marBottom w:val="0"/>
      <w:divBdr>
        <w:top w:val="none" w:sz="0" w:space="0" w:color="auto"/>
        <w:left w:val="none" w:sz="0" w:space="0" w:color="auto"/>
        <w:bottom w:val="none" w:sz="0" w:space="0" w:color="auto"/>
        <w:right w:val="none" w:sz="0" w:space="0" w:color="auto"/>
      </w:divBdr>
    </w:div>
    <w:div w:id="535771756">
      <w:bodyDiv w:val="1"/>
      <w:marLeft w:val="0"/>
      <w:marRight w:val="0"/>
      <w:marTop w:val="0"/>
      <w:marBottom w:val="0"/>
      <w:divBdr>
        <w:top w:val="none" w:sz="0" w:space="0" w:color="auto"/>
        <w:left w:val="none" w:sz="0" w:space="0" w:color="auto"/>
        <w:bottom w:val="none" w:sz="0" w:space="0" w:color="auto"/>
        <w:right w:val="none" w:sz="0" w:space="0" w:color="auto"/>
      </w:divBdr>
    </w:div>
    <w:div w:id="542333355">
      <w:bodyDiv w:val="1"/>
      <w:marLeft w:val="0"/>
      <w:marRight w:val="0"/>
      <w:marTop w:val="0"/>
      <w:marBottom w:val="0"/>
      <w:divBdr>
        <w:top w:val="none" w:sz="0" w:space="0" w:color="auto"/>
        <w:left w:val="none" w:sz="0" w:space="0" w:color="auto"/>
        <w:bottom w:val="none" w:sz="0" w:space="0" w:color="auto"/>
        <w:right w:val="none" w:sz="0" w:space="0" w:color="auto"/>
      </w:divBdr>
    </w:div>
    <w:div w:id="543912219">
      <w:bodyDiv w:val="1"/>
      <w:marLeft w:val="0"/>
      <w:marRight w:val="0"/>
      <w:marTop w:val="0"/>
      <w:marBottom w:val="0"/>
      <w:divBdr>
        <w:top w:val="none" w:sz="0" w:space="0" w:color="auto"/>
        <w:left w:val="none" w:sz="0" w:space="0" w:color="auto"/>
        <w:bottom w:val="none" w:sz="0" w:space="0" w:color="auto"/>
        <w:right w:val="none" w:sz="0" w:space="0" w:color="auto"/>
      </w:divBdr>
    </w:div>
    <w:div w:id="544604270">
      <w:bodyDiv w:val="1"/>
      <w:marLeft w:val="0"/>
      <w:marRight w:val="0"/>
      <w:marTop w:val="0"/>
      <w:marBottom w:val="0"/>
      <w:divBdr>
        <w:top w:val="none" w:sz="0" w:space="0" w:color="auto"/>
        <w:left w:val="none" w:sz="0" w:space="0" w:color="auto"/>
        <w:bottom w:val="none" w:sz="0" w:space="0" w:color="auto"/>
        <w:right w:val="none" w:sz="0" w:space="0" w:color="auto"/>
      </w:divBdr>
    </w:div>
    <w:div w:id="546572914">
      <w:bodyDiv w:val="1"/>
      <w:marLeft w:val="0"/>
      <w:marRight w:val="0"/>
      <w:marTop w:val="0"/>
      <w:marBottom w:val="0"/>
      <w:divBdr>
        <w:top w:val="none" w:sz="0" w:space="0" w:color="auto"/>
        <w:left w:val="none" w:sz="0" w:space="0" w:color="auto"/>
        <w:bottom w:val="none" w:sz="0" w:space="0" w:color="auto"/>
        <w:right w:val="none" w:sz="0" w:space="0" w:color="auto"/>
      </w:divBdr>
    </w:div>
    <w:div w:id="546991211">
      <w:bodyDiv w:val="1"/>
      <w:marLeft w:val="0"/>
      <w:marRight w:val="0"/>
      <w:marTop w:val="0"/>
      <w:marBottom w:val="0"/>
      <w:divBdr>
        <w:top w:val="none" w:sz="0" w:space="0" w:color="auto"/>
        <w:left w:val="none" w:sz="0" w:space="0" w:color="auto"/>
        <w:bottom w:val="none" w:sz="0" w:space="0" w:color="auto"/>
        <w:right w:val="none" w:sz="0" w:space="0" w:color="auto"/>
      </w:divBdr>
    </w:div>
    <w:div w:id="547375835">
      <w:bodyDiv w:val="1"/>
      <w:marLeft w:val="0"/>
      <w:marRight w:val="0"/>
      <w:marTop w:val="0"/>
      <w:marBottom w:val="0"/>
      <w:divBdr>
        <w:top w:val="none" w:sz="0" w:space="0" w:color="auto"/>
        <w:left w:val="none" w:sz="0" w:space="0" w:color="auto"/>
        <w:bottom w:val="none" w:sz="0" w:space="0" w:color="auto"/>
        <w:right w:val="none" w:sz="0" w:space="0" w:color="auto"/>
      </w:divBdr>
    </w:div>
    <w:div w:id="550576981">
      <w:bodyDiv w:val="1"/>
      <w:marLeft w:val="0"/>
      <w:marRight w:val="0"/>
      <w:marTop w:val="0"/>
      <w:marBottom w:val="0"/>
      <w:divBdr>
        <w:top w:val="none" w:sz="0" w:space="0" w:color="auto"/>
        <w:left w:val="none" w:sz="0" w:space="0" w:color="auto"/>
        <w:bottom w:val="none" w:sz="0" w:space="0" w:color="auto"/>
        <w:right w:val="none" w:sz="0" w:space="0" w:color="auto"/>
      </w:divBdr>
    </w:div>
    <w:div w:id="552427696">
      <w:bodyDiv w:val="1"/>
      <w:marLeft w:val="0"/>
      <w:marRight w:val="0"/>
      <w:marTop w:val="0"/>
      <w:marBottom w:val="0"/>
      <w:divBdr>
        <w:top w:val="none" w:sz="0" w:space="0" w:color="auto"/>
        <w:left w:val="none" w:sz="0" w:space="0" w:color="auto"/>
        <w:bottom w:val="none" w:sz="0" w:space="0" w:color="auto"/>
        <w:right w:val="none" w:sz="0" w:space="0" w:color="auto"/>
      </w:divBdr>
    </w:div>
    <w:div w:id="556283245">
      <w:bodyDiv w:val="1"/>
      <w:marLeft w:val="0"/>
      <w:marRight w:val="0"/>
      <w:marTop w:val="0"/>
      <w:marBottom w:val="0"/>
      <w:divBdr>
        <w:top w:val="none" w:sz="0" w:space="0" w:color="auto"/>
        <w:left w:val="none" w:sz="0" w:space="0" w:color="auto"/>
        <w:bottom w:val="none" w:sz="0" w:space="0" w:color="auto"/>
        <w:right w:val="none" w:sz="0" w:space="0" w:color="auto"/>
      </w:divBdr>
    </w:div>
    <w:div w:id="557934290">
      <w:bodyDiv w:val="1"/>
      <w:marLeft w:val="0"/>
      <w:marRight w:val="0"/>
      <w:marTop w:val="0"/>
      <w:marBottom w:val="0"/>
      <w:divBdr>
        <w:top w:val="none" w:sz="0" w:space="0" w:color="auto"/>
        <w:left w:val="none" w:sz="0" w:space="0" w:color="auto"/>
        <w:bottom w:val="none" w:sz="0" w:space="0" w:color="auto"/>
        <w:right w:val="none" w:sz="0" w:space="0" w:color="auto"/>
      </w:divBdr>
    </w:div>
    <w:div w:id="558784834">
      <w:bodyDiv w:val="1"/>
      <w:marLeft w:val="0"/>
      <w:marRight w:val="0"/>
      <w:marTop w:val="0"/>
      <w:marBottom w:val="0"/>
      <w:divBdr>
        <w:top w:val="none" w:sz="0" w:space="0" w:color="auto"/>
        <w:left w:val="none" w:sz="0" w:space="0" w:color="auto"/>
        <w:bottom w:val="none" w:sz="0" w:space="0" w:color="auto"/>
        <w:right w:val="none" w:sz="0" w:space="0" w:color="auto"/>
      </w:divBdr>
    </w:div>
    <w:div w:id="562180427">
      <w:bodyDiv w:val="1"/>
      <w:marLeft w:val="0"/>
      <w:marRight w:val="0"/>
      <w:marTop w:val="0"/>
      <w:marBottom w:val="0"/>
      <w:divBdr>
        <w:top w:val="none" w:sz="0" w:space="0" w:color="auto"/>
        <w:left w:val="none" w:sz="0" w:space="0" w:color="auto"/>
        <w:bottom w:val="none" w:sz="0" w:space="0" w:color="auto"/>
        <w:right w:val="none" w:sz="0" w:space="0" w:color="auto"/>
      </w:divBdr>
    </w:div>
    <w:div w:id="562495780">
      <w:bodyDiv w:val="1"/>
      <w:marLeft w:val="0"/>
      <w:marRight w:val="0"/>
      <w:marTop w:val="0"/>
      <w:marBottom w:val="0"/>
      <w:divBdr>
        <w:top w:val="none" w:sz="0" w:space="0" w:color="auto"/>
        <w:left w:val="none" w:sz="0" w:space="0" w:color="auto"/>
        <w:bottom w:val="none" w:sz="0" w:space="0" w:color="auto"/>
        <w:right w:val="none" w:sz="0" w:space="0" w:color="auto"/>
      </w:divBdr>
    </w:div>
    <w:div w:id="564755828">
      <w:bodyDiv w:val="1"/>
      <w:marLeft w:val="0"/>
      <w:marRight w:val="0"/>
      <w:marTop w:val="0"/>
      <w:marBottom w:val="0"/>
      <w:divBdr>
        <w:top w:val="none" w:sz="0" w:space="0" w:color="auto"/>
        <w:left w:val="none" w:sz="0" w:space="0" w:color="auto"/>
        <w:bottom w:val="none" w:sz="0" w:space="0" w:color="auto"/>
        <w:right w:val="none" w:sz="0" w:space="0" w:color="auto"/>
      </w:divBdr>
    </w:div>
    <w:div w:id="564877912">
      <w:bodyDiv w:val="1"/>
      <w:marLeft w:val="0"/>
      <w:marRight w:val="0"/>
      <w:marTop w:val="0"/>
      <w:marBottom w:val="0"/>
      <w:divBdr>
        <w:top w:val="none" w:sz="0" w:space="0" w:color="auto"/>
        <w:left w:val="none" w:sz="0" w:space="0" w:color="auto"/>
        <w:bottom w:val="none" w:sz="0" w:space="0" w:color="auto"/>
        <w:right w:val="none" w:sz="0" w:space="0" w:color="auto"/>
      </w:divBdr>
    </w:div>
    <w:div w:id="567418862">
      <w:bodyDiv w:val="1"/>
      <w:marLeft w:val="0"/>
      <w:marRight w:val="0"/>
      <w:marTop w:val="0"/>
      <w:marBottom w:val="0"/>
      <w:divBdr>
        <w:top w:val="none" w:sz="0" w:space="0" w:color="auto"/>
        <w:left w:val="none" w:sz="0" w:space="0" w:color="auto"/>
        <w:bottom w:val="none" w:sz="0" w:space="0" w:color="auto"/>
        <w:right w:val="none" w:sz="0" w:space="0" w:color="auto"/>
      </w:divBdr>
    </w:div>
    <w:div w:id="567493399">
      <w:bodyDiv w:val="1"/>
      <w:marLeft w:val="0"/>
      <w:marRight w:val="0"/>
      <w:marTop w:val="0"/>
      <w:marBottom w:val="0"/>
      <w:divBdr>
        <w:top w:val="none" w:sz="0" w:space="0" w:color="auto"/>
        <w:left w:val="none" w:sz="0" w:space="0" w:color="auto"/>
        <w:bottom w:val="none" w:sz="0" w:space="0" w:color="auto"/>
        <w:right w:val="none" w:sz="0" w:space="0" w:color="auto"/>
      </w:divBdr>
    </w:div>
    <w:div w:id="568538279">
      <w:bodyDiv w:val="1"/>
      <w:marLeft w:val="0"/>
      <w:marRight w:val="0"/>
      <w:marTop w:val="0"/>
      <w:marBottom w:val="0"/>
      <w:divBdr>
        <w:top w:val="none" w:sz="0" w:space="0" w:color="auto"/>
        <w:left w:val="none" w:sz="0" w:space="0" w:color="auto"/>
        <w:bottom w:val="none" w:sz="0" w:space="0" w:color="auto"/>
        <w:right w:val="none" w:sz="0" w:space="0" w:color="auto"/>
      </w:divBdr>
    </w:div>
    <w:div w:id="569773240">
      <w:bodyDiv w:val="1"/>
      <w:marLeft w:val="0"/>
      <w:marRight w:val="0"/>
      <w:marTop w:val="0"/>
      <w:marBottom w:val="0"/>
      <w:divBdr>
        <w:top w:val="none" w:sz="0" w:space="0" w:color="auto"/>
        <w:left w:val="none" w:sz="0" w:space="0" w:color="auto"/>
        <w:bottom w:val="none" w:sz="0" w:space="0" w:color="auto"/>
        <w:right w:val="none" w:sz="0" w:space="0" w:color="auto"/>
      </w:divBdr>
    </w:div>
    <w:div w:id="570237325">
      <w:bodyDiv w:val="1"/>
      <w:marLeft w:val="0"/>
      <w:marRight w:val="0"/>
      <w:marTop w:val="0"/>
      <w:marBottom w:val="0"/>
      <w:divBdr>
        <w:top w:val="none" w:sz="0" w:space="0" w:color="auto"/>
        <w:left w:val="none" w:sz="0" w:space="0" w:color="auto"/>
        <w:bottom w:val="none" w:sz="0" w:space="0" w:color="auto"/>
        <w:right w:val="none" w:sz="0" w:space="0" w:color="auto"/>
      </w:divBdr>
    </w:div>
    <w:div w:id="572089265">
      <w:bodyDiv w:val="1"/>
      <w:marLeft w:val="0"/>
      <w:marRight w:val="0"/>
      <w:marTop w:val="0"/>
      <w:marBottom w:val="0"/>
      <w:divBdr>
        <w:top w:val="none" w:sz="0" w:space="0" w:color="auto"/>
        <w:left w:val="none" w:sz="0" w:space="0" w:color="auto"/>
        <w:bottom w:val="none" w:sz="0" w:space="0" w:color="auto"/>
        <w:right w:val="none" w:sz="0" w:space="0" w:color="auto"/>
      </w:divBdr>
    </w:div>
    <w:div w:id="572472443">
      <w:bodyDiv w:val="1"/>
      <w:marLeft w:val="0"/>
      <w:marRight w:val="0"/>
      <w:marTop w:val="0"/>
      <w:marBottom w:val="0"/>
      <w:divBdr>
        <w:top w:val="none" w:sz="0" w:space="0" w:color="auto"/>
        <w:left w:val="none" w:sz="0" w:space="0" w:color="auto"/>
        <w:bottom w:val="none" w:sz="0" w:space="0" w:color="auto"/>
        <w:right w:val="none" w:sz="0" w:space="0" w:color="auto"/>
      </w:divBdr>
    </w:div>
    <w:div w:id="572934113">
      <w:bodyDiv w:val="1"/>
      <w:marLeft w:val="0"/>
      <w:marRight w:val="0"/>
      <w:marTop w:val="0"/>
      <w:marBottom w:val="0"/>
      <w:divBdr>
        <w:top w:val="none" w:sz="0" w:space="0" w:color="auto"/>
        <w:left w:val="none" w:sz="0" w:space="0" w:color="auto"/>
        <w:bottom w:val="none" w:sz="0" w:space="0" w:color="auto"/>
        <w:right w:val="none" w:sz="0" w:space="0" w:color="auto"/>
      </w:divBdr>
    </w:div>
    <w:div w:id="575406997">
      <w:bodyDiv w:val="1"/>
      <w:marLeft w:val="0"/>
      <w:marRight w:val="0"/>
      <w:marTop w:val="0"/>
      <w:marBottom w:val="0"/>
      <w:divBdr>
        <w:top w:val="none" w:sz="0" w:space="0" w:color="auto"/>
        <w:left w:val="none" w:sz="0" w:space="0" w:color="auto"/>
        <w:bottom w:val="none" w:sz="0" w:space="0" w:color="auto"/>
        <w:right w:val="none" w:sz="0" w:space="0" w:color="auto"/>
      </w:divBdr>
    </w:div>
    <w:div w:id="587619485">
      <w:bodyDiv w:val="1"/>
      <w:marLeft w:val="0"/>
      <w:marRight w:val="0"/>
      <w:marTop w:val="0"/>
      <w:marBottom w:val="0"/>
      <w:divBdr>
        <w:top w:val="none" w:sz="0" w:space="0" w:color="auto"/>
        <w:left w:val="none" w:sz="0" w:space="0" w:color="auto"/>
        <w:bottom w:val="none" w:sz="0" w:space="0" w:color="auto"/>
        <w:right w:val="none" w:sz="0" w:space="0" w:color="auto"/>
      </w:divBdr>
    </w:div>
    <w:div w:id="589659632">
      <w:bodyDiv w:val="1"/>
      <w:marLeft w:val="0"/>
      <w:marRight w:val="0"/>
      <w:marTop w:val="0"/>
      <w:marBottom w:val="0"/>
      <w:divBdr>
        <w:top w:val="none" w:sz="0" w:space="0" w:color="auto"/>
        <w:left w:val="none" w:sz="0" w:space="0" w:color="auto"/>
        <w:bottom w:val="none" w:sz="0" w:space="0" w:color="auto"/>
        <w:right w:val="none" w:sz="0" w:space="0" w:color="auto"/>
      </w:divBdr>
    </w:div>
    <w:div w:id="589773138">
      <w:bodyDiv w:val="1"/>
      <w:marLeft w:val="0"/>
      <w:marRight w:val="0"/>
      <w:marTop w:val="0"/>
      <w:marBottom w:val="0"/>
      <w:divBdr>
        <w:top w:val="none" w:sz="0" w:space="0" w:color="auto"/>
        <w:left w:val="none" w:sz="0" w:space="0" w:color="auto"/>
        <w:bottom w:val="none" w:sz="0" w:space="0" w:color="auto"/>
        <w:right w:val="none" w:sz="0" w:space="0" w:color="auto"/>
      </w:divBdr>
    </w:div>
    <w:div w:id="592083199">
      <w:bodyDiv w:val="1"/>
      <w:marLeft w:val="0"/>
      <w:marRight w:val="0"/>
      <w:marTop w:val="0"/>
      <w:marBottom w:val="0"/>
      <w:divBdr>
        <w:top w:val="none" w:sz="0" w:space="0" w:color="auto"/>
        <w:left w:val="none" w:sz="0" w:space="0" w:color="auto"/>
        <w:bottom w:val="none" w:sz="0" w:space="0" w:color="auto"/>
        <w:right w:val="none" w:sz="0" w:space="0" w:color="auto"/>
      </w:divBdr>
    </w:div>
    <w:div w:id="599535221">
      <w:bodyDiv w:val="1"/>
      <w:marLeft w:val="0"/>
      <w:marRight w:val="0"/>
      <w:marTop w:val="0"/>
      <w:marBottom w:val="0"/>
      <w:divBdr>
        <w:top w:val="none" w:sz="0" w:space="0" w:color="auto"/>
        <w:left w:val="none" w:sz="0" w:space="0" w:color="auto"/>
        <w:bottom w:val="none" w:sz="0" w:space="0" w:color="auto"/>
        <w:right w:val="none" w:sz="0" w:space="0" w:color="auto"/>
      </w:divBdr>
    </w:div>
    <w:div w:id="601182339">
      <w:bodyDiv w:val="1"/>
      <w:marLeft w:val="0"/>
      <w:marRight w:val="0"/>
      <w:marTop w:val="0"/>
      <w:marBottom w:val="0"/>
      <w:divBdr>
        <w:top w:val="none" w:sz="0" w:space="0" w:color="auto"/>
        <w:left w:val="none" w:sz="0" w:space="0" w:color="auto"/>
        <w:bottom w:val="none" w:sz="0" w:space="0" w:color="auto"/>
        <w:right w:val="none" w:sz="0" w:space="0" w:color="auto"/>
      </w:divBdr>
    </w:div>
    <w:div w:id="602147526">
      <w:bodyDiv w:val="1"/>
      <w:marLeft w:val="0"/>
      <w:marRight w:val="0"/>
      <w:marTop w:val="0"/>
      <w:marBottom w:val="0"/>
      <w:divBdr>
        <w:top w:val="none" w:sz="0" w:space="0" w:color="auto"/>
        <w:left w:val="none" w:sz="0" w:space="0" w:color="auto"/>
        <w:bottom w:val="none" w:sz="0" w:space="0" w:color="auto"/>
        <w:right w:val="none" w:sz="0" w:space="0" w:color="auto"/>
      </w:divBdr>
    </w:div>
    <w:div w:id="603464198">
      <w:bodyDiv w:val="1"/>
      <w:marLeft w:val="0"/>
      <w:marRight w:val="0"/>
      <w:marTop w:val="0"/>
      <w:marBottom w:val="0"/>
      <w:divBdr>
        <w:top w:val="none" w:sz="0" w:space="0" w:color="auto"/>
        <w:left w:val="none" w:sz="0" w:space="0" w:color="auto"/>
        <w:bottom w:val="none" w:sz="0" w:space="0" w:color="auto"/>
        <w:right w:val="none" w:sz="0" w:space="0" w:color="auto"/>
      </w:divBdr>
    </w:div>
    <w:div w:id="603535200">
      <w:bodyDiv w:val="1"/>
      <w:marLeft w:val="0"/>
      <w:marRight w:val="0"/>
      <w:marTop w:val="0"/>
      <w:marBottom w:val="0"/>
      <w:divBdr>
        <w:top w:val="none" w:sz="0" w:space="0" w:color="auto"/>
        <w:left w:val="none" w:sz="0" w:space="0" w:color="auto"/>
        <w:bottom w:val="none" w:sz="0" w:space="0" w:color="auto"/>
        <w:right w:val="none" w:sz="0" w:space="0" w:color="auto"/>
      </w:divBdr>
    </w:div>
    <w:div w:id="605580892">
      <w:bodyDiv w:val="1"/>
      <w:marLeft w:val="0"/>
      <w:marRight w:val="0"/>
      <w:marTop w:val="0"/>
      <w:marBottom w:val="0"/>
      <w:divBdr>
        <w:top w:val="none" w:sz="0" w:space="0" w:color="auto"/>
        <w:left w:val="none" w:sz="0" w:space="0" w:color="auto"/>
        <w:bottom w:val="none" w:sz="0" w:space="0" w:color="auto"/>
        <w:right w:val="none" w:sz="0" w:space="0" w:color="auto"/>
      </w:divBdr>
    </w:div>
    <w:div w:id="612975463">
      <w:bodyDiv w:val="1"/>
      <w:marLeft w:val="0"/>
      <w:marRight w:val="0"/>
      <w:marTop w:val="0"/>
      <w:marBottom w:val="0"/>
      <w:divBdr>
        <w:top w:val="none" w:sz="0" w:space="0" w:color="auto"/>
        <w:left w:val="none" w:sz="0" w:space="0" w:color="auto"/>
        <w:bottom w:val="none" w:sz="0" w:space="0" w:color="auto"/>
        <w:right w:val="none" w:sz="0" w:space="0" w:color="auto"/>
      </w:divBdr>
    </w:div>
    <w:div w:id="614555272">
      <w:bodyDiv w:val="1"/>
      <w:marLeft w:val="0"/>
      <w:marRight w:val="0"/>
      <w:marTop w:val="0"/>
      <w:marBottom w:val="0"/>
      <w:divBdr>
        <w:top w:val="none" w:sz="0" w:space="0" w:color="auto"/>
        <w:left w:val="none" w:sz="0" w:space="0" w:color="auto"/>
        <w:bottom w:val="none" w:sz="0" w:space="0" w:color="auto"/>
        <w:right w:val="none" w:sz="0" w:space="0" w:color="auto"/>
      </w:divBdr>
    </w:div>
    <w:div w:id="616065186">
      <w:bodyDiv w:val="1"/>
      <w:marLeft w:val="0"/>
      <w:marRight w:val="0"/>
      <w:marTop w:val="0"/>
      <w:marBottom w:val="0"/>
      <w:divBdr>
        <w:top w:val="none" w:sz="0" w:space="0" w:color="auto"/>
        <w:left w:val="none" w:sz="0" w:space="0" w:color="auto"/>
        <w:bottom w:val="none" w:sz="0" w:space="0" w:color="auto"/>
        <w:right w:val="none" w:sz="0" w:space="0" w:color="auto"/>
      </w:divBdr>
    </w:div>
    <w:div w:id="616715463">
      <w:bodyDiv w:val="1"/>
      <w:marLeft w:val="0"/>
      <w:marRight w:val="0"/>
      <w:marTop w:val="0"/>
      <w:marBottom w:val="0"/>
      <w:divBdr>
        <w:top w:val="none" w:sz="0" w:space="0" w:color="auto"/>
        <w:left w:val="none" w:sz="0" w:space="0" w:color="auto"/>
        <w:bottom w:val="none" w:sz="0" w:space="0" w:color="auto"/>
        <w:right w:val="none" w:sz="0" w:space="0" w:color="auto"/>
      </w:divBdr>
    </w:div>
    <w:div w:id="621156973">
      <w:bodyDiv w:val="1"/>
      <w:marLeft w:val="0"/>
      <w:marRight w:val="0"/>
      <w:marTop w:val="0"/>
      <w:marBottom w:val="0"/>
      <w:divBdr>
        <w:top w:val="none" w:sz="0" w:space="0" w:color="auto"/>
        <w:left w:val="none" w:sz="0" w:space="0" w:color="auto"/>
        <w:bottom w:val="none" w:sz="0" w:space="0" w:color="auto"/>
        <w:right w:val="none" w:sz="0" w:space="0" w:color="auto"/>
      </w:divBdr>
    </w:div>
    <w:div w:id="622686508">
      <w:bodyDiv w:val="1"/>
      <w:marLeft w:val="0"/>
      <w:marRight w:val="0"/>
      <w:marTop w:val="0"/>
      <w:marBottom w:val="0"/>
      <w:divBdr>
        <w:top w:val="none" w:sz="0" w:space="0" w:color="auto"/>
        <w:left w:val="none" w:sz="0" w:space="0" w:color="auto"/>
        <w:bottom w:val="none" w:sz="0" w:space="0" w:color="auto"/>
        <w:right w:val="none" w:sz="0" w:space="0" w:color="auto"/>
      </w:divBdr>
    </w:div>
    <w:div w:id="624047367">
      <w:bodyDiv w:val="1"/>
      <w:marLeft w:val="0"/>
      <w:marRight w:val="0"/>
      <w:marTop w:val="0"/>
      <w:marBottom w:val="0"/>
      <w:divBdr>
        <w:top w:val="none" w:sz="0" w:space="0" w:color="auto"/>
        <w:left w:val="none" w:sz="0" w:space="0" w:color="auto"/>
        <w:bottom w:val="none" w:sz="0" w:space="0" w:color="auto"/>
        <w:right w:val="none" w:sz="0" w:space="0" w:color="auto"/>
      </w:divBdr>
    </w:div>
    <w:div w:id="625046459">
      <w:bodyDiv w:val="1"/>
      <w:marLeft w:val="0"/>
      <w:marRight w:val="0"/>
      <w:marTop w:val="0"/>
      <w:marBottom w:val="0"/>
      <w:divBdr>
        <w:top w:val="none" w:sz="0" w:space="0" w:color="auto"/>
        <w:left w:val="none" w:sz="0" w:space="0" w:color="auto"/>
        <w:bottom w:val="none" w:sz="0" w:space="0" w:color="auto"/>
        <w:right w:val="none" w:sz="0" w:space="0" w:color="auto"/>
      </w:divBdr>
    </w:div>
    <w:div w:id="626351628">
      <w:bodyDiv w:val="1"/>
      <w:marLeft w:val="0"/>
      <w:marRight w:val="0"/>
      <w:marTop w:val="0"/>
      <w:marBottom w:val="0"/>
      <w:divBdr>
        <w:top w:val="none" w:sz="0" w:space="0" w:color="auto"/>
        <w:left w:val="none" w:sz="0" w:space="0" w:color="auto"/>
        <w:bottom w:val="none" w:sz="0" w:space="0" w:color="auto"/>
        <w:right w:val="none" w:sz="0" w:space="0" w:color="auto"/>
      </w:divBdr>
    </w:div>
    <w:div w:id="627321337">
      <w:bodyDiv w:val="1"/>
      <w:marLeft w:val="0"/>
      <w:marRight w:val="0"/>
      <w:marTop w:val="0"/>
      <w:marBottom w:val="0"/>
      <w:divBdr>
        <w:top w:val="none" w:sz="0" w:space="0" w:color="auto"/>
        <w:left w:val="none" w:sz="0" w:space="0" w:color="auto"/>
        <w:bottom w:val="none" w:sz="0" w:space="0" w:color="auto"/>
        <w:right w:val="none" w:sz="0" w:space="0" w:color="auto"/>
      </w:divBdr>
    </w:div>
    <w:div w:id="627782558">
      <w:bodyDiv w:val="1"/>
      <w:marLeft w:val="0"/>
      <w:marRight w:val="0"/>
      <w:marTop w:val="0"/>
      <w:marBottom w:val="0"/>
      <w:divBdr>
        <w:top w:val="none" w:sz="0" w:space="0" w:color="auto"/>
        <w:left w:val="none" w:sz="0" w:space="0" w:color="auto"/>
        <w:bottom w:val="none" w:sz="0" w:space="0" w:color="auto"/>
        <w:right w:val="none" w:sz="0" w:space="0" w:color="auto"/>
      </w:divBdr>
    </w:div>
    <w:div w:id="627976633">
      <w:bodyDiv w:val="1"/>
      <w:marLeft w:val="0"/>
      <w:marRight w:val="0"/>
      <w:marTop w:val="0"/>
      <w:marBottom w:val="0"/>
      <w:divBdr>
        <w:top w:val="none" w:sz="0" w:space="0" w:color="auto"/>
        <w:left w:val="none" w:sz="0" w:space="0" w:color="auto"/>
        <w:bottom w:val="none" w:sz="0" w:space="0" w:color="auto"/>
        <w:right w:val="none" w:sz="0" w:space="0" w:color="auto"/>
      </w:divBdr>
    </w:div>
    <w:div w:id="630205520">
      <w:bodyDiv w:val="1"/>
      <w:marLeft w:val="0"/>
      <w:marRight w:val="0"/>
      <w:marTop w:val="0"/>
      <w:marBottom w:val="0"/>
      <w:divBdr>
        <w:top w:val="none" w:sz="0" w:space="0" w:color="auto"/>
        <w:left w:val="none" w:sz="0" w:space="0" w:color="auto"/>
        <w:bottom w:val="none" w:sz="0" w:space="0" w:color="auto"/>
        <w:right w:val="none" w:sz="0" w:space="0" w:color="auto"/>
      </w:divBdr>
    </w:div>
    <w:div w:id="630401701">
      <w:bodyDiv w:val="1"/>
      <w:marLeft w:val="0"/>
      <w:marRight w:val="0"/>
      <w:marTop w:val="0"/>
      <w:marBottom w:val="0"/>
      <w:divBdr>
        <w:top w:val="none" w:sz="0" w:space="0" w:color="auto"/>
        <w:left w:val="none" w:sz="0" w:space="0" w:color="auto"/>
        <w:bottom w:val="none" w:sz="0" w:space="0" w:color="auto"/>
        <w:right w:val="none" w:sz="0" w:space="0" w:color="auto"/>
      </w:divBdr>
    </w:div>
    <w:div w:id="634264167">
      <w:bodyDiv w:val="1"/>
      <w:marLeft w:val="0"/>
      <w:marRight w:val="0"/>
      <w:marTop w:val="0"/>
      <w:marBottom w:val="0"/>
      <w:divBdr>
        <w:top w:val="none" w:sz="0" w:space="0" w:color="auto"/>
        <w:left w:val="none" w:sz="0" w:space="0" w:color="auto"/>
        <w:bottom w:val="none" w:sz="0" w:space="0" w:color="auto"/>
        <w:right w:val="none" w:sz="0" w:space="0" w:color="auto"/>
      </w:divBdr>
    </w:div>
    <w:div w:id="635531209">
      <w:bodyDiv w:val="1"/>
      <w:marLeft w:val="0"/>
      <w:marRight w:val="0"/>
      <w:marTop w:val="0"/>
      <w:marBottom w:val="0"/>
      <w:divBdr>
        <w:top w:val="none" w:sz="0" w:space="0" w:color="auto"/>
        <w:left w:val="none" w:sz="0" w:space="0" w:color="auto"/>
        <w:bottom w:val="none" w:sz="0" w:space="0" w:color="auto"/>
        <w:right w:val="none" w:sz="0" w:space="0" w:color="auto"/>
      </w:divBdr>
    </w:div>
    <w:div w:id="637146378">
      <w:bodyDiv w:val="1"/>
      <w:marLeft w:val="0"/>
      <w:marRight w:val="0"/>
      <w:marTop w:val="0"/>
      <w:marBottom w:val="0"/>
      <w:divBdr>
        <w:top w:val="none" w:sz="0" w:space="0" w:color="auto"/>
        <w:left w:val="none" w:sz="0" w:space="0" w:color="auto"/>
        <w:bottom w:val="none" w:sz="0" w:space="0" w:color="auto"/>
        <w:right w:val="none" w:sz="0" w:space="0" w:color="auto"/>
      </w:divBdr>
    </w:div>
    <w:div w:id="641932009">
      <w:bodyDiv w:val="1"/>
      <w:marLeft w:val="0"/>
      <w:marRight w:val="0"/>
      <w:marTop w:val="0"/>
      <w:marBottom w:val="0"/>
      <w:divBdr>
        <w:top w:val="none" w:sz="0" w:space="0" w:color="auto"/>
        <w:left w:val="none" w:sz="0" w:space="0" w:color="auto"/>
        <w:bottom w:val="none" w:sz="0" w:space="0" w:color="auto"/>
        <w:right w:val="none" w:sz="0" w:space="0" w:color="auto"/>
      </w:divBdr>
    </w:div>
    <w:div w:id="645554440">
      <w:bodyDiv w:val="1"/>
      <w:marLeft w:val="0"/>
      <w:marRight w:val="0"/>
      <w:marTop w:val="0"/>
      <w:marBottom w:val="0"/>
      <w:divBdr>
        <w:top w:val="none" w:sz="0" w:space="0" w:color="auto"/>
        <w:left w:val="none" w:sz="0" w:space="0" w:color="auto"/>
        <w:bottom w:val="none" w:sz="0" w:space="0" w:color="auto"/>
        <w:right w:val="none" w:sz="0" w:space="0" w:color="auto"/>
      </w:divBdr>
    </w:div>
    <w:div w:id="646859812">
      <w:bodyDiv w:val="1"/>
      <w:marLeft w:val="0"/>
      <w:marRight w:val="0"/>
      <w:marTop w:val="0"/>
      <w:marBottom w:val="0"/>
      <w:divBdr>
        <w:top w:val="none" w:sz="0" w:space="0" w:color="auto"/>
        <w:left w:val="none" w:sz="0" w:space="0" w:color="auto"/>
        <w:bottom w:val="none" w:sz="0" w:space="0" w:color="auto"/>
        <w:right w:val="none" w:sz="0" w:space="0" w:color="auto"/>
      </w:divBdr>
    </w:div>
    <w:div w:id="649483613">
      <w:bodyDiv w:val="1"/>
      <w:marLeft w:val="0"/>
      <w:marRight w:val="0"/>
      <w:marTop w:val="0"/>
      <w:marBottom w:val="0"/>
      <w:divBdr>
        <w:top w:val="none" w:sz="0" w:space="0" w:color="auto"/>
        <w:left w:val="none" w:sz="0" w:space="0" w:color="auto"/>
        <w:bottom w:val="none" w:sz="0" w:space="0" w:color="auto"/>
        <w:right w:val="none" w:sz="0" w:space="0" w:color="auto"/>
      </w:divBdr>
    </w:div>
    <w:div w:id="649677276">
      <w:bodyDiv w:val="1"/>
      <w:marLeft w:val="0"/>
      <w:marRight w:val="0"/>
      <w:marTop w:val="0"/>
      <w:marBottom w:val="0"/>
      <w:divBdr>
        <w:top w:val="none" w:sz="0" w:space="0" w:color="auto"/>
        <w:left w:val="none" w:sz="0" w:space="0" w:color="auto"/>
        <w:bottom w:val="none" w:sz="0" w:space="0" w:color="auto"/>
        <w:right w:val="none" w:sz="0" w:space="0" w:color="auto"/>
      </w:divBdr>
    </w:div>
    <w:div w:id="649678290">
      <w:bodyDiv w:val="1"/>
      <w:marLeft w:val="0"/>
      <w:marRight w:val="0"/>
      <w:marTop w:val="0"/>
      <w:marBottom w:val="0"/>
      <w:divBdr>
        <w:top w:val="none" w:sz="0" w:space="0" w:color="auto"/>
        <w:left w:val="none" w:sz="0" w:space="0" w:color="auto"/>
        <w:bottom w:val="none" w:sz="0" w:space="0" w:color="auto"/>
        <w:right w:val="none" w:sz="0" w:space="0" w:color="auto"/>
      </w:divBdr>
    </w:div>
    <w:div w:id="649945891">
      <w:bodyDiv w:val="1"/>
      <w:marLeft w:val="0"/>
      <w:marRight w:val="0"/>
      <w:marTop w:val="0"/>
      <w:marBottom w:val="0"/>
      <w:divBdr>
        <w:top w:val="none" w:sz="0" w:space="0" w:color="auto"/>
        <w:left w:val="none" w:sz="0" w:space="0" w:color="auto"/>
        <w:bottom w:val="none" w:sz="0" w:space="0" w:color="auto"/>
        <w:right w:val="none" w:sz="0" w:space="0" w:color="auto"/>
      </w:divBdr>
    </w:div>
    <w:div w:id="650134605">
      <w:bodyDiv w:val="1"/>
      <w:marLeft w:val="0"/>
      <w:marRight w:val="0"/>
      <w:marTop w:val="0"/>
      <w:marBottom w:val="0"/>
      <w:divBdr>
        <w:top w:val="none" w:sz="0" w:space="0" w:color="auto"/>
        <w:left w:val="none" w:sz="0" w:space="0" w:color="auto"/>
        <w:bottom w:val="none" w:sz="0" w:space="0" w:color="auto"/>
        <w:right w:val="none" w:sz="0" w:space="0" w:color="auto"/>
      </w:divBdr>
    </w:div>
    <w:div w:id="652416939">
      <w:bodyDiv w:val="1"/>
      <w:marLeft w:val="0"/>
      <w:marRight w:val="0"/>
      <w:marTop w:val="0"/>
      <w:marBottom w:val="0"/>
      <w:divBdr>
        <w:top w:val="none" w:sz="0" w:space="0" w:color="auto"/>
        <w:left w:val="none" w:sz="0" w:space="0" w:color="auto"/>
        <w:bottom w:val="none" w:sz="0" w:space="0" w:color="auto"/>
        <w:right w:val="none" w:sz="0" w:space="0" w:color="auto"/>
      </w:divBdr>
    </w:div>
    <w:div w:id="652682274">
      <w:bodyDiv w:val="1"/>
      <w:marLeft w:val="0"/>
      <w:marRight w:val="0"/>
      <w:marTop w:val="0"/>
      <w:marBottom w:val="0"/>
      <w:divBdr>
        <w:top w:val="none" w:sz="0" w:space="0" w:color="auto"/>
        <w:left w:val="none" w:sz="0" w:space="0" w:color="auto"/>
        <w:bottom w:val="none" w:sz="0" w:space="0" w:color="auto"/>
        <w:right w:val="none" w:sz="0" w:space="0" w:color="auto"/>
      </w:divBdr>
    </w:div>
    <w:div w:id="654645950">
      <w:bodyDiv w:val="1"/>
      <w:marLeft w:val="0"/>
      <w:marRight w:val="0"/>
      <w:marTop w:val="0"/>
      <w:marBottom w:val="0"/>
      <w:divBdr>
        <w:top w:val="none" w:sz="0" w:space="0" w:color="auto"/>
        <w:left w:val="none" w:sz="0" w:space="0" w:color="auto"/>
        <w:bottom w:val="none" w:sz="0" w:space="0" w:color="auto"/>
        <w:right w:val="none" w:sz="0" w:space="0" w:color="auto"/>
      </w:divBdr>
    </w:div>
    <w:div w:id="660305288">
      <w:bodyDiv w:val="1"/>
      <w:marLeft w:val="0"/>
      <w:marRight w:val="0"/>
      <w:marTop w:val="0"/>
      <w:marBottom w:val="0"/>
      <w:divBdr>
        <w:top w:val="none" w:sz="0" w:space="0" w:color="auto"/>
        <w:left w:val="none" w:sz="0" w:space="0" w:color="auto"/>
        <w:bottom w:val="none" w:sz="0" w:space="0" w:color="auto"/>
        <w:right w:val="none" w:sz="0" w:space="0" w:color="auto"/>
      </w:divBdr>
    </w:div>
    <w:div w:id="660432366">
      <w:bodyDiv w:val="1"/>
      <w:marLeft w:val="0"/>
      <w:marRight w:val="0"/>
      <w:marTop w:val="0"/>
      <w:marBottom w:val="0"/>
      <w:divBdr>
        <w:top w:val="none" w:sz="0" w:space="0" w:color="auto"/>
        <w:left w:val="none" w:sz="0" w:space="0" w:color="auto"/>
        <w:bottom w:val="none" w:sz="0" w:space="0" w:color="auto"/>
        <w:right w:val="none" w:sz="0" w:space="0" w:color="auto"/>
      </w:divBdr>
    </w:div>
    <w:div w:id="661273806">
      <w:bodyDiv w:val="1"/>
      <w:marLeft w:val="0"/>
      <w:marRight w:val="0"/>
      <w:marTop w:val="0"/>
      <w:marBottom w:val="0"/>
      <w:divBdr>
        <w:top w:val="none" w:sz="0" w:space="0" w:color="auto"/>
        <w:left w:val="none" w:sz="0" w:space="0" w:color="auto"/>
        <w:bottom w:val="none" w:sz="0" w:space="0" w:color="auto"/>
        <w:right w:val="none" w:sz="0" w:space="0" w:color="auto"/>
      </w:divBdr>
    </w:div>
    <w:div w:id="663633660">
      <w:bodyDiv w:val="1"/>
      <w:marLeft w:val="0"/>
      <w:marRight w:val="0"/>
      <w:marTop w:val="0"/>
      <w:marBottom w:val="0"/>
      <w:divBdr>
        <w:top w:val="none" w:sz="0" w:space="0" w:color="auto"/>
        <w:left w:val="none" w:sz="0" w:space="0" w:color="auto"/>
        <w:bottom w:val="none" w:sz="0" w:space="0" w:color="auto"/>
        <w:right w:val="none" w:sz="0" w:space="0" w:color="auto"/>
      </w:divBdr>
    </w:div>
    <w:div w:id="663969454">
      <w:bodyDiv w:val="1"/>
      <w:marLeft w:val="0"/>
      <w:marRight w:val="0"/>
      <w:marTop w:val="0"/>
      <w:marBottom w:val="0"/>
      <w:divBdr>
        <w:top w:val="none" w:sz="0" w:space="0" w:color="auto"/>
        <w:left w:val="none" w:sz="0" w:space="0" w:color="auto"/>
        <w:bottom w:val="none" w:sz="0" w:space="0" w:color="auto"/>
        <w:right w:val="none" w:sz="0" w:space="0" w:color="auto"/>
      </w:divBdr>
    </w:div>
    <w:div w:id="669337632">
      <w:bodyDiv w:val="1"/>
      <w:marLeft w:val="0"/>
      <w:marRight w:val="0"/>
      <w:marTop w:val="0"/>
      <w:marBottom w:val="0"/>
      <w:divBdr>
        <w:top w:val="none" w:sz="0" w:space="0" w:color="auto"/>
        <w:left w:val="none" w:sz="0" w:space="0" w:color="auto"/>
        <w:bottom w:val="none" w:sz="0" w:space="0" w:color="auto"/>
        <w:right w:val="none" w:sz="0" w:space="0" w:color="auto"/>
      </w:divBdr>
    </w:div>
    <w:div w:id="673217681">
      <w:bodyDiv w:val="1"/>
      <w:marLeft w:val="0"/>
      <w:marRight w:val="0"/>
      <w:marTop w:val="0"/>
      <w:marBottom w:val="0"/>
      <w:divBdr>
        <w:top w:val="none" w:sz="0" w:space="0" w:color="auto"/>
        <w:left w:val="none" w:sz="0" w:space="0" w:color="auto"/>
        <w:bottom w:val="none" w:sz="0" w:space="0" w:color="auto"/>
        <w:right w:val="none" w:sz="0" w:space="0" w:color="auto"/>
      </w:divBdr>
    </w:div>
    <w:div w:id="681593003">
      <w:bodyDiv w:val="1"/>
      <w:marLeft w:val="0"/>
      <w:marRight w:val="0"/>
      <w:marTop w:val="0"/>
      <w:marBottom w:val="0"/>
      <w:divBdr>
        <w:top w:val="none" w:sz="0" w:space="0" w:color="auto"/>
        <w:left w:val="none" w:sz="0" w:space="0" w:color="auto"/>
        <w:bottom w:val="none" w:sz="0" w:space="0" w:color="auto"/>
        <w:right w:val="none" w:sz="0" w:space="0" w:color="auto"/>
      </w:divBdr>
    </w:div>
    <w:div w:id="682437280">
      <w:bodyDiv w:val="1"/>
      <w:marLeft w:val="0"/>
      <w:marRight w:val="0"/>
      <w:marTop w:val="0"/>
      <w:marBottom w:val="0"/>
      <w:divBdr>
        <w:top w:val="none" w:sz="0" w:space="0" w:color="auto"/>
        <w:left w:val="none" w:sz="0" w:space="0" w:color="auto"/>
        <w:bottom w:val="none" w:sz="0" w:space="0" w:color="auto"/>
        <w:right w:val="none" w:sz="0" w:space="0" w:color="auto"/>
      </w:divBdr>
    </w:div>
    <w:div w:id="682439482">
      <w:bodyDiv w:val="1"/>
      <w:marLeft w:val="0"/>
      <w:marRight w:val="0"/>
      <w:marTop w:val="0"/>
      <w:marBottom w:val="0"/>
      <w:divBdr>
        <w:top w:val="none" w:sz="0" w:space="0" w:color="auto"/>
        <w:left w:val="none" w:sz="0" w:space="0" w:color="auto"/>
        <w:bottom w:val="none" w:sz="0" w:space="0" w:color="auto"/>
        <w:right w:val="none" w:sz="0" w:space="0" w:color="auto"/>
      </w:divBdr>
    </w:div>
    <w:div w:id="682557891">
      <w:bodyDiv w:val="1"/>
      <w:marLeft w:val="0"/>
      <w:marRight w:val="0"/>
      <w:marTop w:val="0"/>
      <w:marBottom w:val="0"/>
      <w:divBdr>
        <w:top w:val="none" w:sz="0" w:space="0" w:color="auto"/>
        <w:left w:val="none" w:sz="0" w:space="0" w:color="auto"/>
        <w:bottom w:val="none" w:sz="0" w:space="0" w:color="auto"/>
        <w:right w:val="none" w:sz="0" w:space="0" w:color="auto"/>
      </w:divBdr>
    </w:div>
    <w:div w:id="683896756">
      <w:bodyDiv w:val="1"/>
      <w:marLeft w:val="0"/>
      <w:marRight w:val="0"/>
      <w:marTop w:val="0"/>
      <w:marBottom w:val="0"/>
      <w:divBdr>
        <w:top w:val="none" w:sz="0" w:space="0" w:color="auto"/>
        <w:left w:val="none" w:sz="0" w:space="0" w:color="auto"/>
        <w:bottom w:val="none" w:sz="0" w:space="0" w:color="auto"/>
        <w:right w:val="none" w:sz="0" w:space="0" w:color="auto"/>
      </w:divBdr>
    </w:div>
    <w:div w:id="688799516">
      <w:bodyDiv w:val="1"/>
      <w:marLeft w:val="0"/>
      <w:marRight w:val="0"/>
      <w:marTop w:val="0"/>
      <w:marBottom w:val="0"/>
      <w:divBdr>
        <w:top w:val="none" w:sz="0" w:space="0" w:color="auto"/>
        <w:left w:val="none" w:sz="0" w:space="0" w:color="auto"/>
        <w:bottom w:val="none" w:sz="0" w:space="0" w:color="auto"/>
        <w:right w:val="none" w:sz="0" w:space="0" w:color="auto"/>
      </w:divBdr>
    </w:div>
    <w:div w:id="689717719">
      <w:bodyDiv w:val="1"/>
      <w:marLeft w:val="0"/>
      <w:marRight w:val="0"/>
      <w:marTop w:val="0"/>
      <w:marBottom w:val="0"/>
      <w:divBdr>
        <w:top w:val="none" w:sz="0" w:space="0" w:color="auto"/>
        <w:left w:val="none" w:sz="0" w:space="0" w:color="auto"/>
        <w:bottom w:val="none" w:sz="0" w:space="0" w:color="auto"/>
        <w:right w:val="none" w:sz="0" w:space="0" w:color="auto"/>
      </w:divBdr>
    </w:div>
    <w:div w:id="690885775">
      <w:bodyDiv w:val="1"/>
      <w:marLeft w:val="0"/>
      <w:marRight w:val="0"/>
      <w:marTop w:val="0"/>
      <w:marBottom w:val="0"/>
      <w:divBdr>
        <w:top w:val="none" w:sz="0" w:space="0" w:color="auto"/>
        <w:left w:val="none" w:sz="0" w:space="0" w:color="auto"/>
        <w:bottom w:val="none" w:sz="0" w:space="0" w:color="auto"/>
        <w:right w:val="none" w:sz="0" w:space="0" w:color="auto"/>
      </w:divBdr>
    </w:div>
    <w:div w:id="691148629">
      <w:bodyDiv w:val="1"/>
      <w:marLeft w:val="0"/>
      <w:marRight w:val="0"/>
      <w:marTop w:val="0"/>
      <w:marBottom w:val="0"/>
      <w:divBdr>
        <w:top w:val="none" w:sz="0" w:space="0" w:color="auto"/>
        <w:left w:val="none" w:sz="0" w:space="0" w:color="auto"/>
        <w:bottom w:val="none" w:sz="0" w:space="0" w:color="auto"/>
        <w:right w:val="none" w:sz="0" w:space="0" w:color="auto"/>
      </w:divBdr>
    </w:div>
    <w:div w:id="693188224">
      <w:bodyDiv w:val="1"/>
      <w:marLeft w:val="0"/>
      <w:marRight w:val="0"/>
      <w:marTop w:val="0"/>
      <w:marBottom w:val="0"/>
      <w:divBdr>
        <w:top w:val="none" w:sz="0" w:space="0" w:color="auto"/>
        <w:left w:val="none" w:sz="0" w:space="0" w:color="auto"/>
        <w:bottom w:val="none" w:sz="0" w:space="0" w:color="auto"/>
        <w:right w:val="none" w:sz="0" w:space="0" w:color="auto"/>
      </w:divBdr>
    </w:div>
    <w:div w:id="694355884">
      <w:bodyDiv w:val="1"/>
      <w:marLeft w:val="0"/>
      <w:marRight w:val="0"/>
      <w:marTop w:val="0"/>
      <w:marBottom w:val="0"/>
      <w:divBdr>
        <w:top w:val="none" w:sz="0" w:space="0" w:color="auto"/>
        <w:left w:val="none" w:sz="0" w:space="0" w:color="auto"/>
        <w:bottom w:val="none" w:sz="0" w:space="0" w:color="auto"/>
        <w:right w:val="none" w:sz="0" w:space="0" w:color="auto"/>
      </w:divBdr>
    </w:div>
    <w:div w:id="698119504">
      <w:bodyDiv w:val="1"/>
      <w:marLeft w:val="0"/>
      <w:marRight w:val="0"/>
      <w:marTop w:val="0"/>
      <w:marBottom w:val="0"/>
      <w:divBdr>
        <w:top w:val="none" w:sz="0" w:space="0" w:color="auto"/>
        <w:left w:val="none" w:sz="0" w:space="0" w:color="auto"/>
        <w:bottom w:val="none" w:sz="0" w:space="0" w:color="auto"/>
        <w:right w:val="none" w:sz="0" w:space="0" w:color="auto"/>
      </w:divBdr>
    </w:div>
    <w:div w:id="706491706">
      <w:bodyDiv w:val="1"/>
      <w:marLeft w:val="0"/>
      <w:marRight w:val="0"/>
      <w:marTop w:val="0"/>
      <w:marBottom w:val="0"/>
      <w:divBdr>
        <w:top w:val="none" w:sz="0" w:space="0" w:color="auto"/>
        <w:left w:val="none" w:sz="0" w:space="0" w:color="auto"/>
        <w:bottom w:val="none" w:sz="0" w:space="0" w:color="auto"/>
        <w:right w:val="none" w:sz="0" w:space="0" w:color="auto"/>
      </w:divBdr>
    </w:div>
    <w:div w:id="707340326">
      <w:bodyDiv w:val="1"/>
      <w:marLeft w:val="0"/>
      <w:marRight w:val="0"/>
      <w:marTop w:val="0"/>
      <w:marBottom w:val="0"/>
      <w:divBdr>
        <w:top w:val="none" w:sz="0" w:space="0" w:color="auto"/>
        <w:left w:val="none" w:sz="0" w:space="0" w:color="auto"/>
        <w:bottom w:val="none" w:sz="0" w:space="0" w:color="auto"/>
        <w:right w:val="none" w:sz="0" w:space="0" w:color="auto"/>
      </w:divBdr>
    </w:div>
    <w:div w:id="713896126">
      <w:bodyDiv w:val="1"/>
      <w:marLeft w:val="0"/>
      <w:marRight w:val="0"/>
      <w:marTop w:val="0"/>
      <w:marBottom w:val="0"/>
      <w:divBdr>
        <w:top w:val="none" w:sz="0" w:space="0" w:color="auto"/>
        <w:left w:val="none" w:sz="0" w:space="0" w:color="auto"/>
        <w:bottom w:val="none" w:sz="0" w:space="0" w:color="auto"/>
        <w:right w:val="none" w:sz="0" w:space="0" w:color="auto"/>
      </w:divBdr>
    </w:div>
    <w:div w:id="714550710">
      <w:bodyDiv w:val="1"/>
      <w:marLeft w:val="0"/>
      <w:marRight w:val="0"/>
      <w:marTop w:val="0"/>
      <w:marBottom w:val="0"/>
      <w:divBdr>
        <w:top w:val="none" w:sz="0" w:space="0" w:color="auto"/>
        <w:left w:val="none" w:sz="0" w:space="0" w:color="auto"/>
        <w:bottom w:val="none" w:sz="0" w:space="0" w:color="auto"/>
        <w:right w:val="none" w:sz="0" w:space="0" w:color="auto"/>
      </w:divBdr>
    </w:div>
    <w:div w:id="715588196">
      <w:bodyDiv w:val="1"/>
      <w:marLeft w:val="0"/>
      <w:marRight w:val="0"/>
      <w:marTop w:val="0"/>
      <w:marBottom w:val="0"/>
      <w:divBdr>
        <w:top w:val="none" w:sz="0" w:space="0" w:color="auto"/>
        <w:left w:val="none" w:sz="0" w:space="0" w:color="auto"/>
        <w:bottom w:val="none" w:sz="0" w:space="0" w:color="auto"/>
        <w:right w:val="none" w:sz="0" w:space="0" w:color="auto"/>
      </w:divBdr>
    </w:div>
    <w:div w:id="716010021">
      <w:bodyDiv w:val="1"/>
      <w:marLeft w:val="0"/>
      <w:marRight w:val="0"/>
      <w:marTop w:val="0"/>
      <w:marBottom w:val="0"/>
      <w:divBdr>
        <w:top w:val="none" w:sz="0" w:space="0" w:color="auto"/>
        <w:left w:val="none" w:sz="0" w:space="0" w:color="auto"/>
        <w:bottom w:val="none" w:sz="0" w:space="0" w:color="auto"/>
        <w:right w:val="none" w:sz="0" w:space="0" w:color="auto"/>
      </w:divBdr>
    </w:div>
    <w:div w:id="716124237">
      <w:bodyDiv w:val="1"/>
      <w:marLeft w:val="0"/>
      <w:marRight w:val="0"/>
      <w:marTop w:val="0"/>
      <w:marBottom w:val="0"/>
      <w:divBdr>
        <w:top w:val="none" w:sz="0" w:space="0" w:color="auto"/>
        <w:left w:val="none" w:sz="0" w:space="0" w:color="auto"/>
        <w:bottom w:val="none" w:sz="0" w:space="0" w:color="auto"/>
        <w:right w:val="none" w:sz="0" w:space="0" w:color="auto"/>
      </w:divBdr>
    </w:div>
    <w:div w:id="717095481">
      <w:bodyDiv w:val="1"/>
      <w:marLeft w:val="0"/>
      <w:marRight w:val="0"/>
      <w:marTop w:val="0"/>
      <w:marBottom w:val="0"/>
      <w:divBdr>
        <w:top w:val="none" w:sz="0" w:space="0" w:color="auto"/>
        <w:left w:val="none" w:sz="0" w:space="0" w:color="auto"/>
        <w:bottom w:val="none" w:sz="0" w:space="0" w:color="auto"/>
        <w:right w:val="none" w:sz="0" w:space="0" w:color="auto"/>
      </w:divBdr>
    </w:div>
    <w:div w:id="717247129">
      <w:bodyDiv w:val="1"/>
      <w:marLeft w:val="0"/>
      <w:marRight w:val="0"/>
      <w:marTop w:val="0"/>
      <w:marBottom w:val="0"/>
      <w:divBdr>
        <w:top w:val="none" w:sz="0" w:space="0" w:color="auto"/>
        <w:left w:val="none" w:sz="0" w:space="0" w:color="auto"/>
        <w:bottom w:val="none" w:sz="0" w:space="0" w:color="auto"/>
        <w:right w:val="none" w:sz="0" w:space="0" w:color="auto"/>
      </w:divBdr>
    </w:div>
    <w:div w:id="718477579">
      <w:bodyDiv w:val="1"/>
      <w:marLeft w:val="0"/>
      <w:marRight w:val="0"/>
      <w:marTop w:val="0"/>
      <w:marBottom w:val="0"/>
      <w:divBdr>
        <w:top w:val="none" w:sz="0" w:space="0" w:color="auto"/>
        <w:left w:val="none" w:sz="0" w:space="0" w:color="auto"/>
        <w:bottom w:val="none" w:sz="0" w:space="0" w:color="auto"/>
        <w:right w:val="none" w:sz="0" w:space="0" w:color="auto"/>
      </w:divBdr>
    </w:div>
    <w:div w:id="718668238">
      <w:bodyDiv w:val="1"/>
      <w:marLeft w:val="0"/>
      <w:marRight w:val="0"/>
      <w:marTop w:val="0"/>
      <w:marBottom w:val="0"/>
      <w:divBdr>
        <w:top w:val="none" w:sz="0" w:space="0" w:color="auto"/>
        <w:left w:val="none" w:sz="0" w:space="0" w:color="auto"/>
        <w:bottom w:val="none" w:sz="0" w:space="0" w:color="auto"/>
        <w:right w:val="none" w:sz="0" w:space="0" w:color="auto"/>
      </w:divBdr>
    </w:div>
    <w:div w:id="718825785">
      <w:bodyDiv w:val="1"/>
      <w:marLeft w:val="0"/>
      <w:marRight w:val="0"/>
      <w:marTop w:val="0"/>
      <w:marBottom w:val="0"/>
      <w:divBdr>
        <w:top w:val="none" w:sz="0" w:space="0" w:color="auto"/>
        <w:left w:val="none" w:sz="0" w:space="0" w:color="auto"/>
        <w:bottom w:val="none" w:sz="0" w:space="0" w:color="auto"/>
        <w:right w:val="none" w:sz="0" w:space="0" w:color="auto"/>
      </w:divBdr>
    </w:div>
    <w:div w:id="718937885">
      <w:bodyDiv w:val="1"/>
      <w:marLeft w:val="0"/>
      <w:marRight w:val="0"/>
      <w:marTop w:val="0"/>
      <w:marBottom w:val="0"/>
      <w:divBdr>
        <w:top w:val="none" w:sz="0" w:space="0" w:color="auto"/>
        <w:left w:val="none" w:sz="0" w:space="0" w:color="auto"/>
        <w:bottom w:val="none" w:sz="0" w:space="0" w:color="auto"/>
        <w:right w:val="none" w:sz="0" w:space="0" w:color="auto"/>
      </w:divBdr>
    </w:div>
    <w:div w:id="721054026">
      <w:bodyDiv w:val="1"/>
      <w:marLeft w:val="0"/>
      <w:marRight w:val="0"/>
      <w:marTop w:val="0"/>
      <w:marBottom w:val="0"/>
      <w:divBdr>
        <w:top w:val="none" w:sz="0" w:space="0" w:color="auto"/>
        <w:left w:val="none" w:sz="0" w:space="0" w:color="auto"/>
        <w:bottom w:val="none" w:sz="0" w:space="0" w:color="auto"/>
        <w:right w:val="none" w:sz="0" w:space="0" w:color="auto"/>
      </w:divBdr>
    </w:div>
    <w:div w:id="726493720">
      <w:bodyDiv w:val="1"/>
      <w:marLeft w:val="0"/>
      <w:marRight w:val="0"/>
      <w:marTop w:val="0"/>
      <w:marBottom w:val="0"/>
      <w:divBdr>
        <w:top w:val="none" w:sz="0" w:space="0" w:color="auto"/>
        <w:left w:val="none" w:sz="0" w:space="0" w:color="auto"/>
        <w:bottom w:val="none" w:sz="0" w:space="0" w:color="auto"/>
        <w:right w:val="none" w:sz="0" w:space="0" w:color="auto"/>
      </w:divBdr>
    </w:div>
    <w:div w:id="729572802">
      <w:bodyDiv w:val="1"/>
      <w:marLeft w:val="0"/>
      <w:marRight w:val="0"/>
      <w:marTop w:val="0"/>
      <w:marBottom w:val="0"/>
      <w:divBdr>
        <w:top w:val="none" w:sz="0" w:space="0" w:color="auto"/>
        <w:left w:val="none" w:sz="0" w:space="0" w:color="auto"/>
        <w:bottom w:val="none" w:sz="0" w:space="0" w:color="auto"/>
        <w:right w:val="none" w:sz="0" w:space="0" w:color="auto"/>
      </w:divBdr>
    </w:div>
    <w:div w:id="737634605">
      <w:bodyDiv w:val="1"/>
      <w:marLeft w:val="0"/>
      <w:marRight w:val="0"/>
      <w:marTop w:val="0"/>
      <w:marBottom w:val="0"/>
      <w:divBdr>
        <w:top w:val="none" w:sz="0" w:space="0" w:color="auto"/>
        <w:left w:val="none" w:sz="0" w:space="0" w:color="auto"/>
        <w:bottom w:val="none" w:sz="0" w:space="0" w:color="auto"/>
        <w:right w:val="none" w:sz="0" w:space="0" w:color="auto"/>
      </w:divBdr>
    </w:div>
    <w:div w:id="739640496">
      <w:bodyDiv w:val="1"/>
      <w:marLeft w:val="0"/>
      <w:marRight w:val="0"/>
      <w:marTop w:val="0"/>
      <w:marBottom w:val="0"/>
      <w:divBdr>
        <w:top w:val="none" w:sz="0" w:space="0" w:color="auto"/>
        <w:left w:val="none" w:sz="0" w:space="0" w:color="auto"/>
        <w:bottom w:val="none" w:sz="0" w:space="0" w:color="auto"/>
        <w:right w:val="none" w:sz="0" w:space="0" w:color="auto"/>
      </w:divBdr>
    </w:div>
    <w:div w:id="741830574">
      <w:bodyDiv w:val="1"/>
      <w:marLeft w:val="0"/>
      <w:marRight w:val="0"/>
      <w:marTop w:val="0"/>
      <w:marBottom w:val="0"/>
      <w:divBdr>
        <w:top w:val="none" w:sz="0" w:space="0" w:color="auto"/>
        <w:left w:val="none" w:sz="0" w:space="0" w:color="auto"/>
        <w:bottom w:val="none" w:sz="0" w:space="0" w:color="auto"/>
        <w:right w:val="none" w:sz="0" w:space="0" w:color="auto"/>
      </w:divBdr>
    </w:div>
    <w:div w:id="749355761">
      <w:bodyDiv w:val="1"/>
      <w:marLeft w:val="0"/>
      <w:marRight w:val="0"/>
      <w:marTop w:val="0"/>
      <w:marBottom w:val="0"/>
      <w:divBdr>
        <w:top w:val="none" w:sz="0" w:space="0" w:color="auto"/>
        <w:left w:val="none" w:sz="0" w:space="0" w:color="auto"/>
        <w:bottom w:val="none" w:sz="0" w:space="0" w:color="auto"/>
        <w:right w:val="none" w:sz="0" w:space="0" w:color="auto"/>
      </w:divBdr>
    </w:div>
    <w:div w:id="750127731">
      <w:bodyDiv w:val="1"/>
      <w:marLeft w:val="0"/>
      <w:marRight w:val="0"/>
      <w:marTop w:val="0"/>
      <w:marBottom w:val="0"/>
      <w:divBdr>
        <w:top w:val="none" w:sz="0" w:space="0" w:color="auto"/>
        <w:left w:val="none" w:sz="0" w:space="0" w:color="auto"/>
        <w:bottom w:val="none" w:sz="0" w:space="0" w:color="auto"/>
        <w:right w:val="none" w:sz="0" w:space="0" w:color="auto"/>
      </w:divBdr>
    </w:div>
    <w:div w:id="751200157">
      <w:bodyDiv w:val="1"/>
      <w:marLeft w:val="0"/>
      <w:marRight w:val="0"/>
      <w:marTop w:val="0"/>
      <w:marBottom w:val="0"/>
      <w:divBdr>
        <w:top w:val="none" w:sz="0" w:space="0" w:color="auto"/>
        <w:left w:val="none" w:sz="0" w:space="0" w:color="auto"/>
        <w:bottom w:val="none" w:sz="0" w:space="0" w:color="auto"/>
        <w:right w:val="none" w:sz="0" w:space="0" w:color="auto"/>
      </w:divBdr>
    </w:div>
    <w:div w:id="751782150">
      <w:bodyDiv w:val="1"/>
      <w:marLeft w:val="0"/>
      <w:marRight w:val="0"/>
      <w:marTop w:val="0"/>
      <w:marBottom w:val="0"/>
      <w:divBdr>
        <w:top w:val="none" w:sz="0" w:space="0" w:color="auto"/>
        <w:left w:val="none" w:sz="0" w:space="0" w:color="auto"/>
        <w:bottom w:val="none" w:sz="0" w:space="0" w:color="auto"/>
        <w:right w:val="none" w:sz="0" w:space="0" w:color="auto"/>
      </w:divBdr>
    </w:div>
    <w:div w:id="753673233">
      <w:bodyDiv w:val="1"/>
      <w:marLeft w:val="0"/>
      <w:marRight w:val="0"/>
      <w:marTop w:val="0"/>
      <w:marBottom w:val="0"/>
      <w:divBdr>
        <w:top w:val="none" w:sz="0" w:space="0" w:color="auto"/>
        <w:left w:val="none" w:sz="0" w:space="0" w:color="auto"/>
        <w:bottom w:val="none" w:sz="0" w:space="0" w:color="auto"/>
        <w:right w:val="none" w:sz="0" w:space="0" w:color="auto"/>
      </w:divBdr>
    </w:div>
    <w:div w:id="755132479">
      <w:bodyDiv w:val="1"/>
      <w:marLeft w:val="0"/>
      <w:marRight w:val="0"/>
      <w:marTop w:val="0"/>
      <w:marBottom w:val="0"/>
      <w:divBdr>
        <w:top w:val="none" w:sz="0" w:space="0" w:color="auto"/>
        <w:left w:val="none" w:sz="0" w:space="0" w:color="auto"/>
        <w:bottom w:val="none" w:sz="0" w:space="0" w:color="auto"/>
        <w:right w:val="none" w:sz="0" w:space="0" w:color="auto"/>
      </w:divBdr>
    </w:div>
    <w:div w:id="756945612">
      <w:bodyDiv w:val="1"/>
      <w:marLeft w:val="0"/>
      <w:marRight w:val="0"/>
      <w:marTop w:val="0"/>
      <w:marBottom w:val="0"/>
      <w:divBdr>
        <w:top w:val="none" w:sz="0" w:space="0" w:color="auto"/>
        <w:left w:val="none" w:sz="0" w:space="0" w:color="auto"/>
        <w:bottom w:val="none" w:sz="0" w:space="0" w:color="auto"/>
        <w:right w:val="none" w:sz="0" w:space="0" w:color="auto"/>
      </w:divBdr>
    </w:div>
    <w:div w:id="758646601">
      <w:bodyDiv w:val="1"/>
      <w:marLeft w:val="0"/>
      <w:marRight w:val="0"/>
      <w:marTop w:val="0"/>
      <w:marBottom w:val="0"/>
      <w:divBdr>
        <w:top w:val="none" w:sz="0" w:space="0" w:color="auto"/>
        <w:left w:val="none" w:sz="0" w:space="0" w:color="auto"/>
        <w:bottom w:val="none" w:sz="0" w:space="0" w:color="auto"/>
        <w:right w:val="none" w:sz="0" w:space="0" w:color="auto"/>
      </w:divBdr>
    </w:div>
    <w:div w:id="760182355">
      <w:bodyDiv w:val="1"/>
      <w:marLeft w:val="0"/>
      <w:marRight w:val="0"/>
      <w:marTop w:val="0"/>
      <w:marBottom w:val="0"/>
      <w:divBdr>
        <w:top w:val="none" w:sz="0" w:space="0" w:color="auto"/>
        <w:left w:val="none" w:sz="0" w:space="0" w:color="auto"/>
        <w:bottom w:val="none" w:sz="0" w:space="0" w:color="auto"/>
        <w:right w:val="none" w:sz="0" w:space="0" w:color="auto"/>
      </w:divBdr>
    </w:div>
    <w:div w:id="762920305">
      <w:bodyDiv w:val="1"/>
      <w:marLeft w:val="0"/>
      <w:marRight w:val="0"/>
      <w:marTop w:val="0"/>
      <w:marBottom w:val="0"/>
      <w:divBdr>
        <w:top w:val="none" w:sz="0" w:space="0" w:color="auto"/>
        <w:left w:val="none" w:sz="0" w:space="0" w:color="auto"/>
        <w:bottom w:val="none" w:sz="0" w:space="0" w:color="auto"/>
        <w:right w:val="none" w:sz="0" w:space="0" w:color="auto"/>
      </w:divBdr>
    </w:div>
    <w:div w:id="764545008">
      <w:bodyDiv w:val="1"/>
      <w:marLeft w:val="0"/>
      <w:marRight w:val="0"/>
      <w:marTop w:val="0"/>
      <w:marBottom w:val="0"/>
      <w:divBdr>
        <w:top w:val="none" w:sz="0" w:space="0" w:color="auto"/>
        <w:left w:val="none" w:sz="0" w:space="0" w:color="auto"/>
        <w:bottom w:val="none" w:sz="0" w:space="0" w:color="auto"/>
        <w:right w:val="none" w:sz="0" w:space="0" w:color="auto"/>
      </w:divBdr>
    </w:div>
    <w:div w:id="766652673">
      <w:bodyDiv w:val="1"/>
      <w:marLeft w:val="0"/>
      <w:marRight w:val="0"/>
      <w:marTop w:val="0"/>
      <w:marBottom w:val="0"/>
      <w:divBdr>
        <w:top w:val="none" w:sz="0" w:space="0" w:color="auto"/>
        <w:left w:val="none" w:sz="0" w:space="0" w:color="auto"/>
        <w:bottom w:val="none" w:sz="0" w:space="0" w:color="auto"/>
        <w:right w:val="none" w:sz="0" w:space="0" w:color="auto"/>
      </w:divBdr>
    </w:div>
    <w:div w:id="775755424">
      <w:bodyDiv w:val="1"/>
      <w:marLeft w:val="0"/>
      <w:marRight w:val="0"/>
      <w:marTop w:val="0"/>
      <w:marBottom w:val="0"/>
      <w:divBdr>
        <w:top w:val="none" w:sz="0" w:space="0" w:color="auto"/>
        <w:left w:val="none" w:sz="0" w:space="0" w:color="auto"/>
        <w:bottom w:val="none" w:sz="0" w:space="0" w:color="auto"/>
        <w:right w:val="none" w:sz="0" w:space="0" w:color="auto"/>
      </w:divBdr>
    </w:div>
    <w:div w:id="775949779">
      <w:bodyDiv w:val="1"/>
      <w:marLeft w:val="0"/>
      <w:marRight w:val="0"/>
      <w:marTop w:val="0"/>
      <w:marBottom w:val="0"/>
      <w:divBdr>
        <w:top w:val="none" w:sz="0" w:space="0" w:color="auto"/>
        <w:left w:val="none" w:sz="0" w:space="0" w:color="auto"/>
        <w:bottom w:val="none" w:sz="0" w:space="0" w:color="auto"/>
        <w:right w:val="none" w:sz="0" w:space="0" w:color="auto"/>
      </w:divBdr>
    </w:div>
    <w:div w:id="776483676">
      <w:bodyDiv w:val="1"/>
      <w:marLeft w:val="0"/>
      <w:marRight w:val="0"/>
      <w:marTop w:val="0"/>
      <w:marBottom w:val="0"/>
      <w:divBdr>
        <w:top w:val="none" w:sz="0" w:space="0" w:color="auto"/>
        <w:left w:val="none" w:sz="0" w:space="0" w:color="auto"/>
        <w:bottom w:val="none" w:sz="0" w:space="0" w:color="auto"/>
        <w:right w:val="none" w:sz="0" w:space="0" w:color="auto"/>
      </w:divBdr>
    </w:div>
    <w:div w:id="777019471">
      <w:bodyDiv w:val="1"/>
      <w:marLeft w:val="0"/>
      <w:marRight w:val="0"/>
      <w:marTop w:val="0"/>
      <w:marBottom w:val="0"/>
      <w:divBdr>
        <w:top w:val="none" w:sz="0" w:space="0" w:color="auto"/>
        <w:left w:val="none" w:sz="0" w:space="0" w:color="auto"/>
        <w:bottom w:val="none" w:sz="0" w:space="0" w:color="auto"/>
        <w:right w:val="none" w:sz="0" w:space="0" w:color="auto"/>
      </w:divBdr>
    </w:div>
    <w:div w:id="778643468">
      <w:bodyDiv w:val="1"/>
      <w:marLeft w:val="0"/>
      <w:marRight w:val="0"/>
      <w:marTop w:val="0"/>
      <w:marBottom w:val="0"/>
      <w:divBdr>
        <w:top w:val="none" w:sz="0" w:space="0" w:color="auto"/>
        <w:left w:val="none" w:sz="0" w:space="0" w:color="auto"/>
        <w:bottom w:val="none" w:sz="0" w:space="0" w:color="auto"/>
        <w:right w:val="none" w:sz="0" w:space="0" w:color="auto"/>
      </w:divBdr>
    </w:div>
    <w:div w:id="782071403">
      <w:bodyDiv w:val="1"/>
      <w:marLeft w:val="0"/>
      <w:marRight w:val="0"/>
      <w:marTop w:val="0"/>
      <w:marBottom w:val="0"/>
      <w:divBdr>
        <w:top w:val="none" w:sz="0" w:space="0" w:color="auto"/>
        <w:left w:val="none" w:sz="0" w:space="0" w:color="auto"/>
        <w:bottom w:val="none" w:sz="0" w:space="0" w:color="auto"/>
        <w:right w:val="none" w:sz="0" w:space="0" w:color="auto"/>
      </w:divBdr>
    </w:div>
    <w:div w:id="783039122">
      <w:bodyDiv w:val="1"/>
      <w:marLeft w:val="0"/>
      <w:marRight w:val="0"/>
      <w:marTop w:val="0"/>
      <w:marBottom w:val="0"/>
      <w:divBdr>
        <w:top w:val="none" w:sz="0" w:space="0" w:color="auto"/>
        <w:left w:val="none" w:sz="0" w:space="0" w:color="auto"/>
        <w:bottom w:val="none" w:sz="0" w:space="0" w:color="auto"/>
        <w:right w:val="none" w:sz="0" w:space="0" w:color="auto"/>
      </w:divBdr>
    </w:div>
    <w:div w:id="789474247">
      <w:bodyDiv w:val="1"/>
      <w:marLeft w:val="0"/>
      <w:marRight w:val="0"/>
      <w:marTop w:val="0"/>
      <w:marBottom w:val="0"/>
      <w:divBdr>
        <w:top w:val="none" w:sz="0" w:space="0" w:color="auto"/>
        <w:left w:val="none" w:sz="0" w:space="0" w:color="auto"/>
        <w:bottom w:val="none" w:sz="0" w:space="0" w:color="auto"/>
        <w:right w:val="none" w:sz="0" w:space="0" w:color="auto"/>
      </w:divBdr>
    </w:div>
    <w:div w:id="791050913">
      <w:bodyDiv w:val="1"/>
      <w:marLeft w:val="0"/>
      <w:marRight w:val="0"/>
      <w:marTop w:val="0"/>
      <w:marBottom w:val="0"/>
      <w:divBdr>
        <w:top w:val="none" w:sz="0" w:space="0" w:color="auto"/>
        <w:left w:val="none" w:sz="0" w:space="0" w:color="auto"/>
        <w:bottom w:val="none" w:sz="0" w:space="0" w:color="auto"/>
        <w:right w:val="none" w:sz="0" w:space="0" w:color="auto"/>
      </w:divBdr>
    </w:div>
    <w:div w:id="791172182">
      <w:bodyDiv w:val="1"/>
      <w:marLeft w:val="0"/>
      <w:marRight w:val="0"/>
      <w:marTop w:val="0"/>
      <w:marBottom w:val="0"/>
      <w:divBdr>
        <w:top w:val="none" w:sz="0" w:space="0" w:color="auto"/>
        <w:left w:val="none" w:sz="0" w:space="0" w:color="auto"/>
        <w:bottom w:val="none" w:sz="0" w:space="0" w:color="auto"/>
        <w:right w:val="none" w:sz="0" w:space="0" w:color="auto"/>
      </w:divBdr>
    </w:div>
    <w:div w:id="791285905">
      <w:bodyDiv w:val="1"/>
      <w:marLeft w:val="0"/>
      <w:marRight w:val="0"/>
      <w:marTop w:val="0"/>
      <w:marBottom w:val="0"/>
      <w:divBdr>
        <w:top w:val="none" w:sz="0" w:space="0" w:color="auto"/>
        <w:left w:val="none" w:sz="0" w:space="0" w:color="auto"/>
        <w:bottom w:val="none" w:sz="0" w:space="0" w:color="auto"/>
        <w:right w:val="none" w:sz="0" w:space="0" w:color="auto"/>
      </w:divBdr>
    </w:div>
    <w:div w:id="791510053">
      <w:bodyDiv w:val="1"/>
      <w:marLeft w:val="0"/>
      <w:marRight w:val="0"/>
      <w:marTop w:val="0"/>
      <w:marBottom w:val="0"/>
      <w:divBdr>
        <w:top w:val="none" w:sz="0" w:space="0" w:color="auto"/>
        <w:left w:val="none" w:sz="0" w:space="0" w:color="auto"/>
        <w:bottom w:val="none" w:sz="0" w:space="0" w:color="auto"/>
        <w:right w:val="none" w:sz="0" w:space="0" w:color="auto"/>
      </w:divBdr>
    </w:div>
    <w:div w:id="792133827">
      <w:bodyDiv w:val="1"/>
      <w:marLeft w:val="0"/>
      <w:marRight w:val="0"/>
      <w:marTop w:val="0"/>
      <w:marBottom w:val="0"/>
      <w:divBdr>
        <w:top w:val="none" w:sz="0" w:space="0" w:color="auto"/>
        <w:left w:val="none" w:sz="0" w:space="0" w:color="auto"/>
        <w:bottom w:val="none" w:sz="0" w:space="0" w:color="auto"/>
        <w:right w:val="none" w:sz="0" w:space="0" w:color="auto"/>
      </w:divBdr>
    </w:div>
    <w:div w:id="792362010">
      <w:bodyDiv w:val="1"/>
      <w:marLeft w:val="0"/>
      <w:marRight w:val="0"/>
      <w:marTop w:val="0"/>
      <w:marBottom w:val="0"/>
      <w:divBdr>
        <w:top w:val="none" w:sz="0" w:space="0" w:color="auto"/>
        <w:left w:val="none" w:sz="0" w:space="0" w:color="auto"/>
        <w:bottom w:val="none" w:sz="0" w:space="0" w:color="auto"/>
        <w:right w:val="none" w:sz="0" w:space="0" w:color="auto"/>
      </w:divBdr>
    </w:div>
    <w:div w:id="795684294">
      <w:bodyDiv w:val="1"/>
      <w:marLeft w:val="0"/>
      <w:marRight w:val="0"/>
      <w:marTop w:val="0"/>
      <w:marBottom w:val="0"/>
      <w:divBdr>
        <w:top w:val="none" w:sz="0" w:space="0" w:color="auto"/>
        <w:left w:val="none" w:sz="0" w:space="0" w:color="auto"/>
        <w:bottom w:val="none" w:sz="0" w:space="0" w:color="auto"/>
        <w:right w:val="none" w:sz="0" w:space="0" w:color="auto"/>
      </w:divBdr>
    </w:div>
    <w:div w:id="795828770">
      <w:bodyDiv w:val="1"/>
      <w:marLeft w:val="0"/>
      <w:marRight w:val="0"/>
      <w:marTop w:val="0"/>
      <w:marBottom w:val="0"/>
      <w:divBdr>
        <w:top w:val="none" w:sz="0" w:space="0" w:color="auto"/>
        <w:left w:val="none" w:sz="0" w:space="0" w:color="auto"/>
        <w:bottom w:val="none" w:sz="0" w:space="0" w:color="auto"/>
        <w:right w:val="none" w:sz="0" w:space="0" w:color="auto"/>
      </w:divBdr>
    </w:div>
    <w:div w:id="801339690">
      <w:bodyDiv w:val="1"/>
      <w:marLeft w:val="0"/>
      <w:marRight w:val="0"/>
      <w:marTop w:val="0"/>
      <w:marBottom w:val="0"/>
      <w:divBdr>
        <w:top w:val="none" w:sz="0" w:space="0" w:color="auto"/>
        <w:left w:val="none" w:sz="0" w:space="0" w:color="auto"/>
        <w:bottom w:val="none" w:sz="0" w:space="0" w:color="auto"/>
        <w:right w:val="none" w:sz="0" w:space="0" w:color="auto"/>
      </w:divBdr>
    </w:div>
    <w:div w:id="802578721">
      <w:bodyDiv w:val="1"/>
      <w:marLeft w:val="0"/>
      <w:marRight w:val="0"/>
      <w:marTop w:val="0"/>
      <w:marBottom w:val="0"/>
      <w:divBdr>
        <w:top w:val="none" w:sz="0" w:space="0" w:color="auto"/>
        <w:left w:val="none" w:sz="0" w:space="0" w:color="auto"/>
        <w:bottom w:val="none" w:sz="0" w:space="0" w:color="auto"/>
        <w:right w:val="none" w:sz="0" w:space="0" w:color="auto"/>
      </w:divBdr>
    </w:div>
    <w:div w:id="802968104">
      <w:bodyDiv w:val="1"/>
      <w:marLeft w:val="0"/>
      <w:marRight w:val="0"/>
      <w:marTop w:val="0"/>
      <w:marBottom w:val="0"/>
      <w:divBdr>
        <w:top w:val="none" w:sz="0" w:space="0" w:color="auto"/>
        <w:left w:val="none" w:sz="0" w:space="0" w:color="auto"/>
        <w:bottom w:val="none" w:sz="0" w:space="0" w:color="auto"/>
        <w:right w:val="none" w:sz="0" w:space="0" w:color="auto"/>
      </w:divBdr>
    </w:div>
    <w:div w:id="805389527">
      <w:bodyDiv w:val="1"/>
      <w:marLeft w:val="0"/>
      <w:marRight w:val="0"/>
      <w:marTop w:val="0"/>
      <w:marBottom w:val="0"/>
      <w:divBdr>
        <w:top w:val="none" w:sz="0" w:space="0" w:color="auto"/>
        <w:left w:val="none" w:sz="0" w:space="0" w:color="auto"/>
        <w:bottom w:val="none" w:sz="0" w:space="0" w:color="auto"/>
        <w:right w:val="none" w:sz="0" w:space="0" w:color="auto"/>
      </w:divBdr>
    </w:div>
    <w:div w:id="806318880">
      <w:bodyDiv w:val="1"/>
      <w:marLeft w:val="0"/>
      <w:marRight w:val="0"/>
      <w:marTop w:val="0"/>
      <w:marBottom w:val="0"/>
      <w:divBdr>
        <w:top w:val="none" w:sz="0" w:space="0" w:color="auto"/>
        <w:left w:val="none" w:sz="0" w:space="0" w:color="auto"/>
        <w:bottom w:val="none" w:sz="0" w:space="0" w:color="auto"/>
        <w:right w:val="none" w:sz="0" w:space="0" w:color="auto"/>
      </w:divBdr>
    </w:div>
    <w:div w:id="807630751">
      <w:bodyDiv w:val="1"/>
      <w:marLeft w:val="0"/>
      <w:marRight w:val="0"/>
      <w:marTop w:val="0"/>
      <w:marBottom w:val="0"/>
      <w:divBdr>
        <w:top w:val="none" w:sz="0" w:space="0" w:color="auto"/>
        <w:left w:val="none" w:sz="0" w:space="0" w:color="auto"/>
        <w:bottom w:val="none" w:sz="0" w:space="0" w:color="auto"/>
        <w:right w:val="none" w:sz="0" w:space="0" w:color="auto"/>
      </w:divBdr>
    </w:div>
    <w:div w:id="810975142">
      <w:bodyDiv w:val="1"/>
      <w:marLeft w:val="0"/>
      <w:marRight w:val="0"/>
      <w:marTop w:val="0"/>
      <w:marBottom w:val="0"/>
      <w:divBdr>
        <w:top w:val="none" w:sz="0" w:space="0" w:color="auto"/>
        <w:left w:val="none" w:sz="0" w:space="0" w:color="auto"/>
        <w:bottom w:val="none" w:sz="0" w:space="0" w:color="auto"/>
        <w:right w:val="none" w:sz="0" w:space="0" w:color="auto"/>
      </w:divBdr>
    </w:div>
    <w:div w:id="811874726">
      <w:bodyDiv w:val="1"/>
      <w:marLeft w:val="0"/>
      <w:marRight w:val="0"/>
      <w:marTop w:val="0"/>
      <w:marBottom w:val="0"/>
      <w:divBdr>
        <w:top w:val="none" w:sz="0" w:space="0" w:color="auto"/>
        <w:left w:val="none" w:sz="0" w:space="0" w:color="auto"/>
        <w:bottom w:val="none" w:sz="0" w:space="0" w:color="auto"/>
        <w:right w:val="none" w:sz="0" w:space="0" w:color="auto"/>
      </w:divBdr>
    </w:div>
    <w:div w:id="812257051">
      <w:bodyDiv w:val="1"/>
      <w:marLeft w:val="0"/>
      <w:marRight w:val="0"/>
      <w:marTop w:val="0"/>
      <w:marBottom w:val="0"/>
      <w:divBdr>
        <w:top w:val="none" w:sz="0" w:space="0" w:color="auto"/>
        <w:left w:val="none" w:sz="0" w:space="0" w:color="auto"/>
        <w:bottom w:val="none" w:sz="0" w:space="0" w:color="auto"/>
        <w:right w:val="none" w:sz="0" w:space="0" w:color="auto"/>
      </w:divBdr>
    </w:div>
    <w:div w:id="812988872">
      <w:bodyDiv w:val="1"/>
      <w:marLeft w:val="0"/>
      <w:marRight w:val="0"/>
      <w:marTop w:val="0"/>
      <w:marBottom w:val="0"/>
      <w:divBdr>
        <w:top w:val="none" w:sz="0" w:space="0" w:color="auto"/>
        <w:left w:val="none" w:sz="0" w:space="0" w:color="auto"/>
        <w:bottom w:val="none" w:sz="0" w:space="0" w:color="auto"/>
        <w:right w:val="none" w:sz="0" w:space="0" w:color="auto"/>
      </w:divBdr>
    </w:div>
    <w:div w:id="814224502">
      <w:bodyDiv w:val="1"/>
      <w:marLeft w:val="0"/>
      <w:marRight w:val="0"/>
      <w:marTop w:val="0"/>
      <w:marBottom w:val="0"/>
      <w:divBdr>
        <w:top w:val="none" w:sz="0" w:space="0" w:color="auto"/>
        <w:left w:val="none" w:sz="0" w:space="0" w:color="auto"/>
        <w:bottom w:val="none" w:sz="0" w:space="0" w:color="auto"/>
        <w:right w:val="none" w:sz="0" w:space="0" w:color="auto"/>
      </w:divBdr>
    </w:div>
    <w:div w:id="814880773">
      <w:bodyDiv w:val="1"/>
      <w:marLeft w:val="0"/>
      <w:marRight w:val="0"/>
      <w:marTop w:val="0"/>
      <w:marBottom w:val="0"/>
      <w:divBdr>
        <w:top w:val="none" w:sz="0" w:space="0" w:color="auto"/>
        <w:left w:val="none" w:sz="0" w:space="0" w:color="auto"/>
        <w:bottom w:val="none" w:sz="0" w:space="0" w:color="auto"/>
        <w:right w:val="none" w:sz="0" w:space="0" w:color="auto"/>
      </w:divBdr>
    </w:div>
    <w:div w:id="815532670">
      <w:bodyDiv w:val="1"/>
      <w:marLeft w:val="0"/>
      <w:marRight w:val="0"/>
      <w:marTop w:val="0"/>
      <w:marBottom w:val="0"/>
      <w:divBdr>
        <w:top w:val="none" w:sz="0" w:space="0" w:color="auto"/>
        <w:left w:val="none" w:sz="0" w:space="0" w:color="auto"/>
        <w:bottom w:val="none" w:sz="0" w:space="0" w:color="auto"/>
        <w:right w:val="none" w:sz="0" w:space="0" w:color="auto"/>
      </w:divBdr>
    </w:div>
    <w:div w:id="818889792">
      <w:bodyDiv w:val="1"/>
      <w:marLeft w:val="0"/>
      <w:marRight w:val="0"/>
      <w:marTop w:val="0"/>
      <w:marBottom w:val="0"/>
      <w:divBdr>
        <w:top w:val="none" w:sz="0" w:space="0" w:color="auto"/>
        <w:left w:val="none" w:sz="0" w:space="0" w:color="auto"/>
        <w:bottom w:val="none" w:sz="0" w:space="0" w:color="auto"/>
        <w:right w:val="none" w:sz="0" w:space="0" w:color="auto"/>
      </w:divBdr>
    </w:div>
    <w:div w:id="819543246">
      <w:bodyDiv w:val="1"/>
      <w:marLeft w:val="0"/>
      <w:marRight w:val="0"/>
      <w:marTop w:val="0"/>
      <w:marBottom w:val="0"/>
      <w:divBdr>
        <w:top w:val="none" w:sz="0" w:space="0" w:color="auto"/>
        <w:left w:val="none" w:sz="0" w:space="0" w:color="auto"/>
        <w:bottom w:val="none" w:sz="0" w:space="0" w:color="auto"/>
        <w:right w:val="none" w:sz="0" w:space="0" w:color="auto"/>
      </w:divBdr>
    </w:div>
    <w:div w:id="821384926">
      <w:bodyDiv w:val="1"/>
      <w:marLeft w:val="0"/>
      <w:marRight w:val="0"/>
      <w:marTop w:val="0"/>
      <w:marBottom w:val="0"/>
      <w:divBdr>
        <w:top w:val="none" w:sz="0" w:space="0" w:color="auto"/>
        <w:left w:val="none" w:sz="0" w:space="0" w:color="auto"/>
        <w:bottom w:val="none" w:sz="0" w:space="0" w:color="auto"/>
        <w:right w:val="none" w:sz="0" w:space="0" w:color="auto"/>
      </w:divBdr>
    </w:div>
    <w:div w:id="824976934">
      <w:bodyDiv w:val="1"/>
      <w:marLeft w:val="0"/>
      <w:marRight w:val="0"/>
      <w:marTop w:val="0"/>
      <w:marBottom w:val="0"/>
      <w:divBdr>
        <w:top w:val="none" w:sz="0" w:space="0" w:color="auto"/>
        <w:left w:val="none" w:sz="0" w:space="0" w:color="auto"/>
        <w:bottom w:val="none" w:sz="0" w:space="0" w:color="auto"/>
        <w:right w:val="none" w:sz="0" w:space="0" w:color="auto"/>
      </w:divBdr>
    </w:div>
    <w:div w:id="825171389">
      <w:bodyDiv w:val="1"/>
      <w:marLeft w:val="0"/>
      <w:marRight w:val="0"/>
      <w:marTop w:val="0"/>
      <w:marBottom w:val="0"/>
      <w:divBdr>
        <w:top w:val="none" w:sz="0" w:space="0" w:color="auto"/>
        <w:left w:val="none" w:sz="0" w:space="0" w:color="auto"/>
        <w:bottom w:val="none" w:sz="0" w:space="0" w:color="auto"/>
        <w:right w:val="none" w:sz="0" w:space="0" w:color="auto"/>
      </w:divBdr>
    </w:div>
    <w:div w:id="826484498">
      <w:bodyDiv w:val="1"/>
      <w:marLeft w:val="0"/>
      <w:marRight w:val="0"/>
      <w:marTop w:val="0"/>
      <w:marBottom w:val="0"/>
      <w:divBdr>
        <w:top w:val="none" w:sz="0" w:space="0" w:color="auto"/>
        <w:left w:val="none" w:sz="0" w:space="0" w:color="auto"/>
        <w:bottom w:val="none" w:sz="0" w:space="0" w:color="auto"/>
        <w:right w:val="none" w:sz="0" w:space="0" w:color="auto"/>
      </w:divBdr>
    </w:div>
    <w:div w:id="827744927">
      <w:bodyDiv w:val="1"/>
      <w:marLeft w:val="0"/>
      <w:marRight w:val="0"/>
      <w:marTop w:val="0"/>
      <w:marBottom w:val="0"/>
      <w:divBdr>
        <w:top w:val="none" w:sz="0" w:space="0" w:color="auto"/>
        <w:left w:val="none" w:sz="0" w:space="0" w:color="auto"/>
        <w:bottom w:val="none" w:sz="0" w:space="0" w:color="auto"/>
        <w:right w:val="none" w:sz="0" w:space="0" w:color="auto"/>
      </w:divBdr>
    </w:div>
    <w:div w:id="831917587">
      <w:bodyDiv w:val="1"/>
      <w:marLeft w:val="0"/>
      <w:marRight w:val="0"/>
      <w:marTop w:val="0"/>
      <w:marBottom w:val="0"/>
      <w:divBdr>
        <w:top w:val="none" w:sz="0" w:space="0" w:color="auto"/>
        <w:left w:val="none" w:sz="0" w:space="0" w:color="auto"/>
        <w:bottom w:val="none" w:sz="0" w:space="0" w:color="auto"/>
        <w:right w:val="none" w:sz="0" w:space="0" w:color="auto"/>
      </w:divBdr>
    </w:div>
    <w:div w:id="834537868">
      <w:bodyDiv w:val="1"/>
      <w:marLeft w:val="0"/>
      <w:marRight w:val="0"/>
      <w:marTop w:val="0"/>
      <w:marBottom w:val="0"/>
      <w:divBdr>
        <w:top w:val="none" w:sz="0" w:space="0" w:color="auto"/>
        <w:left w:val="none" w:sz="0" w:space="0" w:color="auto"/>
        <w:bottom w:val="none" w:sz="0" w:space="0" w:color="auto"/>
        <w:right w:val="none" w:sz="0" w:space="0" w:color="auto"/>
      </w:divBdr>
    </w:div>
    <w:div w:id="834875408">
      <w:bodyDiv w:val="1"/>
      <w:marLeft w:val="0"/>
      <w:marRight w:val="0"/>
      <w:marTop w:val="0"/>
      <w:marBottom w:val="0"/>
      <w:divBdr>
        <w:top w:val="none" w:sz="0" w:space="0" w:color="auto"/>
        <w:left w:val="none" w:sz="0" w:space="0" w:color="auto"/>
        <w:bottom w:val="none" w:sz="0" w:space="0" w:color="auto"/>
        <w:right w:val="none" w:sz="0" w:space="0" w:color="auto"/>
      </w:divBdr>
    </w:div>
    <w:div w:id="839276926">
      <w:bodyDiv w:val="1"/>
      <w:marLeft w:val="0"/>
      <w:marRight w:val="0"/>
      <w:marTop w:val="0"/>
      <w:marBottom w:val="0"/>
      <w:divBdr>
        <w:top w:val="none" w:sz="0" w:space="0" w:color="auto"/>
        <w:left w:val="none" w:sz="0" w:space="0" w:color="auto"/>
        <w:bottom w:val="none" w:sz="0" w:space="0" w:color="auto"/>
        <w:right w:val="none" w:sz="0" w:space="0" w:color="auto"/>
      </w:divBdr>
    </w:div>
    <w:div w:id="839854687">
      <w:bodyDiv w:val="1"/>
      <w:marLeft w:val="0"/>
      <w:marRight w:val="0"/>
      <w:marTop w:val="0"/>
      <w:marBottom w:val="0"/>
      <w:divBdr>
        <w:top w:val="none" w:sz="0" w:space="0" w:color="auto"/>
        <w:left w:val="none" w:sz="0" w:space="0" w:color="auto"/>
        <w:bottom w:val="none" w:sz="0" w:space="0" w:color="auto"/>
        <w:right w:val="none" w:sz="0" w:space="0" w:color="auto"/>
      </w:divBdr>
    </w:div>
    <w:div w:id="841312334">
      <w:bodyDiv w:val="1"/>
      <w:marLeft w:val="0"/>
      <w:marRight w:val="0"/>
      <w:marTop w:val="0"/>
      <w:marBottom w:val="0"/>
      <w:divBdr>
        <w:top w:val="none" w:sz="0" w:space="0" w:color="auto"/>
        <w:left w:val="none" w:sz="0" w:space="0" w:color="auto"/>
        <w:bottom w:val="none" w:sz="0" w:space="0" w:color="auto"/>
        <w:right w:val="none" w:sz="0" w:space="0" w:color="auto"/>
      </w:divBdr>
    </w:div>
    <w:div w:id="845092753">
      <w:bodyDiv w:val="1"/>
      <w:marLeft w:val="0"/>
      <w:marRight w:val="0"/>
      <w:marTop w:val="0"/>
      <w:marBottom w:val="0"/>
      <w:divBdr>
        <w:top w:val="none" w:sz="0" w:space="0" w:color="auto"/>
        <w:left w:val="none" w:sz="0" w:space="0" w:color="auto"/>
        <w:bottom w:val="none" w:sz="0" w:space="0" w:color="auto"/>
        <w:right w:val="none" w:sz="0" w:space="0" w:color="auto"/>
      </w:divBdr>
    </w:div>
    <w:div w:id="845172594">
      <w:bodyDiv w:val="1"/>
      <w:marLeft w:val="0"/>
      <w:marRight w:val="0"/>
      <w:marTop w:val="0"/>
      <w:marBottom w:val="0"/>
      <w:divBdr>
        <w:top w:val="none" w:sz="0" w:space="0" w:color="auto"/>
        <w:left w:val="none" w:sz="0" w:space="0" w:color="auto"/>
        <w:bottom w:val="none" w:sz="0" w:space="0" w:color="auto"/>
        <w:right w:val="none" w:sz="0" w:space="0" w:color="auto"/>
      </w:divBdr>
    </w:div>
    <w:div w:id="847402298">
      <w:bodyDiv w:val="1"/>
      <w:marLeft w:val="0"/>
      <w:marRight w:val="0"/>
      <w:marTop w:val="0"/>
      <w:marBottom w:val="0"/>
      <w:divBdr>
        <w:top w:val="none" w:sz="0" w:space="0" w:color="auto"/>
        <w:left w:val="none" w:sz="0" w:space="0" w:color="auto"/>
        <w:bottom w:val="none" w:sz="0" w:space="0" w:color="auto"/>
        <w:right w:val="none" w:sz="0" w:space="0" w:color="auto"/>
      </w:divBdr>
    </w:div>
    <w:div w:id="847446025">
      <w:bodyDiv w:val="1"/>
      <w:marLeft w:val="0"/>
      <w:marRight w:val="0"/>
      <w:marTop w:val="0"/>
      <w:marBottom w:val="0"/>
      <w:divBdr>
        <w:top w:val="none" w:sz="0" w:space="0" w:color="auto"/>
        <w:left w:val="none" w:sz="0" w:space="0" w:color="auto"/>
        <w:bottom w:val="none" w:sz="0" w:space="0" w:color="auto"/>
        <w:right w:val="none" w:sz="0" w:space="0" w:color="auto"/>
      </w:divBdr>
    </w:div>
    <w:div w:id="852456172">
      <w:bodyDiv w:val="1"/>
      <w:marLeft w:val="0"/>
      <w:marRight w:val="0"/>
      <w:marTop w:val="0"/>
      <w:marBottom w:val="0"/>
      <w:divBdr>
        <w:top w:val="none" w:sz="0" w:space="0" w:color="auto"/>
        <w:left w:val="none" w:sz="0" w:space="0" w:color="auto"/>
        <w:bottom w:val="none" w:sz="0" w:space="0" w:color="auto"/>
        <w:right w:val="none" w:sz="0" w:space="0" w:color="auto"/>
      </w:divBdr>
    </w:div>
    <w:div w:id="852693414">
      <w:bodyDiv w:val="1"/>
      <w:marLeft w:val="0"/>
      <w:marRight w:val="0"/>
      <w:marTop w:val="0"/>
      <w:marBottom w:val="0"/>
      <w:divBdr>
        <w:top w:val="none" w:sz="0" w:space="0" w:color="auto"/>
        <w:left w:val="none" w:sz="0" w:space="0" w:color="auto"/>
        <w:bottom w:val="none" w:sz="0" w:space="0" w:color="auto"/>
        <w:right w:val="none" w:sz="0" w:space="0" w:color="auto"/>
      </w:divBdr>
    </w:div>
    <w:div w:id="854732718">
      <w:bodyDiv w:val="1"/>
      <w:marLeft w:val="0"/>
      <w:marRight w:val="0"/>
      <w:marTop w:val="0"/>
      <w:marBottom w:val="0"/>
      <w:divBdr>
        <w:top w:val="none" w:sz="0" w:space="0" w:color="auto"/>
        <w:left w:val="none" w:sz="0" w:space="0" w:color="auto"/>
        <w:bottom w:val="none" w:sz="0" w:space="0" w:color="auto"/>
        <w:right w:val="none" w:sz="0" w:space="0" w:color="auto"/>
      </w:divBdr>
    </w:div>
    <w:div w:id="855967755">
      <w:bodyDiv w:val="1"/>
      <w:marLeft w:val="0"/>
      <w:marRight w:val="0"/>
      <w:marTop w:val="0"/>
      <w:marBottom w:val="0"/>
      <w:divBdr>
        <w:top w:val="none" w:sz="0" w:space="0" w:color="auto"/>
        <w:left w:val="none" w:sz="0" w:space="0" w:color="auto"/>
        <w:bottom w:val="none" w:sz="0" w:space="0" w:color="auto"/>
        <w:right w:val="none" w:sz="0" w:space="0" w:color="auto"/>
      </w:divBdr>
    </w:div>
    <w:div w:id="859202872">
      <w:bodyDiv w:val="1"/>
      <w:marLeft w:val="0"/>
      <w:marRight w:val="0"/>
      <w:marTop w:val="0"/>
      <w:marBottom w:val="0"/>
      <w:divBdr>
        <w:top w:val="none" w:sz="0" w:space="0" w:color="auto"/>
        <w:left w:val="none" w:sz="0" w:space="0" w:color="auto"/>
        <w:bottom w:val="none" w:sz="0" w:space="0" w:color="auto"/>
        <w:right w:val="none" w:sz="0" w:space="0" w:color="auto"/>
      </w:divBdr>
    </w:div>
    <w:div w:id="864178534">
      <w:bodyDiv w:val="1"/>
      <w:marLeft w:val="0"/>
      <w:marRight w:val="0"/>
      <w:marTop w:val="0"/>
      <w:marBottom w:val="0"/>
      <w:divBdr>
        <w:top w:val="none" w:sz="0" w:space="0" w:color="auto"/>
        <w:left w:val="none" w:sz="0" w:space="0" w:color="auto"/>
        <w:bottom w:val="none" w:sz="0" w:space="0" w:color="auto"/>
        <w:right w:val="none" w:sz="0" w:space="0" w:color="auto"/>
      </w:divBdr>
    </w:div>
    <w:div w:id="867765150">
      <w:bodyDiv w:val="1"/>
      <w:marLeft w:val="0"/>
      <w:marRight w:val="0"/>
      <w:marTop w:val="0"/>
      <w:marBottom w:val="0"/>
      <w:divBdr>
        <w:top w:val="none" w:sz="0" w:space="0" w:color="auto"/>
        <w:left w:val="none" w:sz="0" w:space="0" w:color="auto"/>
        <w:bottom w:val="none" w:sz="0" w:space="0" w:color="auto"/>
        <w:right w:val="none" w:sz="0" w:space="0" w:color="auto"/>
      </w:divBdr>
    </w:div>
    <w:div w:id="870915201">
      <w:bodyDiv w:val="1"/>
      <w:marLeft w:val="0"/>
      <w:marRight w:val="0"/>
      <w:marTop w:val="0"/>
      <w:marBottom w:val="0"/>
      <w:divBdr>
        <w:top w:val="none" w:sz="0" w:space="0" w:color="auto"/>
        <w:left w:val="none" w:sz="0" w:space="0" w:color="auto"/>
        <w:bottom w:val="none" w:sz="0" w:space="0" w:color="auto"/>
        <w:right w:val="none" w:sz="0" w:space="0" w:color="auto"/>
      </w:divBdr>
    </w:div>
    <w:div w:id="871918969">
      <w:bodyDiv w:val="1"/>
      <w:marLeft w:val="0"/>
      <w:marRight w:val="0"/>
      <w:marTop w:val="0"/>
      <w:marBottom w:val="0"/>
      <w:divBdr>
        <w:top w:val="none" w:sz="0" w:space="0" w:color="auto"/>
        <w:left w:val="none" w:sz="0" w:space="0" w:color="auto"/>
        <w:bottom w:val="none" w:sz="0" w:space="0" w:color="auto"/>
        <w:right w:val="none" w:sz="0" w:space="0" w:color="auto"/>
      </w:divBdr>
    </w:div>
    <w:div w:id="874466116">
      <w:bodyDiv w:val="1"/>
      <w:marLeft w:val="0"/>
      <w:marRight w:val="0"/>
      <w:marTop w:val="0"/>
      <w:marBottom w:val="0"/>
      <w:divBdr>
        <w:top w:val="none" w:sz="0" w:space="0" w:color="auto"/>
        <w:left w:val="none" w:sz="0" w:space="0" w:color="auto"/>
        <w:bottom w:val="none" w:sz="0" w:space="0" w:color="auto"/>
        <w:right w:val="none" w:sz="0" w:space="0" w:color="auto"/>
      </w:divBdr>
    </w:div>
    <w:div w:id="877663420">
      <w:bodyDiv w:val="1"/>
      <w:marLeft w:val="0"/>
      <w:marRight w:val="0"/>
      <w:marTop w:val="0"/>
      <w:marBottom w:val="0"/>
      <w:divBdr>
        <w:top w:val="none" w:sz="0" w:space="0" w:color="auto"/>
        <w:left w:val="none" w:sz="0" w:space="0" w:color="auto"/>
        <w:bottom w:val="none" w:sz="0" w:space="0" w:color="auto"/>
        <w:right w:val="none" w:sz="0" w:space="0" w:color="auto"/>
      </w:divBdr>
    </w:div>
    <w:div w:id="877935327">
      <w:bodyDiv w:val="1"/>
      <w:marLeft w:val="0"/>
      <w:marRight w:val="0"/>
      <w:marTop w:val="0"/>
      <w:marBottom w:val="0"/>
      <w:divBdr>
        <w:top w:val="none" w:sz="0" w:space="0" w:color="auto"/>
        <w:left w:val="none" w:sz="0" w:space="0" w:color="auto"/>
        <w:bottom w:val="none" w:sz="0" w:space="0" w:color="auto"/>
        <w:right w:val="none" w:sz="0" w:space="0" w:color="auto"/>
      </w:divBdr>
    </w:div>
    <w:div w:id="881673898">
      <w:bodyDiv w:val="1"/>
      <w:marLeft w:val="0"/>
      <w:marRight w:val="0"/>
      <w:marTop w:val="0"/>
      <w:marBottom w:val="0"/>
      <w:divBdr>
        <w:top w:val="none" w:sz="0" w:space="0" w:color="auto"/>
        <w:left w:val="none" w:sz="0" w:space="0" w:color="auto"/>
        <w:bottom w:val="none" w:sz="0" w:space="0" w:color="auto"/>
        <w:right w:val="none" w:sz="0" w:space="0" w:color="auto"/>
      </w:divBdr>
    </w:div>
    <w:div w:id="883981845">
      <w:bodyDiv w:val="1"/>
      <w:marLeft w:val="0"/>
      <w:marRight w:val="0"/>
      <w:marTop w:val="0"/>
      <w:marBottom w:val="0"/>
      <w:divBdr>
        <w:top w:val="none" w:sz="0" w:space="0" w:color="auto"/>
        <w:left w:val="none" w:sz="0" w:space="0" w:color="auto"/>
        <w:bottom w:val="none" w:sz="0" w:space="0" w:color="auto"/>
        <w:right w:val="none" w:sz="0" w:space="0" w:color="auto"/>
      </w:divBdr>
    </w:div>
    <w:div w:id="884635906">
      <w:bodyDiv w:val="1"/>
      <w:marLeft w:val="0"/>
      <w:marRight w:val="0"/>
      <w:marTop w:val="0"/>
      <w:marBottom w:val="0"/>
      <w:divBdr>
        <w:top w:val="none" w:sz="0" w:space="0" w:color="auto"/>
        <w:left w:val="none" w:sz="0" w:space="0" w:color="auto"/>
        <w:bottom w:val="none" w:sz="0" w:space="0" w:color="auto"/>
        <w:right w:val="none" w:sz="0" w:space="0" w:color="auto"/>
      </w:divBdr>
    </w:div>
    <w:div w:id="895161530">
      <w:bodyDiv w:val="1"/>
      <w:marLeft w:val="0"/>
      <w:marRight w:val="0"/>
      <w:marTop w:val="0"/>
      <w:marBottom w:val="0"/>
      <w:divBdr>
        <w:top w:val="none" w:sz="0" w:space="0" w:color="auto"/>
        <w:left w:val="none" w:sz="0" w:space="0" w:color="auto"/>
        <w:bottom w:val="none" w:sz="0" w:space="0" w:color="auto"/>
        <w:right w:val="none" w:sz="0" w:space="0" w:color="auto"/>
      </w:divBdr>
    </w:div>
    <w:div w:id="900216720">
      <w:bodyDiv w:val="1"/>
      <w:marLeft w:val="0"/>
      <w:marRight w:val="0"/>
      <w:marTop w:val="0"/>
      <w:marBottom w:val="0"/>
      <w:divBdr>
        <w:top w:val="none" w:sz="0" w:space="0" w:color="auto"/>
        <w:left w:val="none" w:sz="0" w:space="0" w:color="auto"/>
        <w:bottom w:val="none" w:sz="0" w:space="0" w:color="auto"/>
        <w:right w:val="none" w:sz="0" w:space="0" w:color="auto"/>
      </w:divBdr>
    </w:div>
    <w:div w:id="903181331">
      <w:bodyDiv w:val="1"/>
      <w:marLeft w:val="0"/>
      <w:marRight w:val="0"/>
      <w:marTop w:val="0"/>
      <w:marBottom w:val="0"/>
      <w:divBdr>
        <w:top w:val="none" w:sz="0" w:space="0" w:color="auto"/>
        <w:left w:val="none" w:sz="0" w:space="0" w:color="auto"/>
        <w:bottom w:val="none" w:sz="0" w:space="0" w:color="auto"/>
        <w:right w:val="none" w:sz="0" w:space="0" w:color="auto"/>
      </w:divBdr>
    </w:div>
    <w:div w:id="906306048">
      <w:bodyDiv w:val="1"/>
      <w:marLeft w:val="0"/>
      <w:marRight w:val="0"/>
      <w:marTop w:val="0"/>
      <w:marBottom w:val="0"/>
      <w:divBdr>
        <w:top w:val="none" w:sz="0" w:space="0" w:color="auto"/>
        <w:left w:val="none" w:sz="0" w:space="0" w:color="auto"/>
        <w:bottom w:val="none" w:sz="0" w:space="0" w:color="auto"/>
        <w:right w:val="none" w:sz="0" w:space="0" w:color="auto"/>
      </w:divBdr>
    </w:div>
    <w:div w:id="913202575">
      <w:bodyDiv w:val="1"/>
      <w:marLeft w:val="0"/>
      <w:marRight w:val="0"/>
      <w:marTop w:val="0"/>
      <w:marBottom w:val="0"/>
      <w:divBdr>
        <w:top w:val="none" w:sz="0" w:space="0" w:color="auto"/>
        <w:left w:val="none" w:sz="0" w:space="0" w:color="auto"/>
        <w:bottom w:val="none" w:sz="0" w:space="0" w:color="auto"/>
        <w:right w:val="none" w:sz="0" w:space="0" w:color="auto"/>
      </w:divBdr>
    </w:div>
    <w:div w:id="915748868">
      <w:bodyDiv w:val="1"/>
      <w:marLeft w:val="0"/>
      <w:marRight w:val="0"/>
      <w:marTop w:val="0"/>
      <w:marBottom w:val="0"/>
      <w:divBdr>
        <w:top w:val="none" w:sz="0" w:space="0" w:color="auto"/>
        <w:left w:val="none" w:sz="0" w:space="0" w:color="auto"/>
        <w:bottom w:val="none" w:sz="0" w:space="0" w:color="auto"/>
        <w:right w:val="none" w:sz="0" w:space="0" w:color="auto"/>
      </w:divBdr>
    </w:div>
    <w:div w:id="916206980">
      <w:bodyDiv w:val="1"/>
      <w:marLeft w:val="0"/>
      <w:marRight w:val="0"/>
      <w:marTop w:val="0"/>
      <w:marBottom w:val="0"/>
      <w:divBdr>
        <w:top w:val="none" w:sz="0" w:space="0" w:color="auto"/>
        <w:left w:val="none" w:sz="0" w:space="0" w:color="auto"/>
        <w:bottom w:val="none" w:sz="0" w:space="0" w:color="auto"/>
        <w:right w:val="none" w:sz="0" w:space="0" w:color="auto"/>
      </w:divBdr>
    </w:div>
    <w:div w:id="916207352">
      <w:bodyDiv w:val="1"/>
      <w:marLeft w:val="0"/>
      <w:marRight w:val="0"/>
      <w:marTop w:val="0"/>
      <w:marBottom w:val="0"/>
      <w:divBdr>
        <w:top w:val="none" w:sz="0" w:space="0" w:color="auto"/>
        <w:left w:val="none" w:sz="0" w:space="0" w:color="auto"/>
        <w:bottom w:val="none" w:sz="0" w:space="0" w:color="auto"/>
        <w:right w:val="none" w:sz="0" w:space="0" w:color="auto"/>
      </w:divBdr>
    </w:div>
    <w:div w:id="918637134">
      <w:bodyDiv w:val="1"/>
      <w:marLeft w:val="0"/>
      <w:marRight w:val="0"/>
      <w:marTop w:val="0"/>
      <w:marBottom w:val="0"/>
      <w:divBdr>
        <w:top w:val="none" w:sz="0" w:space="0" w:color="auto"/>
        <w:left w:val="none" w:sz="0" w:space="0" w:color="auto"/>
        <w:bottom w:val="none" w:sz="0" w:space="0" w:color="auto"/>
        <w:right w:val="none" w:sz="0" w:space="0" w:color="auto"/>
      </w:divBdr>
    </w:div>
    <w:div w:id="920018437">
      <w:bodyDiv w:val="1"/>
      <w:marLeft w:val="0"/>
      <w:marRight w:val="0"/>
      <w:marTop w:val="0"/>
      <w:marBottom w:val="0"/>
      <w:divBdr>
        <w:top w:val="none" w:sz="0" w:space="0" w:color="auto"/>
        <w:left w:val="none" w:sz="0" w:space="0" w:color="auto"/>
        <w:bottom w:val="none" w:sz="0" w:space="0" w:color="auto"/>
        <w:right w:val="none" w:sz="0" w:space="0" w:color="auto"/>
      </w:divBdr>
    </w:div>
    <w:div w:id="923682003">
      <w:bodyDiv w:val="1"/>
      <w:marLeft w:val="0"/>
      <w:marRight w:val="0"/>
      <w:marTop w:val="0"/>
      <w:marBottom w:val="0"/>
      <w:divBdr>
        <w:top w:val="none" w:sz="0" w:space="0" w:color="auto"/>
        <w:left w:val="none" w:sz="0" w:space="0" w:color="auto"/>
        <w:bottom w:val="none" w:sz="0" w:space="0" w:color="auto"/>
        <w:right w:val="none" w:sz="0" w:space="0" w:color="auto"/>
      </w:divBdr>
    </w:div>
    <w:div w:id="925503932">
      <w:bodyDiv w:val="1"/>
      <w:marLeft w:val="0"/>
      <w:marRight w:val="0"/>
      <w:marTop w:val="0"/>
      <w:marBottom w:val="0"/>
      <w:divBdr>
        <w:top w:val="none" w:sz="0" w:space="0" w:color="auto"/>
        <w:left w:val="none" w:sz="0" w:space="0" w:color="auto"/>
        <w:bottom w:val="none" w:sz="0" w:space="0" w:color="auto"/>
        <w:right w:val="none" w:sz="0" w:space="0" w:color="auto"/>
      </w:divBdr>
    </w:div>
    <w:div w:id="929847988">
      <w:bodyDiv w:val="1"/>
      <w:marLeft w:val="0"/>
      <w:marRight w:val="0"/>
      <w:marTop w:val="0"/>
      <w:marBottom w:val="0"/>
      <w:divBdr>
        <w:top w:val="none" w:sz="0" w:space="0" w:color="auto"/>
        <w:left w:val="none" w:sz="0" w:space="0" w:color="auto"/>
        <w:bottom w:val="none" w:sz="0" w:space="0" w:color="auto"/>
        <w:right w:val="none" w:sz="0" w:space="0" w:color="auto"/>
      </w:divBdr>
    </w:div>
    <w:div w:id="930042119">
      <w:bodyDiv w:val="1"/>
      <w:marLeft w:val="0"/>
      <w:marRight w:val="0"/>
      <w:marTop w:val="0"/>
      <w:marBottom w:val="0"/>
      <w:divBdr>
        <w:top w:val="none" w:sz="0" w:space="0" w:color="auto"/>
        <w:left w:val="none" w:sz="0" w:space="0" w:color="auto"/>
        <w:bottom w:val="none" w:sz="0" w:space="0" w:color="auto"/>
        <w:right w:val="none" w:sz="0" w:space="0" w:color="auto"/>
      </w:divBdr>
    </w:div>
    <w:div w:id="930048543">
      <w:bodyDiv w:val="1"/>
      <w:marLeft w:val="0"/>
      <w:marRight w:val="0"/>
      <w:marTop w:val="0"/>
      <w:marBottom w:val="0"/>
      <w:divBdr>
        <w:top w:val="none" w:sz="0" w:space="0" w:color="auto"/>
        <w:left w:val="none" w:sz="0" w:space="0" w:color="auto"/>
        <w:bottom w:val="none" w:sz="0" w:space="0" w:color="auto"/>
        <w:right w:val="none" w:sz="0" w:space="0" w:color="auto"/>
      </w:divBdr>
    </w:div>
    <w:div w:id="934749310">
      <w:bodyDiv w:val="1"/>
      <w:marLeft w:val="0"/>
      <w:marRight w:val="0"/>
      <w:marTop w:val="0"/>
      <w:marBottom w:val="0"/>
      <w:divBdr>
        <w:top w:val="none" w:sz="0" w:space="0" w:color="auto"/>
        <w:left w:val="none" w:sz="0" w:space="0" w:color="auto"/>
        <w:bottom w:val="none" w:sz="0" w:space="0" w:color="auto"/>
        <w:right w:val="none" w:sz="0" w:space="0" w:color="auto"/>
      </w:divBdr>
    </w:div>
    <w:div w:id="937449650">
      <w:bodyDiv w:val="1"/>
      <w:marLeft w:val="0"/>
      <w:marRight w:val="0"/>
      <w:marTop w:val="0"/>
      <w:marBottom w:val="0"/>
      <w:divBdr>
        <w:top w:val="none" w:sz="0" w:space="0" w:color="auto"/>
        <w:left w:val="none" w:sz="0" w:space="0" w:color="auto"/>
        <w:bottom w:val="none" w:sz="0" w:space="0" w:color="auto"/>
        <w:right w:val="none" w:sz="0" w:space="0" w:color="auto"/>
      </w:divBdr>
    </w:div>
    <w:div w:id="937716860">
      <w:bodyDiv w:val="1"/>
      <w:marLeft w:val="0"/>
      <w:marRight w:val="0"/>
      <w:marTop w:val="0"/>
      <w:marBottom w:val="0"/>
      <w:divBdr>
        <w:top w:val="none" w:sz="0" w:space="0" w:color="auto"/>
        <w:left w:val="none" w:sz="0" w:space="0" w:color="auto"/>
        <w:bottom w:val="none" w:sz="0" w:space="0" w:color="auto"/>
        <w:right w:val="none" w:sz="0" w:space="0" w:color="auto"/>
      </w:divBdr>
    </w:div>
    <w:div w:id="941299173">
      <w:bodyDiv w:val="1"/>
      <w:marLeft w:val="0"/>
      <w:marRight w:val="0"/>
      <w:marTop w:val="0"/>
      <w:marBottom w:val="0"/>
      <w:divBdr>
        <w:top w:val="none" w:sz="0" w:space="0" w:color="auto"/>
        <w:left w:val="none" w:sz="0" w:space="0" w:color="auto"/>
        <w:bottom w:val="none" w:sz="0" w:space="0" w:color="auto"/>
        <w:right w:val="none" w:sz="0" w:space="0" w:color="auto"/>
      </w:divBdr>
    </w:div>
    <w:div w:id="941571760">
      <w:bodyDiv w:val="1"/>
      <w:marLeft w:val="0"/>
      <w:marRight w:val="0"/>
      <w:marTop w:val="0"/>
      <w:marBottom w:val="0"/>
      <w:divBdr>
        <w:top w:val="none" w:sz="0" w:space="0" w:color="auto"/>
        <w:left w:val="none" w:sz="0" w:space="0" w:color="auto"/>
        <w:bottom w:val="none" w:sz="0" w:space="0" w:color="auto"/>
        <w:right w:val="none" w:sz="0" w:space="0" w:color="auto"/>
      </w:divBdr>
    </w:div>
    <w:div w:id="943270962">
      <w:bodyDiv w:val="1"/>
      <w:marLeft w:val="0"/>
      <w:marRight w:val="0"/>
      <w:marTop w:val="0"/>
      <w:marBottom w:val="0"/>
      <w:divBdr>
        <w:top w:val="none" w:sz="0" w:space="0" w:color="auto"/>
        <w:left w:val="none" w:sz="0" w:space="0" w:color="auto"/>
        <w:bottom w:val="none" w:sz="0" w:space="0" w:color="auto"/>
        <w:right w:val="none" w:sz="0" w:space="0" w:color="auto"/>
      </w:divBdr>
    </w:div>
    <w:div w:id="943342716">
      <w:bodyDiv w:val="1"/>
      <w:marLeft w:val="0"/>
      <w:marRight w:val="0"/>
      <w:marTop w:val="0"/>
      <w:marBottom w:val="0"/>
      <w:divBdr>
        <w:top w:val="none" w:sz="0" w:space="0" w:color="auto"/>
        <w:left w:val="none" w:sz="0" w:space="0" w:color="auto"/>
        <w:bottom w:val="none" w:sz="0" w:space="0" w:color="auto"/>
        <w:right w:val="none" w:sz="0" w:space="0" w:color="auto"/>
      </w:divBdr>
    </w:div>
    <w:div w:id="944577686">
      <w:bodyDiv w:val="1"/>
      <w:marLeft w:val="0"/>
      <w:marRight w:val="0"/>
      <w:marTop w:val="0"/>
      <w:marBottom w:val="0"/>
      <w:divBdr>
        <w:top w:val="none" w:sz="0" w:space="0" w:color="auto"/>
        <w:left w:val="none" w:sz="0" w:space="0" w:color="auto"/>
        <w:bottom w:val="none" w:sz="0" w:space="0" w:color="auto"/>
        <w:right w:val="none" w:sz="0" w:space="0" w:color="auto"/>
      </w:divBdr>
    </w:div>
    <w:div w:id="944653425">
      <w:bodyDiv w:val="1"/>
      <w:marLeft w:val="0"/>
      <w:marRight w:val="0"/>
      <w:marTop w:val="0"/>
      <w:marBottom w:val="0"/>
      <w:divBdr>
        <w:top w:val="none" w:sz="0" w:space="0" w:color="auto"/>
        <w:left w:val="none" w:sz="0" w:space="0" w:color="auto"/>
        <w:bottom w:val="none" w:sz="0" w:space="0" w:color="auto"/>
        <w:right w:val="none" w:sz="0" w:space="0" w:color="auto"/>
      </w:divBdr>
    </w:div>
    <w:div w:id="957679532">
      <w:bodyDiv w:val="1"/>
      <w:marLeft w:val="0"/>
      <w:marRight w:val="0"/>
      <w:marTop w:val="0"/>
      <w:marBottom w:val="0"/>
      <w:divBdr>
        <w:top w:val="none" w:sz="0" w:space="0" w:color="auto"/>
        <w:left w:val="none" w:sz="0" w:space="0" w:color="auto"/>
        <w:bottom w:val="none" w:sz="0" w:space="0" w:color="auto"/>
        <w:right w:val="none" w:sz="0" w:space="0" w:color="auto"/>
      </w:divBdr>
    </w:div>
    <w:div w:id="958491004">
      <w:bodyDiv w:val="1"/>
      <w:marLeft w:val="0"/>
      <w:marRight w:val="0"/>
      <w:marTop w:val="0"/>
      <w:marBottom w:val="0"/>
      <w:divBdr>
        <w:top w:val="none" w:sz="0" w:space="0" w:color="auto"/>
        <w:left w:val="none" w:sz="0" w:space="0" w:color="auto"/>
        <w:bottom w:val="none" w:sz="0" w:space="0" w:color="auto"/>
        <w:right w:val="none" w:sz="0" w:space="0" w:color="auto"/>
      </w:divBdr>
    </w:div>
    <w:div w:id="961611552">
      <w:bodyDiv w:val="1"/>
      <w:marLeft w:val="0"/>
      <w:marRight w:val="0"/>
      <w:marTop w:val="0"/>
      <w:marBottom w:val="0"/>
      <w:divBdr>
        <w:top w:val="none" w:sz="0" w:space="0" w:color="auto"/>
        <w:left w:val="none" w:sz="0" w:space="0" w:color="auto"/>
        <w:bottom w:val="none" w:sz="0" w:space="0" w:color="auto"/>
        <w:right w:val="none" w:sz="0" w:space="0" w:color="auto"/>
      </w:divBdr>
    </w:div>
    <w:div w:id="962149519">
      <w:bodyDiv w:val="1"/>
      <w:marLeft w:val="0"/>
      <w:marRight w:val="0"/>
      <w:marTop w:val="0"/>
      <w:marBottom w:val="0"/>
      <w:divBdr>
        <w:top w:val="none" w:sz="0" w:space="0" w:color="auto"/>
        <w:left w:val="none" w:sz="0" w:space="0" w:color="auto"/>
        <w:bottom w:val="none" w:sz="0" w:space="0" w:color="auto"/>
        <w:right w:val="none" w:sz="0" w:space="0" w:color="auto"/>
      </w:divBdr>
    </w:div>
    <w:div w:id="962690811">
      <w:bodyDiv w:val="1"/>
      <w:marLeft w:val="0"/>
      <w:marRight w:val="0"/>
      <w:marTop w:val="0"/>
      <w:marBottom w:val="0"/>
      <w:divBdr>
        <w:top w:val="none" w:sz="0" w:space="0" w:color="auto"/>
        <w:left w:val="none" w:sz="0" w:space="0" w:color="auto"/>
        <w:bottom w:val="none" w:sz="0" w:space="0" w:color="auto"/>
        <w:right w:val="none" w:sz="0" w:space="0" w:color="auto"/>
      </w:divBdr>
    </w:div>
    <w:div w:id="964117737">
      <w:bodyDiv w:val="1"/>
      <w:marLeft w:val="0"/>
      <w:marRight w:val="0"/>
      <w:marTop w:val="0"/>
      <w:marBottom w:val="0"/>
      <w:divBdr>
        <w:top w:val="none" w:sz="0" w:space="0" w:color="auto"/>
        <w:left w:val="none" w:sz="0" w:space="0" w:color="auto"/>
        <w:bottom w:val="none" w:sz="0" w:space="0" w:color="auto"/>
        <w:right w:val="none" w:sz="0" w:space="0" w:color="auto"/>
      </w:divBdr>
    </w:div>
    <w:div w:id="964584692">
      <w:bodyDiv w:val="1"/>
      <w:marLeft w:val="0"/>
      <w:marRight w:val="0"/>
      <w:marTop w:val="0"/>
      <w:marBottom w:val="0"/>
      <w:divBdr>
        <w:top w:val="none" w:sz="0" w:space="0" w:color="auto"/>
        <w:left w:val="none" w:sz="0" w:space="0" w:color="auto"/>
        <w:bottom w:val="none" w:sz="0" w:space="0" w:color="auto"/>
        <w:right w:val="none" w:sz="0" w:space="0" w:color="auto"/>
      </w:divBdr>
    </w:div>
    <w:div w:id="965887827">
      <w:bodyDiv w:val="1"/>
      <w:marLeft w:val="0"/>
      <w:marRight w:val="0"/>
      <w:marTop w:val="0"/>
      <w:marBottom w:val="0"/>
      <w:divBdr>
        <w:top w:val="none" w:sz="0" w:space="0" w:color="auto"/>
        <w:left w:val="none" w:sz="0" w:space="0" w:color="auto"/>
        <w:bottom w:val="none" w:sz="0" w:space="0" w:color="auto"/>
        <w:right w:val="none" w:sz="0" w:space="0" w:color="auto"/>
      </w:divBdr>
    </w:div>
    <w:div w:id="966855035">
      <w:bodyDiv w:val="1"/>
      <w:marLeft w:val="0"/>
      <w:marRight w:val="0"/>
      <w:marTop w:val="0"/>
      <w:marBottom w:val="0"/>
      <w:divBdr>
        <w:top w:val="none" w:sz="0" w:space="0" w:color="auto"/>
        <w:left w:val="none" w:sz="0" w:space="0" w:color="auto"/>
        <w:bottom w:val="none" w:sz="0" w:space="0" w:color="auto"/>
        <w:right w:val="none" w:sz="0" w:space="0" w:color="auto"/>
      </w:divBdr>
    </w:div>
    <w:div w:id="967979643">
      <w:bodyDiv w:val="1"/>
      <w:marLeft w:val="0"/>
      <w:marRight w:val="0"/>
      <w:marTop w:val="0"/>
      <w:marBottom w:val="0"/>
      <w:divBdr>
        <w:top w:val="none" w:sz="0" w:space="0" w:color="auto"/>
        <w:left w:val="none" w:sz="0" w:space="0" w:color="auto"/>
        <w:bottom w:val="none" w:sz="0" w:space="0" w:color="auto"/>
        <w:right w:val="none" w:sz="0" w:space="0" w:color="auto"/>
      </w:divBdr>
    </w:div>
    <w:div w:id="968632010">
      <w:bodyDiv w:val="1"/>
      <w:marLeft w:val="0"/>
      <w:marRight w:val="0"/>
      <w:marTop w:val="0"/>
      <w:marBottom w:val="0"/>
      <w:divBdr>
        <w:top w:val="none" w:sz="0" w:space="0" w:color="auto"/>
        <w:left w:val="none" w:sz="0" w:space="0" w:color="auto"/>
        <w:bottom w:val="none" w:sz="0" w:space="0" w:color="auto"/>
        <w:right w:val="none" w:sz="0" w:space="0" w:color="auto"/>
      </w:divBdr>
    </w:div>
    <w:div w:id="971708829">
      <w:bodyDiv w:val="1"/>
      <w:marLeft w:val="0"/>
      <w:marRight w:val="0"/>
      <w:marTop w:val="0"/>
      <w:marBottom w:val="0"/>
      <w:divBdr>
        <w:top w:val="none" w:sz="0" w:space="0" w:color="auto"/>
        <w:left w:val="none" w:sz="0" w:space="0" w:color="auto"/>
        <w:bottom w:val="none" w:sz="0" w:space="0" w:color="auto"/>
        <w:right w:val="none" w:sz="0" w:space="0" w:color="auto"/>
      </w:divBdr>
    </w:div>
    <w:div w:id="973414430">
      <w:bodyDiv w:val="1"/>
      <w:marLeft w:val="0"/>
      <w:marRight w:val="0"/>
      <w:marTop w:val="0"/>
      <w:marBottom w:val="0"/>
      <w:divBdr>
        <w:top w:val="none" w:sz="0" w:space="0" w:color="auto"/>
        <w:left w:val="none" w:sz="0" w:space="0" w:color="auto"/>
        <w:bottom w:val="none" w:sz="0" w:space="0" w:color="auto"/>
        <w:right w:val="none" w:sz="0" w:space="0" w:color="auto"/>
      </w:divBdr>
    </w:div>
    <w:div w:id="975179010">
      <w:bodyDiv w:val="1"/>
      <w:marLeft w:val="0"/>
      <w:marRight w:val="0"/>
      <w:marTop w:val="0"/>
      <w:marBottom w:val="0"/>
      <w:divBdr>
        <w:top w:val="none" w:sz="0" w:space="0" w:color="auto"/>
        <w:left w:val="none" w:sz="0" w:space="0" w:color="auto"/>
        <w:bottom w:val="none" w:sz="0" w:space="0" w:color="auto"/>
        <w:right w:val="none" w:sz="0" w:space="0" w:color="auto"/>
      </w:divBdr>
    </w:div>
    <w:div w:id="977802162">
      <w:bodyDiv w:val="1"/>
      <w:marLeft w:val="0"/>
      <w:marRight w:val="0"/>
      <w:marTop w:val="0"/>
      <w:marBottom w:val="0"/>
      <w:divBdr>
        <w:top w:val="none" w:sz="0" w:space="0" w:color="auto"/>
        <w:left w:val="none" w:sz="0" w:space="0" w:color="auto"/>
        <w:bottom w:val="none" w:sz="0" w:space="0" w:color="auto"/>
        <w:right w:val="none" w:sz="0" w:space="0" w:color="auto"/>
      </w:divBdr>
    </w:div>
    <w:div w:id="977954157">
      <w:bodyDiv w:val="1"/>
      <w:marLeft w:val="0"/>
      <w:marRight w:val="0"/>
      <w:marTop w:val="0"/>
      <w:marBottom w:val="0"/>
      <w:divBdr>
        <w:top w:val="none" w:sz="0" w:space="0" w:color="auto"/>
        <w:left w:val="none" w:sz="0" w:space="0" w:color="auto"/>
        <w:bottom w:val="none" w:sz="0" w:space="0" w:color="auto"/>
        <w:right w:val="none" w:sz="0" w:space="0" w:color="auto"/>
      </w:divBdr>
    </w:div>
    <w:div w:id="979503698">
      <w:bodyDiv w:val="1"/>
      <w:marLeft w:val="0"/>
      <w:marRight w:val="0"/>
      <w:marTop w:val="0"/>
      <w:marBottom w:val="0"/>
      <w:divBdr>
        <w:top w:val="none" w:sz="0" w:space="0" w:color="auto"/>
        <w:left w:val="none" w:sz="0" w:space="0" w:color="auto"/>
        <w:bottom w:val="none" w:sz="0" w:space="0" w:color="auto"/>
        <w:right w:val="none" w:sz="0" w:space="0" w:color="auto"/>
      </w:divBdr>
    </w:div>
    <w:div w:id="979771035">
      <w:bodyDiv w:val="1"/>
      <w:marLeft w:val="0"/>
      <w:marRight w:val="0"/>
      <w:marTop w:val="0"/>
      <w:marBottom w:val="0"/>
      <w:divBdr>
        <w:top w:val="none" w:sz="0" w:space="0" w:color="auto"/>
        <w:left w:val="none" w:sz="0" w:space="0" w:color="auto"/>
        <w:bottom w:val="none" w:sz="0" w:space="0" w:color="auto"/>
        <w:right w:val="none" w:sz="0" w:space="0" w:color="auto"/>
      </w:divBdr>
    </w:div>
    <w:div w:id="981883693">
      <w:bodyDiv w:val="1"/>
      <w:marLeft w:val="0"/>
      <w:marRight w:val="0"/>
      <w:marTop w:val="0"/>
      <w:marBottom w:val="0"/>
      <w:divBdr>
        <w:top w:val="none" w:sz="0" w:space="0" w:color="auto"/>
        <w:left w:val="none" w:sz="0" w:space="0" w:color="auto"/>
        <w:bottom w:val="none" w:sz="0" w:space="0" w:color="auto"/>
        <w:right w:val="none" w:sz="0" w:space="0" w:color="auto"/>
      </w:divBdr>
    </w:div>
    <w:div w:id="985284974">
      <w:bodyDiv w:val="1"/>
      <w:marLeft w:val="0"/>
      <w:marRight w:val="0"/>
      <w:marTop w:val="0"/>
      <w:marBottom w:val="0"/>
      <w:divBdr>
        <w:top w:val="none" w:sz="0" w:space="0" w:color="auto"/>
        <w:left w:val="none" w:sz="0" w:space="0" w:color="auto"/>
        <w:bottom w:val="none" w:sz="0" w:space="0" w:color="auto"/>
        <w:right w:val="none" w:sz="0" w:space="0" w:color="auto"/>
      </w:divBdr>
    </w:div>
    <w:div w:id="986320230">
      <w:bodyDiv w:val="1"/>
      <w:marLeft w:val="0"/>
      <w:marRight w:val="0"/>
      <w:marTop w:val="0"/>
      <w:marBottom w:val="0"/>
      <w:divBdr>
        <w:top w:val="none" w:sz="0" w:space="0" w:color="auto"/>
        <w:left w:val="none" w:sz="0" w:space="0" w:color="auto"/>
        <w:bottom w:val="none" w:sz="0" w:space="0" w:color="auto"/>
        <w:right w:val="none" w:sz="0" w:space="0" w:color="auto"/>
      </w:divBdr>
    </w:div>
    <w:div w:id="987973845">
      <w:bodyDiv w:val="1"/>
      <w:marLeft w:val="0"/>
      <w:marRight w:val="0"/>
      <w:marTop w:val="0"/>
      <w:marBottom w:val="0"/>
      <w:divBdr>
        <w:top w:val="none" w:sz="0" w:space="0" w:color="auto"/>
        <w:left w:val="none" w:sz="0" w:space="0" w:color="auto"/>
        <w:bottom w:val="none" w:sz="0" w:space="0" w:color="auto"/>
        <w:right w:val="none" w:sz="0" w:space="0" w:color="auto"/>
      </w:divBdr>
    </w:div>
    <w:div w:id="990713068">
      <w:bodyDiv w:val="1"/>
      <w:marLeft w:val="0"/>
      <w:marRight w:val="0"/>
      <w:marTop w:val="0"/>
      <w:marBottom w:val="0"/>
      <w:divBdr>
        <w:top w:val="none" w:sz="0" w:space="0" w:color="auto"/>
        <w:left w:val="none" w:sz="0" w:space="0" w:color="auto"/>
        <w:bottom w:val="none" w:sz="0" w:space="0" w:color="auto"/>
        <w:right w:val="none" w:sz="0" w:space="0" w:color="auto"/>
      </w:divBdr>
    </w:div>
    <w:div w:id="991757136">
      <w:bodyDiv w:val="1"/>
      <w:marLeft w:val="0"/>
      <w:marRight w:val="0"/>
      <w:marTop w:val="0"/>
      <w:marBottom w:val="0"/>
      <w:divBdr>
        <w:top w:val="none" w:sz="0" w:space="0" w:color="auto"/>
        <w:left w:val="none" w:sz="0" w:space="0" w:color="auto"/>
        <w:bottom w:val="none" w:sz="0" w:space="0" w:color="auto"/>
        <w:right w:val="none" w:sz="0" w:space="0" w:color="auto"/>
      </w:divBdr>
    </w:div>
    <w:div w:id="995300092">
      <w:bodyDiv w:val="1"/>
      <w:marLeft w:val="0"/>
      <w:marRight w:val="0"/>
      <w:marTop w:val="0"/>
      <w:marBottom w:val="0"/>
      <w:divBdr>
        <w:top w:val="none" w:sz="0" w:space="0" w:color="auto"/>
        <w:left w:val="none" w:sz="0" w:space="0" w:color="auto"/>
        <w:bottom w:val="none" w:sz="0" w:space="0" w:color="auto"/>
        <w:right w:val="none" w:sz="0" w:space="0" w:color="auto"/>
      </w:divBdr>
    </w:div>
    <w:div w:id="997223813">
      <w:bodyDiv w:val="1"/>
      <w:marLeft w:val="0"/>
      <w:marRight w:val="0"/>
      <w:marTop w:val="0"/>
      <w:marBottom w:val="0"/>
      <w:divBdr>
        <w:top w:val="none" w:sz="0" w:space="0" w:color="auto"/>
        <w:left w:val="none" w:sz="0" w:space="0" w:color="auto"/>
        <w:bottom w:val="none" w:sz="0" w:space="0" w:color="auto"/>
        <w:right w:val="none" w:sz="0" w:space="0" w:color="auto"/>
      </w:divBdr>
    </w:div>
    <w:div w:id="997883262">
      <w:bodyDiv w:val="1"/>
      <w:marLeft w:val="0"/>
      <w:marRight w:val="0"/>
      <w:marTop w:val="0"/>
      <w:marBottom w:val="0"/>
      <w:divBdr>
        <w:top w:val="none" w:sz="0" w:space="0" w:color="auto"/>
        <w:left w:val="none" w:sz="0" w:space="0" w:color="auto"/>
        <w:bottom w:val="none" w:sz="0" w:space="0" w:color="auto"/>
        <w:right w:val="none" w:sz="0" w:space="0" w:color="auto"/>
      </w:divBdr>
    </w:div>
    <w:div w:id="1003164926">
      <w:bodyDiv w:val="1"/>
      <w:marLeft w:val="0"/>
      <w:marRight w:val="0"/>
      <w:marTop w:val="0"/>
      <w:marBottom w:val="0"/>
      <w:divBdr>
        <w:top w:val="none" w:sz="0" w:space="0" w:color="auto"/>
        <w:left w:val="none" w:sz="0" w:space="0" w:color="auto"/>
        <w:bottom w:val="none" w:sz="0" w:space="0" w:color="auto"/>
        <w:right w:val="none" w:sz="0" w:space="0" w:color="auto"/>
      </w:divBdr>
    </w:div>
    <w:div w:id="1003433585">
      <w:bodyDiv w:val="1"/>
      <w:marLeft w:val="0"/>
      <w:marRight w:val="0"/>
      <w:marTop w:val="0"/>
      <w:marBottom w:val="0"/>
      <w:divBdr>
        <w:top w:val="none" w:sz="0" w:space="0" w:color="auto"/>
        <w:left w:val="none" w:sz="0" w:space="0" w:color="auto"/>
        <w:bottom w:val="none" w:sz="0" w:space="0" w:color="auto"/>
        <w:right w:val="none" w:sz="0" w:space="0" w:color="auto"/>
      </w:divBdr>
    </w:div>
    <w:div w:id="1004363501">
      <w:bodyDiv w:val="1"/>
      <w:marLeft w:val="0"/>
      <w:marRight w:val="0"/>
      <w:marTop w:val="0"/>
      <w:marBottom w:val="0"/>
      <w:divBdr>
        <w:top w:val="none" w:sz="0" w:space="0" w:color="auto"/>
        <w:left w:val="none" w:sz="0" w:space="0" w:color="auto"/>
        <w:bottom w:val="none" w:sz="0" w:space="0" w:color="auto"/>
        <w:right w:val="none" w:sz="0" w:space="0" w:color="auto"/>
      </w:divBdr>
    </w:div>
    <w:div w:id="1008749266">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10910291">
      <w:bodyDiv w:val="1"/>
      <w:marLeft w:val="0"/>
      <w:marRight w:val="0"/>
      <w:marTop w:val="0"/>
      <w:marBottom w:val="0"/>
      <w:divBdr>
        <w:top w:val="none" w:sz="0" w:space="0" w:color="auto"/>
        <w:left w:val="none" w:sz="0" w:space="0" w:color="auto"/>
        <w:bottom w:val="none" w:sz="0" w:space="0" w:color="auto"/>
        <w:right w:val="none" w:sz="0" w:space="0" w:color="auto"/>
      </w:divBdr>
    </w:div>
    <w:div w:id="1011759206">
      <w:bodyDiv w:val="1"/>
      <w:marLeft w:val="0"/>
      <w:marRight w:val="0"/>
      <w:marTop w:val="0"/>
      <w:marBottom w:val="0"/>
      <w:divBdr>
        <w:top w:val="none" w:sz="0" w:space="0" w:color="auto"/>
        <w:left w:val="none" w:sz="0" w:space="0" w:color="auto"/>
        <w:bottom w:val="none" w:sz="0" w:space="0" w:color="auto"/>
        <w:right w:val="none" w:sz="0" w:space="0" w:color="auto"/>
      </w:divBdr>
    </w:div>
    <w:div w:id="1011839210">
      <w:bodyDiv w:val="1"/>
      <w:marLeft w:val="0"/>
      <w:marRight w:val="0"/>
      <w:marTop w:val="0"/>
      <w:marBottom w:val="0"/>
      <w:divBdr>
        <w:top w:val="none" w:sz="0" w:space="0" w:color="auto"/>
        <w:left w:val="none" w:sz="0" w:space="0" w:color="auto"/>
        <w:bottom w:val="none" w:sz="0" w:space="0" w:color="auto"/>
        <w:right w:val="none" w:sz="0" w:space="0" w:color="auto"/>
      </w:divBdr>
    </w:div>
    <w:div w:id="1015576456">
      <w:bodyDiv w:val="1"/>
      <w:marLeft w:val="0"/>
      <w:marRight w:val="0"/>
      <w:marTop w:val="0"/>
      <w:marBottom w:val="0"/>
      <w:divBdr>
        <w:top w:val="none" w:sz="0" w:space="0" w:color="auto"/>
        <w:left w:val="none" w:sz="0" w:space="0" w:color="auto"/>
        <w:bottom w:val="none" w:sz="0" w:space="0" w:color="auto"/>
        <w:right w:val="none" w:sz="0" w:space="0" w:color="auto"/>
      </w:divBdr>
    </w:div>
    <w:div w:id="1015762375">
      <w:bodyDiv w:val="1"/>
      <w:marLeft w:val="0"/>
      <w:marRight w:val="0"/>
      <w:marTop w:val="0"/>
      <w:marBottom w:val="0"/>
      <w:divBdr>
        <w:top w:val="none" w:sz="0" w:space="0" w:color="auto"/>
        <w:left w:val="none" w:sz="0" w:space="0" w:color="auto"/>
        <w:bottom w:val="none" w:sz="0" w:space="0" w:color="auto"/>
        <w:right w:val="none" w:sz="0" w:space="0" w:color="auto"/>
      </w:divBdr>
    </w:div>
    <w:div w:id="1016080953">
      <w:bodyDiv w:val="1"/>
      <w:marLeft w:val="0"/>
      <w:marRight w:val="0"/>
      <w:marTop w:val="0"/>
      <w:marBottom w:val="0"/>
      <w:divBdr>
        <w:top w:val="none" w:sz="0" w:space="0" w:color="auto"/>
        <w:left w:val="none" w:sz="0" w:space="0" w:color="auto"/>
        <w:bottom w:val="none" w:sz="0" w:space="0" w:color="auto"/>
        <w:right w:val="none" w:sz="0" w:space="0" w:color="auto"/>
      </w:divBdr>
    </w:div>
    <w:div w:id="1020203001">
      <w:bodyDiv w:val="1"/>
      <w:marLeft w:val="0"/>
      <w:marRight w:val="0"/>
      <w:marTop w:val="0"/>
      <w:marBottom w:val="0"/>
      <w:divBdr>
        <w:top w:val="none" w:sz="0" w:space="0" w:color="auto"/>
        <w:left w:val="none" w:sz="0" w:space="0" w:color="auto"/>
        <w:bottom w:val="none" w:sz="0" w:space="0" w:color="auto"/>
        <w:right w:val="none" w:sz="0" w:space="0" w:color="auto"/>
      </w:divBdr>
    </w:div>
    <w:div w:id="1020468692">
      <w:bodyDiv w:val="1"/>
      <w:marLeft w:val="0"/>
      <w:marRight w:val="0"/>
      <w:marTop w:val="0"/>
      <w:marBottom w:val="0"/>
      <w:divBdr>
        <w:top w:val="none" w:sz="0" w:space="0" w:color="auto"/>
        <w:left w:val="none" w:sz="0" w:space="0" w:color="auto"/>
        <w:bottom w:val="none" w:sz="0" w:space="0" w:color="auto"/>
        <w:right w:val="none" w:sz="0" w:space="0" w:color="auto"/>
      </w:divBdr>
    </w:div>
    <w:div w:id="1031225497">
      <w:bodyDiv w:val="1"/>
      <w:marLeft w:val="0"/>
      <w:marRight w:val="0"/>
      <w:marTop w:val="0"/>
      <w:marBottom w:val="0"/>
      <w:divBdr>
        <w:top w:val="none" w:sz="0" w:space="0" w:color="auto"/>
        <w:left w:val="none" w:sz="0" w:space="0" w:color="auto"/>
        <w:bottom w:val="none" w:sz="0" w:space="0" w:color="auto"/>
        <w:right w:val="none" w:sz="0" w:space="0" w:color="auto"/>
      </w:divBdr>
    </w:div>
    <w:div w:id="1031996230">
      <w:bodyDiv w:val="1"/>
      <w:marLeft w:val="0"/>
      <w:marRight w:val="0"/>
      <w:marTop w:val="0"/>
      <w:marBottom w:val="0"/>
      <w:divBdr>
        <w:top w:val="none" w:sz="0" w:space="0" w:color="auto"/>
        <w:left w:val="none" w:sz="0" w:space="0" w:color="auto"/>
        <w:bottom w:val="none" w:sz="0" w:space="0" w:color="auto"/>
        <w:right w:val="none" w:sz="0" w:space="0" w:color="auto"/>
      </w:divBdr>
    </w:div>
    <w:div w:id="1031999671">
      <w:bodyDiv w:val="1"/>
      <w:marLeft w:val="0"/>
      <w:marRight w:val="0"/>
      <w:marTop w:val="0"/>
      <w:marBottom w:val="0"/>
      <w:divBdr>
        <w:top w:val="none" w:sz="0" w:space="0" w:color="auto"/>
        <w:left w:val="none" w:sz="0" w:space="0" w:color="auto"/>
        <w:bottom w:val="none" w:sz="0" w:space="0" w:color="auto"/>
        <w:right w:val="none" w:sz="0" w:space="0" w:color="auto"/>
      </w:divBdr>
    </w:div>
    <w:div w:id="1032918909">
      <w:bodyDiv w:val="1"/>
      <w:marLeft w:val="0"/>
      <w:marRight w:val="0"/>
      <w:marTop w:val="0"/>
      <w:marBottom w:val="0"/>
      <w:divBdr>
        <w:top w:val="none" w:sz="0" w:space="0" w:color="auto"/>
        <w:left w:val="none" w:sz="0" w:space="0" w:color="auto"/>
        <w:bottom w:val="none" w:sz="0" w:space="0" w:color="auto"/>
        <w:right w:val="none" w:sz="0" w:space="0" w:color="auto"/>
      </w:divBdr>
    </w:div>
    <w:div w:id="1034580180">
      <w:bodyDiv w:val="1"/>
      <w:marLeft w:val="0"/>
      <w:marRight w:val="0"/>
      <w:marTop w:val="0"/>
      <w:marBottom w:val="0"/>
      <w:divBdr>
        <w:top w:val="none" w:sz="0" w:space="0" w:color="auto"/>
        <w:left w:val="none" w:sz="0" w:space="0" w:color="auto"/>
        <w:bottom w:val="none" w:sz="0" w:space="0" w:color="auto"/>
        <w:right w:val="none" w:sz="0" w:space="0" w:color="auto"/>
      </w:divBdr>
    </w:div>
    <w:div w:id="1034959282">
      <w:bodyDiv w:val="1"/>
      <w:marLeft w:val="0"/>
      <w:marRight w:val="0"/>
      <w:marTop w:val="0"/>
      <w:marBottom w:val="0"/>
      <w:divBdr>
        <w:top w:val="none" w:sz="0" w:space="0" w:color="auto"/>
        <w:left w:val="none" w:sz="0" w:space="0" w:color="auto"/>
        <w:bottom w:val="none" w:sz="0" w:space="0" w:color="auto"/>
        <w:right w:val="none" w:sz="0" w:space="0" w:color="auto"/>
      </w:divBdr>
    </w:div>
    <w:div w:id="1035885595">
      <w:bodyDiv w:val="1"/>
      <w:marLeft w:val="0"/>
      <w:marRight w:val="0"/>
      <w:marTop w:val="0"/>
      <w:marBottom w:val="0"/>
      <w:divBdr>
        <w:top w:val="none" w:sz="0" w:space="0" w:color="auto"/>
        <w:left w:val="none" w:sz="0" w:space="0" w:color="auto"/>
        <w:bottom w:val="none" w:sz="0" w:space="0" w:color="auto"/>
        <w:right w:val="none" w:sz="0" w:space="0" w:color="auto"/>
      </w:divBdr>
    </w:div>
    <w:div w:id="1037047231">
      <w:bodyDiv w:val="1"/>
      <w:marLeft w:val="0"/>
      <w:marRight w:val="0"/>
      <w:marTop w:val="0"/>
      <w:marBottom w:val="0"/>
      <w:divBdr>
        <w:top w:val="none" w:sz="0" w:space="0" w:color="auto"/>
        <w:left w:val="none" w:sz="0" w:space="0" w:color="auto"/>
        <w:bottom w:val="none" w:sz="0" w:space="0" w:color="auto"/>
        <w:right w:val="none" w:sz="0" w:space="0" w:color="auto"/>
      </w:divBdr>
    </w:div>
    <w:div w:id="1040672224">
      <w:bodyDiv w:val="1"/>
      <w:marLeft w:val="0"/>
      <w:marRight w:val="0"/>
      <w:marTop w:val="0"/>
      <w:marBottom w:val="0"/>
      <w:divBdr>
        <w:top w:val="none" w:sz="0" w:space="0" w:color="auto"/>
        <w:left w:val="none" w:sz="0" w:space="0" w:color="auto"/>
        <w:bottom w:val="none" w:sz="0" w:space="0" w:color="auto"/>
        <w:right w:val="none" w:sz="0" w:space="0" w:color="auto"/>
      </w:divBdr>
    </w:div>
    <w:div w:id="1045327400">
      <w:bodyDiv w:val="1"/>
      <w:marLeft w:val="0"/>
      <w:marRight w:val="0"/>
      <w:marTop w:val="0"/>
      <w:marBottom w:val="0"/>
      <w:divBdr>
        <w:top w:val="none" w:sz="0" w:space="0" w:color="auto"/>
        <w:left w:val="none" w:sz="0" w:space="0" w:color="auto"/>
        <w:bottom w:val="none" w:sz="0" w:space="0" w:color="auto"/>
        <w:right w:val="none" w:sz="0" w:space="0" w:color="auto"/>
      </w:divBdr>
    </w:div>
    <w:div w:id="1051804808">
      <w:bodyDiv w:val="1"/>
      <w:marLeft w:val="0"/>
      <w:marRight w:val="0"/>
      <w:marTop w:val="0"/>
      <w:marBottom w:val="0"/>
      <w:divBdr>
        <w:top w:val="none" w:sz="0" w:space="0" w:color="auto"/>
        <w:left w:val="none" w:sz="0" w:space="0" w:color="auto"/>
        <w:bottom w:val="none" w:sz="0" w:space="0" w:color="auto"/>
        <w:right w:val="none" w:sz="0" w:space="0" w:color="auto"/>
      </w:divBdr>
    </w:div>
    <w:div w:id="1054357106">
      <w:bodyDiv w:val="1"/>
      <w:marLeft w:val="0"/>
      <w:marRight w:val="0"/>
      <w:marTop w:val="0"/>
      <w:marBottom w:val="0"/>
      <w:divBdr>
        <w:top w:val="none" w:sz="0" w:space="0" w:color="auto"/>
        <w:left w:val="none" w:sz="0" w:space="0" w:color="auto"/>
        <w:bottom w:val="none" w:sz="0" w:space="0" w:color="auto"/>
        <w:right w:val="none" w:sz="0" w:space="0" w:color="auto"/>
      </w:divBdr>
    </w:div>
    <w:div w:id="1055666031">
      <w:bodyDiv w:val="1"/>
      <w:marLeft w:val="0"/>
      <w:marRight w:val="0"/>
      <w:marTop w:val="0"/>
      <w:marBottom w:val="0"/>
      <w:divBdr>
        <w:top w:val="none" w:sz="0" w:space="0" w:color="auto"/>
        <w:left w:val="none" w:sz="0" w:space="0" w:color="auto"/>
        <w:bottom w:val="none" w:sz="0" w:space="0" w:color="auto"/>
        <w:right w:val="none" w:sz="0" w:space="0" w:color="auto"/>
      </w:divBdr>
    </w:div>
    <w:div w:id="1060714664">
      <w:bodyDiv w:val="1"/>
      <w:marLeft w:val="0"/>
      <w:marRight w:val="0"/>
      <w:marTop w:val="0"/>
      <w:marBottom w:val="0"/>
      <w:divBdr>
        <w:top w:val="none" w:sz="0" w:space="0" w:color="auto"/>
        <w:left w:val="none" w:sz="0" w:space="0" w:color="auto"/>
        <w:bottom w:val="none" w:sz="0" w:space="0" w:color="auto"/>
        <w:right w:val="none" w:sz="0" w:space="0" w:color="auto"/>
      </w:divBdr>
    </w:div>
    <w:div w:id="1064722277">
      <w:bodyDiv w:val="1"/>
      <w:marLeft w:val="0"/>
      <w:marRight w:val="0"/>
      <w:marTop w:val="0"/>
      <w:marBottom w:val="0"/>
      <w:divBdr>
        <w:top w:val="none" w:sz="0" w:space="0" w:color="auto"/>
        <w:left w:val="none" w:sz="0" w:space="0" w:color="auto"/>
        <w:bottom w:val="none" w:sz="0" w:space="0" w:color="auto"/>
        <w:right w:val="none" w:sz="0" w:space="0" w:color="auto"/>
      </w:divBdr>
    </w:div>
    <w:div w:id="1067797318">
      <w:bodyDiv w:val="1"/>
      <w:marLeft w:val="0"/>
      <w:marRight w:val="0"/>
      <w:marTop w:val="0"/>
      <w:marBottom w:val="0"/>
      <w:divBdr>
        <w:top w:val="none" w:sz="0" w:space="0" w:color="auto"/>
        <w:left w:val="none" w:sz="0" w:space="0" w:color="auto"/>
        <w:bottom w:val="none" w:sz="0" w:space="0" w:color="auto"/>
        <w:right w:val="none" w:sz="0" w:space="0" w:color="auto"/>
      </w:divBdr>
    </w:div>
    <w:div w:id="1070537880">
      <w:bodyDiv w:val="1"/>
      <w:marLeft w:val="0"/>
      <w:marRight w:val="0"/>
      <w:marTop w:val="0"/>
      <w:marBottom w:val="0"/>
      <w:divBdr>
        <w:top w:val="none" w:sz="0" w:space="0" w:color="auto"/>
        <w:left w:val="none" w:sz="0" w:space="0" w:color="auto"/>
        <w:bottom w:val="none" w:sz="0" w:space="0" w:color="auto"/>
        <w:right w:val="none" w:sz="0" w:space="0" w:color="auto"/>
      </w:divBdr>
    </w:div>
    <w:div w:id="1072049306">
      <w:bodyDiv w:val="1"/>
      <w:marLeft w:val="0"/>
      <w:marRight w:val="0"/>
      <w:marTop w:val="0"/>
      <w:marBottom w:val="0"/>
      <w:divBdr>
        <w:top w:val="none" w:sz="0" w:space="0" w:color="auto"/>
        <w:left w:val="none" w:sz="0" w:space="0" w:color="auto"/>
        <w:bottom w:val="none" w:sz="0" w:space="0" w:color="auto"/>
        <w:right w:val="none" w:sz="0" w:space="0" w:color="auto"/>
      </w:divBdr>
    </w:div>
    <w:div w:id="1072967894">
      <w:bodyDiv w:val="1"/>
      <w:marLeft w:val="0"/>
      <w:marRight w:val="0"/>
      <w:marTop w:val="0"/>
      <w:marBottom w:val="0"/>
      <w:divBdr>
        <w:top w:val="none" w:sz="0" w:space="0" w:color="auto"/>
        <w:left w:val="none" w:sz="0" w:space="0" w:color="auto"/>
        <w:bottom w:val="none" w:sz="0" w:space="0" w:color="auto"/>
        <w:right w:val="none" w:sz="0" w:space="0" w:color="auto"/>
      </w:divBdr>
    </w:div>
    <w:div w:id="1074662366">
      <w:bodyDiv w:val="1"/>
      <w:marLeft w:val="0"/>
      <w:marRight w:val="0"/>
      <w:marTop w:val="0"/>
      <w:marBottom w:val="0"/>
      <w:divBdr>
        <w:top w:val="none" w:sz="0" w:space="0" w:color="auto"/>
        <w:left w:val="none" w:sz="0" w:space="0" w:color="auto"/>
        <w:bottom w:val="none" w:sz="0" w:space="0" w:color="auto"/>
        <w:right w:val="none" w:sz="0" w:space="0" w:color="auto"/>
      </w:divBdr>
    </w:div>
    <w:div w:id="1076822552">
      <w:bodyDiv w:val="1"/>
      <w:marLeft w:val="0"/>
      <w:marRight w:val="0"/>
      <w:marTop w:val="0"/>
      <w:marBottom w:val="0"/>
      <w:divBdr>
        <w:top w:val="none" w:sz="0" w:space="0" w:color="auto"/>
        <w:left w:val="none" w:sz="0" w:space="0" w:color="auto"/>
        <w:bottom w:val="none" w:sz="0" w:space="0" w:color="auto"/>
        <w:right w:val="none" w:sz="0" w:space="0" w:color="auto"/>
      </w:divBdr>
    </w:div>
    <w:div w:id="1079868271">
      <w:bodyDiv w:val="1"/>
      <w:marLeft w:val="0"/>
      <w:marRight w:val="0"/>
      <w:marTop w:val="0"/>
      <w:marBottom w:val="0"/>
      <w:divBdr>
        <w:top w:val="none" w:sz="0" w:space="0" w:color="auto"/>
        <w:left w:val="none" w:sz="0" w:space="0" w:color="auto"/>
        <w:bottom w:val="none" w:sz="0" w:space="0" w:color="auto"/>
        <w:right w:val="none" w:sz="0" w:space="0" w:color="auto"/>
      </w:divBdr>
    </w:div>
    <w:div w:id="1080715481">
      <w:bodyDiv w:val="1"/>
      <w:marLeft w:val="0"/>
      <w:marRight w:val="0"/>
      <w:marTop w:val="0"/>
      <w:marBottom w:val="0"/>
      <w:divBdr>
        <w:top w:val="none" w:sz="0" w:space="0" w:color="auto"/>
        <w:left w:val="none" w:sz="0" w:space="0" w:color="auto"/>
        <w:bottom w:val="none" w:sz="0" w:space="0" w:color="auto"/>
        <w:right w:val="none" w:sz="0" w:space="0" w:color="auto"/>
      </w:divBdr>
    </w:div>
    <w:div w:id="1081295064">
      <w:bodyDiv w:val="1"/>
      <w:marLeft w:val="0"/>
      <w:marRight w:val="0"/>
      <w:marTop w:val="0"/>
      <w:marBottom w:val="0"/>
      <w:divBdr>
        <w:top w:val="none" w:sz="0" w:space="0" w:color="auto"/>
        <w:left w:val="none" w:sz="0" w:space="0" w:color="auto"/>
        <w:bottom w:val="none" w:sz="0" w:space="0" w:color="auto"/>
        <w:right w:val="none" w:sz="0" w:space="0" w:color="auto"/>
      </w:divBdr>
    </w:div>
    <w:div w:id="1082531036">
      <w:bodyDiv w:val="1"/>
      <w:marLeft w:val="0"/>
      <w:marRight w:val="0"/>
      <w:marTop w:val="0"/>
      <w:marBottom w:val="0"/>
      <w:divBdr>
        <w:top w:val="none" w:sz="0" w:space="0" w:color="auto"/>
        <w:left w:val="none" w:sz="0" w:space="0" w:color="auto"/>
        <w:bottom w:val="none" w:sz="0" w:space="0" w:color="auto"/>
        <w:right w:val="none" w:sz="0" w:space="0" w:color="auto"/>
      </w:divBdr>
    </w:div>
    <w:div w:id="1083985905">
      <w:bodyDiv w:val="1"/>
      <w:marLeft w:val="0"/>
      <w:marRight w:val="0"/>
      <w:marTop w:val="0"/>
      <w:marBottom w:val="0"/>
      <w:divBdr>
        <w:top w:val="none" w:sz="0" w:space="0" w:color="auto"/>
        <w:left w:val="none" w:sz="0" w:space="0" w:color="auto"/>
        <w:bottom w:val="none" w:sz="0" w:space="0" w:color="auto"/>
        <w:right w:val="none" w:sz="0" w:space="0" w:color="auto"/>
      </w:divBdr>
    </w:div>
    <w:div w:id="1085685283">
      <w:bodyDiv w:val="1"/>
      <w:marLeft w:val="0"/>
      <w:marRight w:val="0"/>
      <w:marTop w:val="0"/>
      <w:marBottom w:val="0"/>
      <w:divBdr>
        <w:top w:val="none" w:sz="0" w:space="0" w:color="auto"/>
        <w:left w:val="none" w:sz="0" w:space="0" w:color="auto"/>
        <w:bottom w:val="none" w:sz="0" w:space="0" w:color="auto"/>
        <w:right w:val="none" w:sz="0" w:space="0" w:color="auto"/>
      </w:divBdr>
    </w:div>
    <w:div w:id="1086535757">
      <w:bodyDiv w:val="1"/>
      <w:marLeft w:val="0"/>
      <w:marRight w:val="0"/>
      <w:marTop w:val="0"/>
      <w:marBottom w:val="0"/>
      <w:divBdr>
        <w:top w:val="none" w:sz="0" w:space="0" w:color="auto"/>
        <w:left w:val="none" w:sz="0" w:space="0" w:color="auto"/>
        <w:bottom w:val="none" w:sz="0" w:space="0" w:color="auto"/>
        <w:right w:val="none" w:sz="0" w:space="0" w:color="auto"/>
      </w:divBdr>
    </w:div>
    <w:div w:id="1086918798">
      <w:bodyDiv w:val="1"/>
      <w:marLeft w:val="0"/>
      <w:marRight w:val="0"/>
      <w:marTop w:val="0"/>
      <w:marBottom w:val="0"/>
      <w:divBdr>
        <w:top w:val="none" w:sz="0" w:space="0" w:color="auto"/>
        <w:left w:val="none" w:sz="0" w:space="0" w:color="auto"/>
        <w:bottom w:val="none" w:sz="0" w:space="0" w:color="auto"/>
        <w:right w:val="none" w:sz="0" w:space="0" w:color="auto"/>
      </w:divBdr>
    </w:div>
    <w:div w:id="1088883916">
      <w:bodyDiv w:val="1"/>
      <w:marLeft w:val="0"/>
      <w:marRight w:val="0"/>
      <w:marTop w:val="0"/>
      <w:marBottom w:val="0"/>
      <w:divBdr>
        <w:top w:val="none" w:sz="0" w:space="0" w:color="auto"/>
        <w:left w:val="none" w:sz="0" w:space="0" w:color="auto"/>
        <w:bottom w:val="none" w:sz="0" w:space="0" w:color="auto"/>
        <w:right w:val="none" w:sz="0" w:space="0" w:color="auto"/>
      </w:divBdr>
    </w:div>
    <w:div w:id="1088889559">
      <w:bodyDiv w:val="1"/>
      <w:marLeft w:val="0"/>
      <w:marRight w:val="0"/>
      <w:marTop w:val="0"/>
      <w:marBottom w:val="0"/>
      <w:divBdr>
        <w:top w:val="none" w:sz="0" w:space="0" w:color="auto"/>
        <w:left w:val="none" w:sz="0" w:space="0" w:color="auto"/>
        <w:bottom w:val="none" w:sz="0" w:space="0" w:color="auto"/>
        <w:right w:val="none" w:sz="0" w:space="0" w:color="auto"/>
      </w:divBdr>
    </w:div>
    <w:div w:id="1090005046">
      <w:bodyDiv w:val="1"/>
      <w:marLeft w:val="0"/>
      <w:marRight w:val="0"/>
      <w:marTop w:val="0"/>
      <w:marBottom w:val="0"/>
      <w:divBdr>
        <w:top w:val="none" w:sz="0" w:space="0" w:color="auto"/>
        <w:left w:val="none" w:sz="0" w:space="0" w:color="auto"/>
        <w:bottom w:val="none" w:sz="0" w:space="0" w:color="auto"/>
        <w:right w:val="none" w:sz="0" w:space="0" w:color="auto"/>
      </w:divBdr>
    </w:div>
    <w:div w:id="1091968455">
      <w:bodyDiv w:val="1"/>
      <w:marLeft w:val="0"/>
      <w:marRight w:val="0"/>
      <w:marTop w:val="0"/>
      <w:marBottom w:val="0"/>
      <w:divBdr>
        <w:top w:val="none" w:sz="0" w:space="0" w:color="auto"/>
        <w:left w:val="none" w:sz="0" w:space="0" w:color="auto"/>
        <w:bottom w:val="none" w:sz="0" w:space="0" w:color="auto"/>
        <w:right w:val="none" w:sz="0" w:space="0" w:color="auto"/>
      </w:divBdr>
    </w:div>
    <w:div w:id="1094936763">
      <w:bodyDiv w:val="1"/>
      <w:marLeft w:val="0"/>
      <w:marRight w:val="0"/>
      <w:marTop w:val="0"/>
      <w:marBottom w:val="0"/>
      <w:divBdr>
        <w:top w:val="none" w:sz="0" w:space="0" w:color="auto"/>
        <w:left w:val="none" w:sz="0" w:space="0" w:color="auto"/>
        <w:bottom w:val="none" w:sz="0" w:space="0" w:color="auto"/>
        <w:right w:val="none" w:sz="0" w:space="0" w:color="auto"/>
      </w:divBdr>
    </w:div>
    <w:div w:id="1102994180">
      <w:bodyDiv w:val="1"/>
      <w:marLeft w:val="0"/>
      <w:marRight w:val="0"/>
      <w:marTop w:val="0"/>
      <w:marBottom w:val="0"/>
      <w:divBdr>
        <w:top w:val="none" w:sz="0" w:space="0" w:color="auto"/>
        <w:left w:val="none" w:sz="0" w:space="0" w:color="auto"/>
        <w:bottom w:val="none" w:sz="0" w:space="0" w:color="auto"/>
        <w:right w:val="none" w:sz="0" w:space="0" w:color="auto"/>
      </w:divBdr>
    </w:div>
    <w:div w:id="1103301023">
      <w:bodyDiv w:val="1"/>
      <w:marLeft w:val="0"/>
      <w:marRight w:val="0"/>
      <w:marTop w:val="0"/>
      <w:marBottom w:val="0"/>
      <w:divBdr>
        <w:top w:val="none" w:sz="0" w:space="0" w:color="auto"/>
        <w:left w:val="none" w:sz="0" w:space="0" w:color="auto"/>
        <w:bottom w:val="none" w:sz="0" w:space="0" w:color="auto"/>
        <w:right w:val="none" w:sz="0" w:space="0" w:color="auto"/>
      </w:divBdr>
    </w:div>
    <w:div w:id="1103527260">
      <w:bodyDiv w:val="1"/>
      <w:marLeft w:val="0"/>
      <w:marRight w:val="0"/>
      <w:marTop w:val="0"/>
      <w:marBottom w:val="0"/>
      <w:divBdr>
        <w:top w:val="none" w:sz="0" w:space="0" w:color="auto"/>
        <w:left w:val="none" w:sz="0" w:space="0" w:color="auto"/>
        <w:bottom w:val="none" w:sz="0" w:space="0" w:color="auto"/>
        <w:right w:val="none" w:sz="0" w:space="0" w:color="auto"/>
      </w:divBdr>
    </w:div>
    <w:div w:id="1103645402">
      <w:bodyDiv w:val="1"/>
      <w:marLeft w:val="0"/>
      <w:marRight w:val="0"/>
      <w:marTop w:val="0"/>
      <w:marBottom w:val="0"/>
      <w:divBdr>
        <w:top w:val="none" w:sz="0" w:space="0" w:color="auto"/>
        <w:left w:val="none" w:sz="0" w:space="0" w:color="auto"/>
        <w:bottom w:val="none" w:sz="0" w:space="0" w:color="auto"/>
        <w:right w:val="none" w:sz="0" w:space="0" w:color="auto"/>
      </w:divBdr>
    </w:div>
    <w:div w:id="1108768513">
      <w:bodyDiv w:val="1"/>
      <w:marLeft w:val="0"/>
      <w:marRight w:val="0"/>
      <w:marTop w:val="0"/>
      <w:marBottom w:val="0"/>
      <w:divBdr>
        <w:top w:val="none" w:sz="0" w:space="0" w:color="auto"/>
        <w:left w:val="none" w:sz="0" w:space="0" w:color="auto"/>
        <w:bottom w:val="none" w:sz="0" w:space="0" w:color="auto"/>
        <w:right w:val="none" w:sz="0" w:space="0" w:color="auto"/>
      </w:divBdr>
    </w:div>
    <w:div w:id="1109813853">
      <w:bodyDiv w:val="1"/>
      <w:marLeft w:val="0"/>
      <w:marRight w:val="0"/>
      <w:marTop w:val="0"/>
      <w:marBottom w:val="0"/>
      <w:divBdr>
        <w:top w:val="none" w:sz="0" w:space="0" w:color="auto"/>
        <w:left w:val="none" w:sz="0" w:space="0" w:color="auto"/>
        <w:bottom w:val="none" w:sz="0" w:space="0" w:color="auto"/>
        <w:right w:val="none" w:sz="0" w:space="0" w:color="auto"/>
      </w:divBdr>
    </w:div>
    <w:div w:id="1110515270">
      <w:bodyDiv w:val="1"/>
      <w:marLeft w:val="0"/>
      <w:marRight w:val="0"/>
      <w:marTop w:val="0"/>
      <w:marBottom w:val="0"/>
      <w:divBdr>
        <w:top w:val="none" w:sz="0" w:space="0" w:color="auto"/>
        <w:left w:val="none" w:sz="0" w:space="0" w:color="auto"/>
        <w:bottom w:val="none" w:sz="0" w:space="0" w:color="auto"/>
        <w:right w:val="none" w:sz="0" w:space="0" w:color="auto"/>
      </w:divBdr>
    </w:div>
    <w:div w:id="1111391039">
      <w:bodyDiv w:val="1"/>
      <w:marLeft w:val="0"/>
      <w:marRight w:val="0"/>
      <w:marTop w:val="0"/>
      <w:marBottom w:val="0"/>
      <w:divBdr>
        <w:top w:val="none" w:sz="0" w:space="0" w:color="auto"/>
        <w:left w:val="none" w:sz="0" w:space="0" w:color="auto"/>
        <w:bottom w:val="none" w:sz="0" w:space="0" w:color="auto"/>
        <w:right w:val="none" w:sz="0" w:space="0" w:color="auto"/>
      </w:divBdr>
    </w:div>
    <w:div w:id="1116604568">
      <w:bodyDiv w:val="1"/>
      <w:marLeft w:val="0"/>
      <w:marRight w:val="0"/>
      <w:marTop w:val="0"/>
      <w:marBottom w:val="0"/>
      <w:divBdr>
        <w:top w:val="none" w:sz="0" w:space="0" w:color="auto"/>
        <w:left w:val="none" w:sz="0" w:space="0" w:color="auto"/>
        <w:bottom w:val="none" w:sz="0" w:space="0" w:color="auto"/>
        <w:right w:val="none" w:sz="0" w:space="0" w:color="auto"/>
      </w:divBdr>
    </w:div>
    <w:div w:id="1120102889">
      <w:bodyDiv w:val="1"/>
      <w:marLeft w:val="0"/>
      <w:marRight w:val="0"/>
      <w:marTop w:val="0"/>
      <w:marBottom w:val="0"/>
      <w:divBdr>
        <w:top w:val="none" w:sz="0" w:space="0" w:color="auto"/>
        <w:left w:val="none" w:sz="0" w:space="0" w:color="auto"/>
        <w:bottom w:val="none" w:sz="0" w:space="0" w:color="auto"/>
        <w:right w:val="none" w:sz="0" w:space="0" w:color="auto"/>
      </w:divBdr>
    </w:div>
    <w:div w:id="1122308656">
      <w:bodyDiv w:val="1"/>
      <w:marLeft w:val="0"/>
      <w:marRight w:val="0"/>
      <w:marTop w:val="0"/>
      <w:marBottom w:val="0"/>
      <w:divBdr>
        <w:top w:val="none" w:sz="0" w:space="0" w:color="auto"/>
        <w:left w:val="none" w:sz="0" w:space="0" w:color="auto"/>
        <w:bottom w:val="none" w:sz="0" w:space="0" w:color="auto"/>
        <w:right w:val="none" w:sz="0" w:space="0" w:color="auto"/>
      </w:divBdr>
    </w:div>
    <w:div w:id="1150168614">
      <w:bodyDiv w:val="1"/>
      <w:marLeft w:val="0"/>
      <w:marRight w:val="0"/>
      <w:marTop w:val="0"/>
      <w:marBottom w:val="0"/>
      <w:divBdr>
        <w:top w:val="none" w:sz="0" w:space="0" w:color="auto"/>
        <w:left w:val="none" w:sz="0" w:space="0" w:color="auto"/>
        <w:bottom w:val="none" w:sz="0" w:space="0" w:color="auto"/>
        <w:right w:val="none" w:sz="0" w:space="0" w:color="auto"/>
      </w:divBdr>
    </w:div>
    <w:div w:id="1150287896">
      <w:bodyDiv w:val="1"/>
      <w:marLeft w:val="0"/>
      <w:marRight w:val="0"/>
      <w:marTop w:val="0"/>
      <w:marBottom w:val="0"/>
      <w:divBdr>
        <w:top w:val="none" w:sz="0" w:space="0" w:color="auto"/>
        <w:left w:val="none" w:sz="0" w:space="0" w:color="auto"/>
        <w:bottom w:val="none" w:sz="0" w:space="0" w:color="auto"/>
        <w:right w:val="none" w:sz="0" w:space="0" w:color="auto"/>
      </w:divBdr>
    </w:div>
    <w:div w:id="1153831400">
      <w:bodyDiv w:val="1"/>
      <w:marLeft w:val="0"/>
      <w:marRight w:val="0"/>
      <w:marTop w:val="0"/>
      <w:marBottom w:val="0"/>
      <w:divBdr>
        <w:top w:val="none" w:sz="0" w:space="0" w:color="auto"/>
        <w:left w:val="none" w:sz="0" w:space="0" w:color="auto"/>
        <w:bottom w:val="none" w:sz="0" w:space="0" w:color="auto"/>
        <w:right w:val="none" w:sz="0" w:space="0" w:color="auto"/>
      </w:divBdr>
    </w:div>
    <w:div w:id="1159538490">
      <w:bodyDiv w:val="1"/>
      <w:marLeft w:val="0"/>
      <w:marRight w:val="0"/>
      <w:marTop w:val="0"/>
      <w:marBottom w:val="0"/>
      <w:divBdr>
        <w:top w:val="none" w:sz="0" w:space="0" w:color="auto"/>
        <w:left w:val="none" w:sz="0" w:space="0" w:color="auto"/>
        <w:bottom w:val="none" w:sz="0" w:space="0" w:color="auto"/>
        <w:right w:val="none" w:sz="0" w:space="0" w:color="auto"/>
      </w:divBdr>
    </w:div>
    <w:div w:id="1161190840">
      <w:bodyDiv w:val="1"/>
      <w:marLeft w:val="0"/>
      <w:marRight w:val="0"/>
      <w:marTop w:val="0"/>
      <w:marBottom w:val="0"/>
      <w:divBdr>
        <w:top w:val="none" w:sz="0" w:space="0" w:color="auto"/>
        <w:left w:val="none" w:sz="0" w:space="0" w:color="auto"/>
        <w:bottom w:val="none" w:sz="0" w:space="0" w:color="auto"/>
        <w:right w:val="none" w:sz="0" w:space="0" w:color="auto"/>
      </w:divBdr>
    </w:div>
    <w:div w:id="1163811882">
      <w:bodyDiv w:val="1"/>
      <w:marLeft w:val="0"/>
      <w:marRight w:val="0"/>
      <w:marTop w:val="0"/>
      <w:marBottom w:val="0"/>
      <w:divBdr>
        <w:top w:val="none" w:sz="0" w:space="0" w:color="auto"/>
        <w:left w:val="none" w:sz="0" w:space="0" w:color="auto"/>
        <w:bottom w:val="none" w:sz="0" w:space="0" w:color="auto"/>
        <w:right w:val="none" w:sz="0" w:space="0" w:color="auto"/>
      </w:divBdr>
    </w:div>
    <w:div w:id="1172992847">
      <w:bodyDiv w:val="1"/>
      <w:marLeft w:val="0"/>
      <w:marRight w:val="0"/>
      <w:marTop w:val="0"/>
      <w:marBottom w:val="0"/>
      <w:divBdr>
        <w:top w:val="none" w:sz="0" w:space="0" w:color="auto"/>
        <w:left w:val="none" w:sz="0" w:space="0" w:color="auto"/>
        <w:bottom w:val="none" w:sz="0" w:space="0" w:color="auto"/>
        <w:right w:val="none" w:sz="0" w:space="0" w:color="auto"/>
      </w:divBdr>
    </w:div>
    <w:div w:id="1173685505">
      <w:bodyDiv w:val="1"/>
      <w:marLeft w:val="0"/>
      <w:marRight w:val="0"/>
      <w:marTop w:val="0"/>
      <w:marBottom w:val="0"/>
      <w:divBdr>
        <w:top w:val="none" w:sz="0" w:space="0" w:color="auto"/>
        <w:left w:val="none" w:sz="0" w:space="0" w:color="auto"/>
        <w:bottom w:val="none" w:sz="0" w:space="0" w:color="auto"/>
        <w:right w:val="none" w:sz="0" w:space="0" w:color="auto"/>
      </w:divBdr>
    </w:div>
    <w:div w:id="1174371222">
      <w:bodyDiv w:val="1"/>
      <w:marLeft w:val="0"/>
      <w:marRight w:val="0"/>
      <w:marTop w:val="0"/>
      <w:marBottom w:val="0"/>
      <w:divBdr>
        <w:top w:val="none" w:sz="0" w:space="0" w:color="auto"/>
        <w:left w:val="none" w:sz="0" w:space="0" w:color="auto"/>
        <w:bottom w:val="none" w:sz="0" w:space="0" w:color="auto"/>
        <w:right w:val="none" w:sz="0" w:space="0" w:color="auto"/>
      </w:divBdr>
    </w:div>
    <w:div w:id="1178621760">
      <w:bodyDiv w:val="1"/>
      <w:marLeft w:val="0"/>
      <w:marRight w:val="0"/>
      <w:marTop w:val="0"/>
      <w:marBottom w:val="0"/>
      <w:divBdr>
        <w:top w:val="none" w:sz="0" w:space="0" w:color="auto"/>
        <w:left w:val="none" w:sz="0" w:space="0" w:color="auto"/>
        <w:bottom w:val="none" w:sz="0" w:space="0" w:color="auto"/>
        <w:right w:val="none" w:sz="0" w:space="0" w:color="auto"/>
      </w:divBdr>
    </w:div>
    <w:div w:id="1183321516">
      <w:bodyDiv w:val="1"/>
      <w:marLeft w:val="0"/>
      <w:marRight w:val="0"/>
      <w:marTop w:val="0"/>
      <w:marBottom w:val="0"/>
      <w:divBdr>
        <w:top w:val="none" w:sz="0" w:space="0" w:color="auto"/>
        <w:left w:val="none" w:sz="0" w:space="0" w:color="auto"/>
        <w:bottom w:val="none" w:sz="0" w:space="0" w:color="auto"/>
        <w:right w:val="none" w:sz="0" w:space="0" w:color="auto"/>
      </w:divBdr>
    </w:div>
    <w:div w:id="1186560530">
      <w:bodyDiv w:val="1"/>
      <w:marLeft w:val="0"/>
      <w:marRight w:val="0"/>
      <w:marTop w:val="0"/>
      <w:marBottom w:val="0"/>
      <w:divBdr>
        <w:top w:val="none" w:sz="0" w:space="0" w:color="auto"/>
        <w:left w:val="none" w:sz="0" w:space="0" w:color="auto"/>
        <w:bottom w:val="none" w:sz="0" w:space="0" w:color="auto"/>
        <w:right w:val="none" w:sz="0" w:space="0" w:color="auto"/>
      </w:divBdr>
    </w:div>
    <w:div w:id="1187987747">
      <w:bodyDiv w:val="1"/>
      <w:marLeft w:val="0"/>
      <w:marRight w:val="0"/>
      <w:marTop w:val="0"/>
      <w:marBottom w:val="0"/>
      <w:divBdr>
        <w:top w:val="none" w:sz="0" w:space="0" w:color="auto"/>
        <w:left w:val="none" w:sz="0" w:space="0" w:color="auto"/>
        <w:bottom w:val="none" w:sz="0" w:space="0" w:color="auto"/>
        <w:right w:val="none" w:sz="0" w:space="0" w:color="auto"/>
      </w:divBdr>
    </w:div>
    <w:div w:id="1189948960">
      <w:bodyDiv w:val="1"/>
      <w:marLeft w:val="0"/>
      <w:marRight w:val="0"/>
      <w:marTop w:val="0"/>
      <w:marBottom w:val="0"/>
      <w:divBdr>
        <w:top w:val="none" w:sz="0" w:space="0" w:color="auto"/>
        <w:left w:val="none" w:sz="0" w:space="0" w:color="auto"/>
        <w:bottom w:val="none" w:sz="0" w:space="0" w:color="auto"/>
        <w:right w:val="none" w:sz="0" w:space="0" w:color="auto"/>
      </w:divBdr>
    </w:div>
    <w:div w:id="1190216135">
      <w:bodyDiv w:val="1"/>
      <w:marLeft w:val="0"/>
      <w:marRight w:val="0"/>
      <w:marTop w:val="0"/>
      <w:marBottom w:val="0"/>
      <w:divBdr>
        <w:top w:val="none" w:sz="0" w:space="0" w:color="auto"/>
        <w:left w:val="none" w:sz="0" w:space="0" w:color="auto"/>
        <w:bottom w:val="none" w:sz="0" w:space="0" w:color="auto"/>
        <w:right w:val="none" w:sz="0" w:space="0" w:color="auto"/>
      </w:divBdr>
    </w:div>
    <w:div w:id="1191214246">
      <w:bodyDiv w:val="1"/>
      <w:marLeft w:val="0"/>
      <w:marRight w:val="0"/>
      <w:marTop w:val="0"/>
      <w:marBottom w:val="0"/>
      <w:divBdr>
        <w:top w:val="none" w:sz="0" w:space="0" w:color="auto"/>
        <w:left w:val="none" w:sz="0" w:space="0" w:color="auto"/>
        <w:bottom w:val="none" w:sz="0" w:space="0" w:color="auto"/>
        <w:right w:val="none" w:sz="0" w:space="0" w:color="auto"/>
      </w:divBdr>
    </w:div>
    <w:div w:id="1193878187">
      <w:bodyDiv w:val="1"/>
      <w:marLeft w:val="0"/>
      <w:marRight w:val="0"/>
      <w:marTop w:val="0"/>
      <w:marBottom w:val="0"/>
      <w:divBdr>
        <w:top w:val="none" w:sz="0" w:space="0" w:color="auto"/>
        <w:left w:val="none" w:sz="0" w:space="0" w:color="auto"/>
        <w:bottom w:val="none" w:sz="0" w:space="0" w:color="auto"/>
        <w:right w:val="none" w:sz="0" w:space="0" w:color="auto"/>
      </w:divBdr>
    </w:div>
    <w:div w:id="1196163684">
      <w:bodyDiv w:val="1"/>
      <w:marLeft w:val="0"/>
      <w:marRight w:val="0"/>
      <w:marTop w:val="0"/>
      <w:marBottom w:val="0"/>
      <w:divBdr>
        <w:top w:val="none" w:sz="0" w:space="0" w:color="auto"/>
        <w:left w:val="none" w:sz="0" w:space="0" w:color="auto"/>
        <w:bottom w:val="none" w:sz="0" w:space="0" w:color="auto"/>
        <w:right w:val="none" w:sz="0" w:space="0" w:color="auto"/>
      </w:divBdr>
    </w:div>
    <w:div w:id="1196654391">
      <w:bodyDiv w:val="1"/>
      <w:marLeft w:val="0"/>
      <w:marRight w:val="0"/>
      <w:marTop w:val="0"/>
      <w:marBottom w:val="0"/>
      <w:divBdr>
        <w:top w:val="none" w:sz="0" w:space="0" w:color="auto"/>
        <w:left w:val="none" w:sz="0" w:space="0" w:color="auto"/>
        <w:bottom w:val="none" w:sz="0" w:space="0" w:color="auto"/>
        <w:right w:val="none" w:sz="0" w:space="0" w:color="auto"/>
      </w:divBdr>
    </w:div>
    <w:div w:id="1199705389">
      <w:bodyDiv w:val="1"/>
      <w:marLeft w:val="0"/>
      <w:marRight w:val="0"/>
      <w:marTop w:val="0"/>
      <w:marBottom w:val="0"/>
      <w:divBdr>
        <w:top w:val="none" w:sz="0" w:space="0" w:color="auto"/>
        <w:left w:val="none" w:sz="0" w:space="0" w:color="auto"/>
        <w:bottom w:val="none" w:sz="0" w:space="0" w:color="auto"/>
        <w:right w:val="none" w:sz="0" w:space="0" w:color="auto"/>
      </w:divBdr>
    </w:div>
    <w:div w:id="1199927525">
      <w:bodyDiv w:val="1"/>
      <w:marLeft w:val="0"/>
      <w:marRight w:val="0"/>
      <w:marTop w:val="0"/>
      <w:marBottom w:val="0"/>
      <w:divBdr>
        <w:top w:val="none" w:sz="0" w:space="0" w:color="auto"/>
        <w:left w:val="none" w:sz="0" w:space="0" w:color="auto"/>
        <w:bottom w:val="none" w:sz="0" w:space="0" w:color="auto"/>
        <w:right w:val="none" w:sz="0" w:space="0" w:color="auto"/>
      </w:divBdr>
    </w:div>
    <w:div w:id="1201671890">
      <w:bodyDiv w:val="1"/>
      <w:marLeft w:val="0"/>
      <w:marRight w:val="0"/>
      <w:marTop w:val="0"/>
      <w:marBottom w:val="0"/>
      <w:divBdr>
        <w:top w:val="none" w:sz="0" w:space="0" w:color="auto"/>
        <w:left w:val="none" w:sz="0" w:space="0" w:color="auto"/>
        <w:bottom w:val="none" w:sz="0" w:space="0" w:color="auto"/>
        <w:right w:val="none" w:sz="0" w:space="0" w:color="auto"/>
      </w:divBdr>
    </w:div>
    <w:div w:id="1202132717">
      <w:bodyDiv w:val="1"/>
      <w:marLeft w:val="0"/>
      <w:marRight w:val="0"/>
      <w:marTop w:val="0"/>
      <w:marBottom w:val="0"/>
      <w:divBdr>
        <w:top w:val="none" w:sz="0" w:space="0" w:color="auto"/>
        <w:left w:val="none" w:sz="0" w:space="0" w:color="auto"/>
        <w:bottom w:val="none" w:sz="0" w:space="0" w:color="auto"/>
        <w:right w:val="none" w:sz="0" w:space="0" w:color="auto"/>
      </w:divBdr>
    </w:div>
    <w:div w:id="1204100804">
      <w:bodyDiv w:val="1"/>
      <w:marLeft w:val="0"/>
      <w:marRight w:val="0"/>
      <w:marTop w:val="0"/>
      <w:marBottom w:val="0"/>
      <w:divBdr>
        <w:top w:val="none" w:sz="0" w:space="0" w:color="auto"/>
        <w:left w:val="none" w:sz="0" w:space="0" w:color="auto"/>
        <w:bottom w:val="none" w:sz="0" w:space="0" w:color="auto"/>
        <w:right w:val="none" w:sz="0" w:space="0" w:color="auto"/>
      </w:divBdr>
    </w:div>
    <w:div w:id="1204711271">
      <w:bodyDiv w:val="1"/>
      <w:marLeft w:val="0"/>
      <w:marRight w:val="0"/>
      <w:marTop w:val="0"/>
      <w:marBottom w:val="0"/>
      <w:divBdr>
        <w:top w:val="none" w:sz="0" w:space="0" w:color="auto"/>
        <w:left w:val="none" w:sz="0" w:space="0" w:color="auto"/>
        <w:bottom w:val="none" w:sz="0" w:space="0" w:color="auto"/>
        <w:right w:val="none" w:sz="0" w:space="0" w:color="auto"/>
      </w:divBdr>
    </w:div>
    <w:div w:id="1208251342">
      <w:bodyDiv w:val="1"/>
      <w:marLeft w:val="0"/>
      <w:marRight w:val="0"/>
      <w:marTop w:val="0"/>
      <w:marBottom w:val="0"/>
      <w:divBdr>
        <w:top w:val="none" w:sz="0" w:space="0" w:color="auto"/>
        <w:left w:val="none" w:sz="0" w:space="0" w:color="auto"/>
        <w:bottom w:val="none" w:sz="0" w:space="0" w:color="auto"/>
        <w:right w:val="none" w:sz="0" w:space="0" w:color="auto"/>
      </w:divBdr>
    </w:div>
    <w:div w:id="1208300947">
      <w:bodyDiv w:val="1"/>
      <w:marLeft w:val="0"/>
      <w:marRight w:val="0"/>
      <w:marTop w:val="0"/>
      <w:marBottom w:val="0"/>
      <w:divBdr>
        <w:top w:val="none" w:sz="0" w:space="0" w:color="auto"/>
        <w:left w:val="none" w:sz="0" w:space="0" w:color="auto"/>
        <w:bottom w:val="none" w:sz="0" w:space="0" w:color="auto"/>
        <w:right w:val="none" w:sz="0" w:space="0" w:color="auto"/>
      </w:divBdr>
    </w:div>
    <w:div w:id="1212840124">
      <w:bodyDiv w:val="1"/>
      <w:marLeft w:val="0"/>
      <w:marRight w:val="0"/>
      <w:marTop w:val="0"/>
      <w:marBottom w:val="0"/>
      <w:divBdr>
        <w:top w:val="none" w:sz="0" w:space="0" w:color="auto"/>
        <w:left w:val="none" w:sz="0" w:space="0" w:color="auto"/>
        <w:bottom w:val="none" w:sz="0" w:space="0" w:color="auto"/>
        <w:right w:val="none" w:sz="0" w:space="0" w:color="auto"/>
      </w:divBdr>
    </w:div>
    <w:div w:id="1213149950">
      <w:bodyDiv w:val="1"/>
      <w:marLeft w:val="0"/>
      <w:marRight w:val="0"/>
      <w:marTop w:val="0"/>
      <w:marBottom w:val="0"/>
      <w:divBdr>
        <w:top w:val="none" w:sz="0" w:space="0" w:color="auto"/>
        <w:left w:val="none" w:sz="0" w:space="0" w:color="auto"/>
        <w:bottom w:val="none" w:sz="0" w:space="0" w:color="auto"/>
        <w:right w:val="none" w:sz="0" w:space="0" w:color="auto"/>
      </w:divBdr>
    </w:div>
    <w:div w:id="1216547675">
      <w:bodyDiv w:val="1"/>
      <w:marLeft w:val="0"/>
      <w:marRight w:val="0"/>
      <w:marTop w:val="0"/>
      <w:marBottom w:val="0"/>
      <w:divBdr>
        <w:top w:val="none" w:sz="0" w:space="0" w:color="auto"/>
        <w:left w:val="none" w:sz="0" w:space="0" w:color="auto"/>
        <w:bottom w:val="none" w:sz="0" w:space="0" w:color="auto"/>
        <w:right w:val="none" w:sz="0" w:space="0" w:color="auto"/>
      </w:divBdr>
    </w:div>
    <w:div w:id="1218323682">
      <w:bodyDiv w:val="1"/>
      <w:marLeft w:val="0"/>
      <w:marRight w:val="0"/>
      <w:marTop w:val="0"/>
      <w:marBottom w:val="0"/>
      <w:divBdr>
        <w:top w:val="none" w:sz="0" w:space="0" w:color="auto"/>
        <w:left w:val="none" w:sz="0" w:space="0" w:color="auto"/>
        <w:bottom w:val="none" w:sz="0" w:space="0" w:color="auto"/>
        <w:right w:val="none" w:sz="0" w:space="0" w:color="auto"/>
      </w:divBdr>
    </w:div>
    <w:div w:id="1220902830">
      <w:bodyDiv w:val="1"/>
      <w:marLeft w:val="0"/>
      <w:marRight w:val="0"/>
      <w:marTop w:val="0"/>
      <w:marBottom w:val="0"/>
      <w:divBdr>
        <w:top w:val="none" w:sz="0" w:space="0" w:color="auto"/>
        <w:left w:val="none" w:sz="0" w:space="0" w:color="auto"/>
        <w:bottom w:val="none" w:sz="0" w:space="0" w:color="auto"/>
        <w:right w:val="none" w:sz="0" w:space="0" w:color="auto"/>
      </w:divBdr>
    </w:div>
    <w:div w:id="1221288817">
      <w:bodyDiv w:val="1"/>
      <w:marLeft w:val="0"/>
      <w:marRight w:val="0"/>
      <w:marTop w:val="0"/>
      <w:marBottom w:val="0"/>
      <w:divBdr>
        <w:top w:val="none" w:sz="0" w:space="0" w:color="auto"/>
        <w:left w:val="none" w:sz="0" w:space="0" w:color="auto"/>
        <w:bottom w:val="none" w:sz="0" w:space="0" w:color="auto"/>
        <w:right w:val="none" w:sz="0" w:space="0" w:color="auto"/>
      </w:divBdr>
    </w:div>
    <w:div w:id="1222249262">
      <w:bodyDiv w:val="1"/>
      <w:marLeft w:val="0"/>
      <w:marRight w:val="0"/>
      <w:marTop w:val="0"/>
      <w:marBottom w:val="0"/>
      <w:divBdr>
        <w:top w:val="none" w:sz="0" w:space="0" w:color="auto"/>
        <w:left w:val="none" w:sz="0" w:space="0" w:color="auto"/>
        <w:bottom w:val="none" w:sz="0" w:space="0" w:color="auto"/>
        <w:right w:val="none" w:sz="0" w:space="0" w:color="auto"/>
      </w:divBdr>
    </w:div>
    <w:div w:id="1224874204">
      <w:bodyDiv w:val="1"/>
      <w:marLeft w:val="0"/>
      <w:marRight w:val="0"/>
      <w:marTop w:val="0"/>
      <w:marBottom w:val="0"/>
      <w:divBdr>
        <w:top w:val="none" w:sz="0" w:space="0" w:color="auto"/>
        <w:left w:val="none" w:sz="0" w:space="0" w:color="auto"/>
        <w:bottom w:val="none" w:sz="0" w:space="0" w:color="auto"/>
        <w:right w:val="none" w:sz="0" w:space="0" w:color="auto"/>
      </w:divBdr>
    </w:div>
    <w:div w:id="1239635827">
      <w:bodyDiv w:val="1"/>
      <w:marLeft w:val="0"/>
      <w:marRight w:val="0"/>
      <w:marTop w:val="0"/>
      <w:marBottom w:val="0"/>
      <w:divBdr>
        <w:top w:val="none" w:sz="0" w:space="0" w:color="auto"/>
        <w:left w:val="none" w:sz="0" w:space="0" w:color="auto"/>
        <w:bottom w:val="none" w:sz="0" w:space="0" w:color="auto"/>
        <w:right w:val="none" w:sz="0" w:space="0" w:color="auto"/>
      </w:divBdr>
    </w:div>
    <w:div w:id="1240215139">
      <w:bodyDiv w:val="1"/>
      <w:marLeft w:val="0"/>
      <w:marRight w:val="0"/>
      <w:marTop w:val="0"/>
      <w:marBottom w:val="0"/>
      <w:divBdr>
        <w:top w:val="none" w:sz="0" w:space="0" w:color="auto"/>
        <w:left w:val="none" w:sz="0" w:space="0" w:color="auto"/>
        <w:bottom w:val="none" w:sz="0" w:space="0" w:color="auto"/>
        <w:right w:val="none" w:sz="0" w:space="0" w:color="auto"/>
      </w:divBdr>
    </w:div>
    <w:div w:id="1241022069">
      <w:bodyDiv w:val="1"/>
      <w:marLeft w:val="0"/>
      <w:marRight w:val="0"/>
      <w:marTop w:val="0"/>
      <w:marBottom w:val="0"/>
      <w:divBdr>
        <w:top w:val="none" w:sz="0" w:space="0" w:color="auto"/>
        <w:left w:val="none" w:sz="0" w:space="0" w:color="auto"/>
        <w:bottom w:val="none" w:sz="0" w:space="0" w:color="auto"/>
        <w:right w:val="none" w:sz="0" w:space="0" w:color="auto"/>
      </w:divBdr>
    </w:div>
    <w:div w:id="1247498832">
      <w:bodyDiv w:val="1"/>
      <w:marLeft w:val="0"/>
      <w:marRight w:val="0"/>
      <w:marTop w:val="0"/>
      <w:marBottom w:val="0"/>
      <w:divBdr>
        <w:top w:val="none" w:sz="0" w:space="0" w:color="auto"/>
        <w:left w:val="none" w:sz="0" w:space="0" w:color="auto"/>
        <w:bottom w:val="none" w:sz="0" w:space="0" w:color="auto"/>
        <w:right w:val="none" w:sz="0" w:space="0" w:color="auto"/>
      </w:divBdr>
    </w:div>
    <w:div w:id="1251810809">
      <w:bodyDiv w:val="1"/>
      <w:marLeft w:val="0"/>
      <w:marRight w:val="0"/>
      <w:marTop w:val="0"/>
      <w:marBottom w:val="0"/>
      <w:divBdr>
        <w:top w:val="none" w:sz="0" w:space="0" w:color="auto"/>
        <w:left w:val="none" w:sz="0" w:space="0" w:color="auto"/>
        <w:bottom w:val="none" w:sz="0" w:space="0" w:color="auto"/>
        <w:right w:val="none" w:sz="0" w:space="0" w:color="auto"/>
      </w:divBdr>
    </w:div>
    <w:div w:id="1251817486">
      <w:bodyDiv w:val="1"/>
      <w:marLeft w:val="0"/>
      <w:marRight w:val="0"/>
      <w:marTop w:val="0"/>
      <w:marBottom w:val="0"/>
      <w:divBdr>
        <w:top w:val="none" w:sz="0" w:space="0" w:color="auto"/>
        <w:left w:val="none" w:sz="0" w:space="0" w:color="auto"/>
        <w:bottom w:val="none" w:sz="0" w:space="0" w:color="auto"/>
        <w:right w:val="none" w:sz="0" w:space="0" w:color="auto"/>
      </w:divBdr>
    </w:div>
    <w:div w:id="1254977387">
      <w:bodyDiv w:val="1"/>
      <w:marLeft w:val="0"/>
      <w:marRight w:val="0"/>
      <w:marTop w:val="0"/>
      <w:marBottom w:val="0"/>
      <w:divBdr>
        <w:top w:val="none" w:sz="0" w:space="0" w:color="auto"/>
        <w:left w:val="none" w:sz="0" w:space="0" w:color="auto"/>
        <w:bottom w:val="none" w:sz="0" w:space="0" w:color="auto"/>
        <w:right w:val="none" w:sz="0" w:space="0" w:color="auto"/>
      </w:divBdr>
    </w:div>
    <w:div w:id="1257590671">
      <w:bodyDiv w:val="1"/>
      <w:marLeft w:val="0"/>
      <w:marRight w:val="0"/>
      <w:marTop w:val="0"/>
      <w:marBottom w:val="0"/>
      <w:divBdr>
        <w:top w:val="none" w:sz="0" w:space="0" w:color="auto"/>
        <w:left w:val="none" w:sz="0" w:space="0" w:color="auto"/>
        <w:bottom w:val="none" w:sz="0" w:space="0" w:color="auto"/>
        <w:right w:val="none" w:sz="0" w:space="0" w:color="auto"/>
      </w:divBdr>
    </w:div>
    <w:div w:id="1259098405">
      <w:bodyDiv w:val="1"/>
      <w:marLeft w:val="0"/>
      <w:marRight w:val="0"/>
      <w:marTop w:val="0"/>
      <w:marBottom w:val="0"/>
      <w:divBdr>
        <w:top w:val="none" w:sz="0" w:space="0" w:color="auto"/>
        <w:left w:val="none" w:sz="0" w:space="0" w:color="auto"/>
        <w:bottom w:val="none" w:sz="0" w:space="0" w:color="auto"/>
        <w:right w:val="none" w:sz="0" w:space="0" w:color="auto"/>
      </w:divBdr>
    </w:div>
    <w:div w:id="1261451621">
      <w:bodyDiv w:val="1"/>
      <w:marLeft w:val="0"/>
      <w:marRight w:val="0"/>
      <w:marTop w:val="0"/>
      <w:marBottom w:val="0"/>
      <w:divBdr>
        <w:top w:val="none" w:sz="0" w:space="0" w:color="auto"/>
        <w:left w:val="none" w:sz="0" w:space="0" w:color="auto"/>
        <w:bottom w:val="none" w:sz="0" w:space="0" w:color="auto"/>
        <w:right w:val="none" w:sz="0" w:space="0" w:color="auto"/>
      </w:divBdr>
    </w:div>
    <w:div w:id="1261643860">
      <w:bodyDiv w:val="1"/>
      <w:marLeft w:val="0"/>
      <w:marRight w:val="0"/>
      <w:marTop w:val="0"/>
      <w:marBottom w:val="0"/>
      <w:divBdr>
        <w:top w:val="none" w:sz="0" w:space="0" w:color="auto"/>
        <w:left w:val="none" w:sz="0" w:space="0" w:color="auto"/>
        <w:bottom w:val="none" w:sz="0" w:space="0" w:color="auto"/>
        <w:right w:val="none" w:sz="0" w:space="0" w:color="auto"/>
      </w:divBdr>
    </w:div>
    <w:div w:id="1262957355">
      <w:bodyDiv w:val="1"/>
      <w:marLeft w:val="0"/>
      <w:marRight w:val="0"/>
      <w:marTop w:val="0"/>
      <w:marBottom w:val="0"/>
      <w:divBdr>
        <w:top w:val="none" w:sz="0" w:space="0" w:color="auto"/>
        <w:left w:val="none" w:sz="0" w:space="0" w:color="auto"/>
        <w:bottom w:val="none" w:sz="0" w:space="0" w:color="auto"/>
        <w:right w:val="none" w:sz="0" w:space="0" w:color="auto"/>
      </w:divBdr>
    </w:div>
    <w:div w:id="1264340335">
      <w:bodyDiv w:val="1"/>
      <w:marLeft w:val="0"/>
      <w:marRight w:val="0"/>
      <w:marTop w:val="0"/>
      <w:marBottom w:val="0"/>
      <w:divBdr>
        <w:top w:val="none" w:sz="0" w:space="0" w:color="auto"/>
        <w:left w:val="none" w:sz="0" w:space="0" w:color="auto"/>
        <w:bottom w:val="none" w:sz="0" w:space="0" w:color="auto"/>
        <w:right w:val="none" w:sz="0" w:space="0" w:color="auto"/>
      </w:divBdr>
    </w:div>
    <w:div w:id="1266888156">
      <w:bodyDiv w:val="1"/>
      <w:marLeft w:val="0"/>
      <w:marRight w:val="0"/>
      <w:marTop w:val="0"/>
      <w:marBottom w:val="0"/>
      <w:divBdr>
        <w:top w:val="none" w:sz="0" w:space="0" w:color="auto"/>
        <w:left w:val="none" w:sz="0" w:space="0" w:color="auto"/>
        <w:bottom w:val="none" w:sz="0" w:space="0" w:color="auto"/>
        <w:right w:val="none" w:sz="0" w:space="0" w:color="auto"/>
      </w:divBdr>
    </w:div>
    <w:div w:id="1267420820">
      <w:bodyDiv w:val="1"/>
      <w:marLeft w:val="0"/>
      <w:marRight w:val="0"/>
      <w:marTop w:val="0"/>
      <w:marBottom w:val="0"/>
      <w:divBdr>
        <w:top w:val="none" w:sz="0" w:space="0" w:color="auto"/>
        <w:left w:val="none" w:sz="0" w:space="0" w:color="auto"/>
        <w:bottom w:val="none" w:sz="0" w:space="0" w:color="auto"/>
        <w:right w:val="none" w:sz="0" w:space="0" w:color="auto"/>
      </w:divBdr>
    </w:div>
    <w:div w:id="1268850602">
      <w:bodyDiv w:val="1"/>
      <w:marLeft w:val="0"/>
      <w:marRight w:val="0"/>
      <w:marTop w:val="0"/>
      <w:marBottom w:val="0"/>
      <w:divBdr>
        <w:top w:val="none" w:sz="0" w:space="0" w:color="auto"/>
        <w:left w:val="none" w:sz="0" w:space="0" w:color="auto"/>
        <w:bottom w:val="none" w:sz="0" w:space="0" w:color="auto"/>
        <w:right w:val="none" w:sz="0" w:space="0" w:color="auto"/>
      </w:divBdr>
    </w:div>
    <w:div w:id="1269118974">
      <w:bodyDiv w:val="1"/>
      <w:marLeft w:val="0"/>
      <w:marRight w:val="0"/>
      <w:marTop w:val="0"/>
      <w:marBottom w:val="0"/>
      <w:divBdr>
        <w:top w:val="none" w:sz="0" w:space="0" w:color="auto"/>
        <w:left w:val="none" w:sz="0" w:space="0" w:color="auto"/>
        <w:bottom w:val="none" w:sz="0" w:space="0" w:color="auto"/>
        <w:right w:val="none" w:sz="0" w:space="0" w:color="auto"/>
      </w:divBdr>
    </w:div>
    <w:div w:id="1270546899">
      <w:bodyDiv w:val="1"/>
      <w:marLeft w:val="0"/>
      <w:marRight w:val="0"/>
      <w:marTop w:val="0"/>
      <w:marBottom w:val="0"/>
      <w:divBdr>
        <w:top w:val="none" w:sz="0" w:space="0" w:color="auto"/>
        <w:left w:val="none" w:sz="0" w:space="0" w:color="auto"/>
        <w:bottom w:val="none" w:sz="0" w:space="0" w:color="auto"/>
        <w:right w:val="none" w:sz="0" w:space="0" w:color="auto"/>
      </w:divBdr>
    </w:div>
    <w:div w:id="1273131453">
      <w:bodyDiv w:val="1"/>
      <w:marLeft w:val="0"/>
      <w:marRight w:val="0"/>
      <w:marTop w:val="0"/>
      <w:marBottom w:val="0"/>
      <w:divBdr>
        <w:top w:val="none" w:sz="0" w:space="0" w:color="auto"/>
        <w:left w:val="none" w:sz="0" w:space="0" w:color="auto"/>
        <w:bottom w:val="none" w:sz="0" w:space="0" w:color="auto"/>
        <w:right w:val="none" w:sz="0" w:space="0" w:color="auto"/>
      </w:divBdr>
    </w:div>
    <w:div w:id="1273977455">
      <w:bodyDiv w:val="1"/>
      <w:marLeft w:val="0"/>
      <w:marRight w:val="0"/>
      <w:marTop w:val="0"/>
      <w:marBottom w:val="0"/>
      <w:divBdr>
        <w:top w:val="none" w:sz="0" w:space="0" w:color="auto"/>
        <w:left w:val="none" w:sz="0" w:space="0" w:color="auto"/>
        <w:bottom w:val="none" w:sz="0" w:space="0" w:color="auto"/>
        <w:right w:val="none" w:sz="0" w:space="0" w:color="auto"/>
      </w:divBdr>
    </w:div>
    <w:div w:id="1275093370">
      <w:bodyDiv w:val="1"/>
      <w:marLeft w:val="0"/>
      <w:marRight w:val="0"/>
      <w:marTop w:val="0"/>
      <w:marBottom w:val="0"/>
      <w:divBdr>
        <w:top w:val="none" w:sz="0" w:space="0" w:color="auto"/>
        <w:left w:val="none" w:sz="0" w:space="0" w:color="auto"/>
        <w:bottom w:val="none" w:sz="0" w:space="0" w:color="auto"/>
        <w:right w:val="none" w:sz="0" w:space="0" w:color="auto"/>
      </w:divBdr>
    </w:div>
    <w:div w:id="1277833272">
      <w:bodyDiv w:val="1"/>
      <w:marLeft w:val="0"/>
      <w:marRight w:val="0"/>
      <w:marTop w:val="0"/>
      <w:marBottom w:val="0"/>
      <w:divBdr>
        <w:top w:val="none" w:sz="0" w:space="0" w:color="auto"/>
        <w:left w:val="none" w:sz="0" w:space="0" w:color="auto"/>
        <w:bottom w:val="none" w:sz="0" w:space="0" w:color="auto"/>
        <w:right w:val="none" w:sz="0" w:space="0" w:color="auto"/>
      </w:divBdr>
    </w:div>
    <w:div w:id="1278098031">
      <w:bodyDiv w:val="1"/>
      <w:marLeft w:val="0"/>
      <w:marRight w:val="0"/>
      <w:marTop w:val="0"/>
      <w:marBottom w:val="0"/>
      <w:divBdr>
        <w:top w:val="none" w:sz="0" w:space="0" w:color="auto"/>
        <w:left w:val="none" w:sz="0" w:space="0" w:color="auto"/>
        <w:bottom w:val="none" w:sz="0" w:space="0" w:color="auto"/>
        <w:right w:val="none" w:sz="0" w:space="0" w:color="auto"/>
      </w:divBdr>
    </w:div>
    <w:div w:id="1281380450">
      <w:bodyDiv w:val="1"/>
      <w:marLeft w:val="0"/>
      <w:marRight w:val="0"/>
      <w:marTop w:val="0"/>
      <w:marBottom w:val="0"/>
      <w:divBdr>
        <w:top w:val="none" w:sz="0" w:space="0" w:color="auto"/>
        <w:left w:val="none" w:sz="0" w:space="0" w:color="auto"/>
        <w:bottom w:val="none" w:sz="0" w:space="0" w:color="auto"/>
        <w:right w:val="none" w:sz="0" w:space="0" w:color="auto"/>
      </w:divBdr>
    </w:div>
    <w:div w:id="1282885996">
      <w:bodyDiv w:val="1"/>
      <w:marLeft w:val="0"/>
      <w:marRight w:val="0"/>
      <w:marTop w:val="0"/>
      <w:marBottom w:val="0"/>
      <w:divBdr>
        <w:top w:val="none" w:sz="0" w:space="0" w:color="auto"/>
        <w:left w:val="none" w:sz="0" w:space="0" w:color="auto"/>
        <w:bottom w:val="none" w:sz="0" w:space="0" w:color="auto"/>
        <w:right w:val="none" w:sz="0" w:space="0" w:color="auto"/>
      </w:divBdr>
    </w:div>
    <w:div w:id="1283732871">
      <w:bodyDiv w:val="1"/>
      <w:marLeft w:val="0"/>
      <w:marRight w:val="0"/>
      <w:marTop w:val="0"/>
      <w:marBottom w:val="0"/>
      <w:divBdr>
        <w:top w:val="none" w:sz="0" w:space="0" w:color="auto"/>
        <w:left w:val="none" w:sz="0" w:space="0" w:color="auto"/>
        <w:bottom w:val="none" w:sz="0" w:space="0" w:color="auto"/>
        <w:right w:val="none" w:sz="0" w:space="0" w:color="auto"/>
      </w:divBdr>
    </w:div>
    <w:div w:id="1286230465">
      <w:bodyDiv w:val="1"/>
      <w:marLeft w:val="0"/>
      <w:marRight w:val="0"/>
      <w:marTop w:val="0"/>
      <w:marBottom w:val="0"/>
      <w:divBdr>
        <w:top w:val="none" w:sz="0" w:space="0" w:color="auto"/>
        <w:left w:val="none" w:sz="0" w:space="0" w:color="auto"/>
        <w:bottom w:val="none" w:sz="0" w:space="0" w:color="auto"/>
        <w:right w:val="none" w:sz="0" w:space="0" w:color="auto"/>
      </w:divBdr>
    </w:div>
    <w:div w:id="1287083341">
      <w:bodyDiv w:val="1"/>
      <w:marLeft w:val="0"/>
      <w:marRight w:val="0"/>
      <w:marTop w:val="0"/>
      <w:marBottom w:val="0"/>
      <w:divBdr>
        <w:top w:val="none" w:sz="0" w:space="0" w:color="auto"/>
        <w:left w:val="none" w:sz="0" w:space="0" w:color="auto"/>
        <w:bottom w:val="none" w:sz="0" w:space="0" w:color="auto"/>
        <w:right w:val="none" w:sz="0" w:space="0" w:color="auto"/>
      </w:divBdr>
    </w:div>
    <w:div w:id="1289315391">
      <w:bodyDiv w:val="1"/>
      <w:marLeft w:val="0"/>
      <w:marRight w:val="0"/>
      <w:marTop w:val="0"/>
      <w:marBottom w:val="0"/>
      <w:divBdr>
        <w:top w:val="none" w:sz="0" w:space="0" w:color="auto"/>
        <w:left w:val="none" w:sz="0" w:space="0" w:color="auto"/>
        <w:bottom w:val="none" w:sz="0" w:space="0" w:color="auto"/>
        <w:right w:val="none" w:sz="0" w:space="0" w:color="auto"/>
      </w:divBdr>
    </w:div>
    <w:div w:id="1289625294">
      <w:bodyDiv w:val="1"/>
      <w:marLeft w:val="0"/>
      <w:marRight w:val="0"/>
      <w:marTop w:val="0"/>
      <w:marBottom w:val="0"/>
      <w:divBdr>
        <w:top w:val="none" w:sz="0" w:space="0" w:color="auto"/>
        <w:left w:val="none" w:sz="0" w:space="0" w:color="auto"/>
        <w:bottom w:val="none" w:sz="0" w:space="0" w:color="auto"/>
        <w:right w:val="none" w:sz="0" w:space="0" w:color="auto"/>
      </w:divBdr>
    </w:div>
    <w:div w:id="1301619079">
      <w:bodyDiv w:val="1"/>
      <w:marLeft w:val="0"/>
      <w:marRight w:val="0"/>
      <w:marTop w:val="0"/>
      <w:marBottom w:val="0"/>
      <w:divBdr>
        <w:top w:val="none" w:sz="0" w:space="0" w:color="auto"/>
        <w:left w:val="none" w:sz="0" w:space="0" w:color="auto"/>
        <w:bottom w:val="none" w:sz="0" w:space="0" w:color="auto"/>
        <w:right w:val="none" w:sz="0" w:space="0" w:color="auto"/>
      </w:divBdr>
    </w:div>
    <w:div w:id="1305089006">
      <w:bodyDiv w:val="1"/>
      <w:marLeft w:val="0"/>
      <w:marRight w:val="0"/>
      <w:marTop w:val="0"/>
      <w:marBottom w:val="0"/>
      <w:divBdr>
        <w:top w:val="none" w:sz="0" w:space="0" w:color="auto"/>
        <w:left w:val="none" w:sz="0" w:space="0" w:color="auto"/>
        <w:bottom w:val="none" w:sz="0" w:space="0" w:color="auto"/>
        <w:right w:val="none" w:sz="0" w:space="0" w:color="auto"/>
      </w:divBdr>
    </w:div>
    <w:div w:id="1306856941">
      <w:bodyDiv w:val="1"/>
      <w:marLeft w:val="0"/>
      <w:marRight w:val="0"/>
      <w:marTop w:val="0"/>
      <w:marBottom w:val="0"/>
      <w:divBdr>
        <w:top w:val="none" w:sz="0" w:space="0" w:color="auto"/>
        <w:left w:val="none" w:sz="0" w:space="0" w:color="auto"/>
        <w:bottom w:val="none" w:sz="0" w:space="0" w:color="auto"/>
        <w:right w:val="none" w:sz="0" w:space="0" w:color="auto"/>
      </w:divBdr>
    </w:div>
    <w:div w:id="1307004424">
      <w:bodyDiv w:val="1"/>
      <w:marLeft w:val="0"/>
      <w:marRight w:val="0"/>
      <w:marTop w:val="0"/>
      <w:marBottom w:val="0"/>
      <w:divBdr>
        <w:top w:val="none" w:sz="0" w:space="0" w:color="auto"/>
        <w:left w:val="none" w:sz="0" w:space="0" w:color="auto"/>
        <w:bottom w:val="none" w:sz="0" w:space="0" w:color="auto"/>
        <w:right w:val="none" w:sz="0" w:space="0" w:color="auto"/>
      </w:divBdr>
    </w:div>
    <w:div w:id="1311249267">
      <w:bodyDiv w:val="1"/>
      <w:marLeft w:val="0"/>
      <w:marRight w:val="0"/>
      <w:marTop w:val="0"/>
      <w:marBottom w:val="0"/>
      <w:divBdr>
        <w:top w:val="none" w:sz="0" w:space="0" w:color="auto"/>
        <w:left w:val="none" w:sz="0" w:space="0" w:color="auto"/>
        <w:bottom w:val="none" w:sz="0" w:space="0" w:color="auto"/>
        <w:right w:val="none" w:sz="0" w:space="0" w:color="auto"/>
      </w:divBdr>
    </w:div>
    <w:div w:id="1316297660">
      <w:bodyDiv w:val="1"/>
      <w:marLeft w:val="0"/>
      <w:marRight w:val="0"/>
      <w:marTop w:val="0"/>
      <w:marBottom w:val="0"/>
      <w:divBdr>
        <w:top w:val="none" w:sz="0" w:space="0" w:color="auto"/>
        <w:left w:val="none" w:sz="0" w:space="0" w:color="auto"/>
        <w:bottom w:val="none" w:sz="0" w:space="0" w:color="auto"/>
        <w:right w:val="none" w:sz="0" w:space="0" w:color="auto"/>
      </w:divBdr>
    </w:div>
    <w:div w:id="1318412158">
      <w:bodyDiv w:val="1"/>
      <w:marLeft w:val="0"/>
      <w:marRight w:val="0"/>
      <w:marTop w:val="0"/>
      <w:marBottom w:val="0"/>
      <w:divBdr>
        <w:top w:val="none" w:sz="0" w:space="0" w:color="auto"/>
        <w:left w:val="none" w:sz="0" w:space="0" w:color="auto"/>
        <w:bottom w:val="none" w:sz="0" w:space="0" w:color="auto"/>
        <w:right w:val="none" w:sz="0" w:space="0" w:color="auto"/>
      </w:divBdr>
    </w:div>
    <w:div w:id="1325469758">
      <w:bodyDiv w:val="1"/>
      <w:marLeft w:val="0"/>
      <w:marRight w:val="0"/>
      <w:marTop w:val="0"/>
      <w:marBottom w:val="0"/>
      <w:divBdr>
        <w:top w:val="none" w:sz="0" w:space="0" w:color="auto"/>
        <w:left w:val="none" w:sz="0" w:space="0" w:color="auto"/>
        <w:bottom w:val="none" w:sz="0" w:space="0" w:color="auto"/>
        <w:right w:val="none" w:sz="0" w:space="0" w:color="auto"/>
      </w:divBdr>
    </w:div>
    <w:div w:id="1325931142">
      <w:bodyDiv w:val="1"/>
      <w:marLeft w:val="0"/>
      <w:marRight w:val="0"/>
      <w:marTop w:val="0"/>
      <w:marBottom w:val="0"/>
      <w:divBdr>
        <w:top w:val="none" w:sz="0" w:space="0" w:color="auto"/>
        <w:left w:val="none" w:sz="0" w:space="0" w:color="auto"/>
        <w:bottom w:val="none" w:sz="0" w:space="0" w:color="auto"/>
        <w:right w:val="none" w:sz="0" w:space="0" w:color="auto"/>
      </w:divBdr>
    </w:div>
    <w:div w:id="1326015575">
      <w:bodyDiv w:val="1"/>
      <w:marLeft w:val="0"/>
      <w:marRight w:val="0"/>
      <w:marTop w:val="0"/>
      <w:marBottom w:val="0"/>
      <w:divBdr>
        <w:top w:val="none" w:sz="0" w:space="0" w:color="auto"/>
        <w:left w:val="none" w:sz="0" w:space="0" w:color="auto"/>
        <w:bottom w:val="none" w:sz="0" w:space="0" w:color="auto"/>
        <w:right w:val="none" w:sz="0" w:space="0" w:color="auto"/>
      </w:divBdr>
    </w:div>
    <w:div w:id="1330131938">
      <w:bodyDiv w:val="1"/>
      <w:marLeft w:val="0"/>
      <w:marRight w:val="0"/>
      <w:marTop w:val="0"/>
      <w:marBottom w:val="0"/>
      <w:divBdr>
        <w:top w:val="none" w:sz="0" w:space="0" w:color="auto"/>
        <w:left w:val="none" w:sz="0" w:space="0" w:color="auto"/>
        <w:bottom w:val="none" w:sz="0" w:space="0" w:color="auto"/>
        <w:right w:val="none" w:sz="0" w:space="0" w:color="auto"/>
      </w:divBdr>
    </w:div>
    <w:div w:id="1330600795">
      <w:bodyDiv w:val="1"/>
      <w:marLeft w:val="0"/>
      <w:marRight w:val="0"/>
      <w:marTop w:val="0"/>
      <w:marBottom w:val="0"/>
      <w:divBdr>
        <w:top w:val="none" w:sz="0" w:space="0" w:color="auto"/>
        <w:left w:val="none" w:sz="0" w:space="0" w:color="auto"/>
        <w:bottom w:val="none" w:sz="0" w:space="0" w:color="auto"/>
        <w:right w:val="none" w:sz="0" w:space="0" w:color="auto"/>
      </w:divBdr>
    </w:div>
    <w:div w:id="1333797846">
      <w:bodyDiv w:val="1"/>
      <w:marLeft w:val="0"/>
      <w:marRight w:val="0"/>
      <w:marTop w:val="0"/>
      <w:marBottom w:val="0"/>
      <w:divBdr>
        <w:top w:val="none" w:sz="0" w:space="0" w:color="auto"/>
        <w:left w:val="none" w:sz="0" w:space="0" w:color="auto"/>
        <w:bottom w:val="none" w:sz="0" w:space="0" w:color="auto"/>
        <w:right w:val="none" w:sz="0" w:space="0" w:color="auto"/>
      </w:divBdr>
    </w:div>
    <w:div w:id="1334256749">
      <w:bodyDiv w:val="1"/>
      <w:marLeft w:val="0"/>
      <w:marRight w:val="0"/>
      <w:marTop w:val="0"/>
      <w:marBottom w:val="0"/>
      <w:divBdr>
        <w:top w:val="none" w:sz="0" w:space="0" w:color="auto"/>
        <w:left w:val="none" w:sz="0" w:space="0" w:color="auto"/>
        <w:bottom w:val="none" w:sz="0" w:space="0" w:color="auto"/>
        <w:right w:val="none" w:sz="0" w:space="0" w:color="auto"/>
      </w:divBdr>
    </w:div>
    <w:div w:id="1340279150">
      <w:bodyDiv w:val="1"/>
      <w:marLeft w:val="0"/>
      <w:marRight w:val="0"/>
      <w:marTop w:val="0"/>
      <w:marBottom w:val="0"/>
      <w:divBdr>
        <w:top w:val="none" w:sz="0" w:space="0" w:color="auto"/>
        <w:left w:val="none" w:sz="0" w:space="0" w:color="auto"/>
        <w:bottom w:val="none" w:sz="0" w:space="0" w:color="auto"/>
        <w:right w:val="none" w:sz="0" w:space="0" w:color="auto"/>
      </w:divBdr>
    </w:div>
    <w:div w:id="1343387400">
      <w:bodyDiv w:val="1"/>
      <w:marLeft w:val="0"/>
      <w:marRight w:val="0"/>
      <w:marTop w:val="0"/>
      <w:marBottom w:val="0"/>
      <w:divBdr>
        <w:top w:val="none" w:sz="0" w:space="0" w:color="auto"/>
        <w:left w:val="none" w:sz="0" w:space="0" w:color="auto"/>
        <w:bottom w:val="none" w:sz="0" w:space="0" w:color="auto"/>
        <w:right w:val="none" w:sz="0" w:space="0" w:color="auto"/>
      </w:divBdr>
    </w:div>
    <w:div w:id="1346983491">
      <w:bodyDiv w:val="1"/>
      <w:marLeft w:val="0"/>
      <w:marRight w:val="0"/>
      <w:marTop w:val="0"/>
      <w:marBottom w:val="0"/>
      <w:divBdr>
        <w:top w:val="none" w:sz="0" w:space="0" w:color="auto"/>
        <w:left w:val="none" w:sz="0" w:space="0" w:color="auto"/>
        <w:bottom w:val="none" w:sz="0" w:space="0" w:color="auto"/>
        <w:right w:val="none" w:sz="0" w:space="0" w:color="auto"/>
      </w:divBdr>
    </w:div>
    <w:div w:id="1347094159">
      <w:bodyDiv w:val="1"/>
      <w:marLeft w:val="0"/>
      <w:marRight w:val="0"/>
      <w:marTop w:val="0"/>
      <w:marBottom w:val="0"/>
      <w:divBdr>
        <w:top w:val="none" w:sz="0" w:space="0" w:color="auto"/>
        <w:left w:val="none" w:sz="0" w:space="0" w:color="auto"/>
        <w:bottom w:val="none" w:sz="0" w:space="0" w:color="auto"/>
        <w:right w:val="none" w:sz="0" w:space="0" w:color="auto"/>
      </w:divBdr>
    </w:div>
    <w:div w:id="1350259885">
      <w:bodyDiv w:val="1"/>
      <w:marLeft w:val="0"/>
      <w:marRight w:val="0"/>
      <w:marTop w:val="0"/>
      <w:marBottom w:val="0"/>
      <w:divBdr>
        <w:top w:val="none" w:sz="0" w:space="0" w:color="auto"/>
        <w:left w:val="none" w:sz="0" w:space="0" w:color="auto"/>
        <w:bottom w:val="none" w:sz="0" w:space="0" w:color="auto"/>
        <w:right w:val="none" w:sz="0" w:space="0" w:color="auto"/>
      </w:divBdr>
    </w:div>
    <w:div w:id="1351489493">
      <w:bodyDiv w:val="1"/>
      <w:marLeft w:val="0"/>
      <w:marRight w:val="0"/>
      <w:marTop w:val="0"/>
      <w:marBottom w:val="0"/>
      <w:divBdr>
        <w:top w:val="none" w:sz="0" w:space="0" w:color="auto"/>
        <w:left w:val="none" w:sz="0" w:space="0" w:color="auto"/>
        <w:bottom w:val="none" w:sz="0" w:space="0" w:color="auto"/>
        <w:right w:val="none" w:sz="0" w:space="0" w:color="auto"/>
      </w:divBdr>
    </w:div>
    <w:div w:id="1353609943">
      <w:bodyDiv w:val="1"/>
      <w:marLeft w:val="0"/>
      <w:marRight w:val="0"/>
      <w:marTop w:val="0"/>
      <w:marBottom w:val="0"/>
      <w:divBdr>
        <w:top w:val="none" w:sz="0" w:space="0" w:color="auto"/>
        <w:left w:val="none" w:sz="0" w:space="0" w:color="auto"/>
        <w:bottom w:val="none" w:sz="0" w:space="0" w:color="auto"/>
        <w:right w:val="none" w:sz="0" w:space="0" w:color="auto"/>
      </w:divBdr>
    </w:div>
    <w:div w:id="1353921038">
      <w:bodyDiv w:val="1"/>
      <w:marLeft w:val="0"/>
      <w:marRight w:val="0"/>
      <w:marTop w:val="0"/>
      <w:marBottom w:val="0"/>
      <w:divBdr>
        <w:top w:val="none" w:sz="0" w:space="0" w:color="auto"/>
        <w:left w:val="none" w:sz="0" w:space="0" w:color="auto"/>
        <w:bottom w:val="none" w:sz="0" w:space="0" w:color="auto"/>
        <w:right w:val="none" w:sz="0" w:space="0" w:color="auto"/>
      </w:divBdr>
    </w:div>
    <w:div w:id="1355770810">
      <w:bodyDiv w:val="1"/>
      <w:marLeft w:val="0"/>
      <w:marRight w:val="0"/>
      <w:marTop w:val="0"/>
      <w:marBottom w:val="0"/>
      <w:divBdr>
        <w:top w:val="none" w:sz="0" w:space="0" w:color="auto"/>
        <w:left w:val="none" w:sz="0" w:space="0" w:color="auto"/>
        <w:bottom w:val="none" w:sz="0" w:space="0" w:color="auto"/>
        <w:right w:val="none" w:sz="0" w:space="0" w:color="auto"/>
      </w:divBdr>
    </w:div>
    <w:div w:id="1367288618">
      <w:bodyDiv w:val="1"/>
      <w:marLeft w:val="0"/>
      <w:marRight w:val="0"/>
      <w:marTop w:val="0"/>
      <w:marBottom w:val="0"/>
      <w:divBdr>
        <w:top w:val="none" w:sz="0" w:space="0" w:color="auto"/>
        <w:left w:val="none" w:sz="0" w:space="0" w:color="auto"/>
        <w:bottom w:val="none" w:sz="0" w:space="0" w:color="auto"/>
        <w:right w:val="none" w:sz="0" w:space="0" w:color="auto"/>
      </w:divBdr>
    </w:div>
    <w:div w:id="1369991162">
      <w:bodyDiv w:val="1"/>
      <w:marLeft w:val="0"/>
      <w:marRight w:val="0"/>
      <w:marTop w:val="0"/>
      <w:marBottom w:val="0"/>
      <w:divBdr>
        <w:top w:val="none" w:sz="0" w:space="0" w:color="auto"/>
        <w:left w:val="none" w:sz="0" w:space="0" w:color="auto"/>
        <w:bottom w:val="none" w:sz="0" w:space="0" w:color="auto"/>
        <w:right w:val="none" w:sz="0" w:space="0" w:color="auto"/>
      </w:divBdr>
    </w:div>
    <w:div w:id="1372610643">
      <w:bodyDiv w:val="1"/>
      <w:marLeft w:val="0"/>
      <w:marRight w:val="0"/>
      <w:marTop w:val="0"/>
      <w:marBottom w:val="0"/>
      <w:divBdr>
        <w:top w:val="none" w:sz="0" w:space="0" w:color="auto"/>
        <w:left w:val="none" w:sz="0" w:space="0" w:color="auto"/>
        <w:bottom w:val="none" w:sz="0" w:space="0" w:color="auto"/>
        <w:right w:val="none" w:sz="0" w:space="0" w:color="auto"/>
      </w:divBdr>
    </w:div>
    <w:div w:id="1375152729">
      <w:bodyDiv w:val="1"/>
      <w:marLeft w:val="0"/>
      <w:marRight w:val="0"/>
      <w:marTop w:val="0"/>
      <w:marBottom w:val="0"/>
      <w:divBdr>
        <w:top w:val="none" w:sz="0" w:space="0" w:color="auto"/>
        <w:left w:val="none" w:sz="0" w:space="0" w:color="auto"/>
        <w:bottom w:val="none" w:sz="0" w:space="0" w:color="auto"/>
        <w:right w:val="none" w:sz="0" w:space="0" w:color="auto"/>
      </w:divBdr>
    </w:div>
    <w:div w:id="1375889948">
      <w:bodyDiv w:val="1"/>
      <w:marLeft w:val="0"/>
      <w:marRight w:val="0"/>
      <w:marTop w:val="0"/>
      <w:marBottom w:val="0"/>
      <w:divBdr>
        <w:top w:val="none" w:sz="0" w:space="0" w:color="auto"/>
        <w:left w:val="none" w:sz="0" w:space="0" w:color="auto"/>
        <w:bottom w:val="none" w:sz="0" w:space="0" w:color="auto"/>
        <w:right w:val="none" w:sz="0" w:space="0" w:color="auto"/>
      </w:divBdr>
    </w:div>
    <w:div w:id="1377897148">
      <w:bodyDiv w:val="1"/>
      <w:marLeft w:val="0"/>
      <w:marRight w:val="0"/>
      <w:marTop w:val="0"/>
      <w:marBottom w:val="0"/>
      <w:divBdr>
        <w:top w:val="none" w:sz="0" w:space="0" w:color="auto"/>
        <w:left w:val="none" w:sz="0" w:space="0" w:color="auto"/>
        <w:bottom w:val="none" w:sz="0" w:space="0" w:color="auto"/>
        <w:right w:val="none" w:sz="0" w:space="0" w:color="auto"/>
      </w:divBdr>
    </w:div>
    <w:div w:id="1378816177">
      <w:bodyDiv w:val="1"/>
      <w:marLeft w:val="0"/>
      <w:marRight w:val="0"/>
      <w:marTop w:val="0"/>
      <w:marBottom w:val="0"/>
      <w:divBdr>
        <w:top w:val="none" w:sz="0" w:space="0" w:color="auto"/>
        <w:left w:val="none" w:sz="0" w:space="0" w:color="auto"/>
        <w:bottom w:val="none" w:sz="0" w:space="0" w:color="auto"/>
        <w:right w:val="none" w:sz="0" w:space="0" w:color="auto"/>
      </w:divBdr>
    </w:div>
    <w:div w:id="1379163389">
      <w:bodyDiv w:val="1"/>
      <w:marLeft w:val="0"/>
      <w:marRight w:val="0"/>
      <w:marTop w:val="0"/>
      <w:marBottom w:val="0"/>
      <w:divBdr>
        <w:top w:val="none" w:sz="0" w:space="0" w:color="auto"/>
        <w:left w:val="none" w:sz="0" w:space="0" w:color="auto"/>
        <w:bottom w:val="none" w:sz="0" w:space="0" w:color="auto"/>
        <w:right w:val="none" w:sz="0" w:space="0" w:color="auto"/>
      </w:divBdr>
    </w:div>
    <w:div w:id="1383093188">
      <w:bodyDiv w:val="1"/>
      <w:marLeft w:val="0"/>
      <w:marRight w:val="0"/>
      <w:marTop w:val="0"/>
      <w:marBottom w:val="0"/>
      <w:divBdr>
        <w:top w:val="none" w:sz="0" w:space="0" w:color="auto"/>
        <w:left w:val="none" w:sz="0" w:space="0" w:color="auto"/>
        <w:bottom w:val="none" w:sz="0" w:space="0" w:color="auto"/>
        <w:right w:val="none" w:sz="0" w:space="0" w:color="auto"/>
      </w:divBdr>
    </w:div>
    <w:div w:id="1386217706">
      <w:bodyDiv w:val="1"/>
      <w:marLeft w:val="0"/>
      <w:marRight w:val="0"/>
      <w:marTop w:val="0"/>
      <w:marBottom w:val="0"/>
      <w:divBdr>
        <w:top w:val="none" w:sz="0" w:space="0" w:color="auto"/>
        <w:left w:val="none" w:sz="0" w:space="0" w:color="auto"/>
        <w:bottom w:val="none" w:sz="0" w:space="0" w:color="auto"/>
        <w:right w:val="none" w:sz="0" w:space="0" w:color="auto"/>
      </w:divBdr>
    </w:div>
    <w:div w:id="1387028796">
      <w:bodyDiv w:val="1"/>
      <w:marLeft w:val="0"/>
      <w:marRight w:val="0"/>
      <w:marTop w:val="0"/>
      <w:marBottom w:val="0"/>
      <w:divBdr>
        <w:top w:val="none" w:sz="0" w:space="0" w:color="auto"/>
        <w:left w:val="none" w:sz="0" w:space="0" w:color="auto"/>
        <w:bottom w:val="none" w:sz="0" w:space="0" w:color="auto"/>
        <w:right w:val="none" w:sz="0" w:space="0" w:color="auto"/>
      </w:divBdr>
    </w:div>
    <w:div w:id="1388065136">
      <w:bodyDiv w:val="1"/>
      <w:marLeft w:val="0"/>
      <w:marRight w:val="0"/>
      <w:marTop w:val="0"/>
      <w:marBottom w:val="0"/>
      <w:divBdr>
        <w:top w:val="none" w:sz="0" w:space="0" w:color="auto"/>
        <w:left w:val="none" w:sz="0" w:space="0" w:color="auto"/>
        <w:bottom w:val="none" w:sz="0" w:space="0" w:color="auto"/>
        <w:right w:val="none" w:sz="0" w:space="0" w:color="auto"/>
      </w:divBdr>
    </w:div>
    <w:div w:id="1391927189">
      <w:bodyDiv w:val="1"/>
      <w:marLeft w:val="0"/>
      <w:marRight w:val="0"/>
      <w:marTop w:val="0"/>
      <w:marBottom w:val="0"/>
      <w:divBdr>
        <w:top w:val="none" w:sz="0" w:space="0" w:color="auto"/>
        <w:left w:val="none" w:sz="0" w:space="0" w:color="auto"/>
        <w:bottom w:val="none" w:sz="0" w:space="0" w:color="auto"/>
        <w:right w:val="none" w:sz="0" w:space="0" w:color="auto"/>
      </w:divBdr>
    </w:div>
    <w:div w:id="1392315395">
      <w:bodyDiv w:val="1"/>
      <w:marLeft w:val="0"/>
      <w:marRight w:val="0"/>
      <w:marTop w:val="0"/>
      <w:marBottom w:val="0"/>
      <w:divBdr>
        <w:top w:val="none" w:sz="0" w:space="0" w:color="auto"/>
        <w:left w:val="none" w:sz="0" w:space="0" w:color="auto"/>
        <w:bottom w:val="none" w:sz="0" w:space="0" w:color="auto"/>
        <w:right w:val="none" w:sz="0" w:space="0" w:color="auto"/>
      </w:divBdr>
    </w:div>
    <w:div w:id="1396395449">
      <w:bodyDiv w:val="1"/>
      <w:marLeft w:val="0"/>
      <w:marRight w:val="0"/>
      <w:marTop w:val="0"/>
      <w:marBottom w:val="0"/>
      <w:divBdr>
        <w:top w:val="none" w:sz="0" w:space="0" w:color="auto"/>
        <w:left w:val="none" w:sz="0" w:space="0" w:color="auto"/>
        <w:bottom w:val="none" w:sz="0" w:space="0" w:color="auto"/>
        <w:right w:val="none" w:sz="0" w:space="0" w:color="auto"/>
      </w:divBdr>
    </w:div>
    <w:div w:id="1396467489">
      <w:bodyDiv w:val="1"/>
      <w:marLeft w:val="0"/>
      <w:marRight w:val="0"/>
      <w:marTop w:val="0"/>
      <w:marBottom w:val="0"/>
      <w:divBdr>
        <w:top w:val="none" w:sz="0" w:space="0" w:color="auto"/>
        <w:left w:val="none" w:sz="0" w:space="0" w:color="auto"/>
        <w:bottom w:val="none" w:sz="0" w:space="0" w:color="auto"/>
        <w:right w:val="none" w:sz="0" w:space="0" w:color="auto"/>
      </w:divBdr>
    </w:div>
    <w:div w:id="1399740407">
      <w:bodyDiv w:val="1"/>
      <w:marLeft w:val="0"/>
      <w:marRight w:val="0"/>
      <w:marTop w:val="0"/>
      <w:marBottom w:val="0"/>
      <w:divBdr>
        <w:top w:val="none" w:sz="0" w:space="0" w:color="auto"/>
        <w:left w:val="none" w:sz="0" w:space="0" w:color="auto"/>
        <w:bottom w:val="none" w:sz="0" w:space="0" w:color="auto"/>
        <w:right w:val="none" w:sz="0" w:space="0" w:color="auto"/>
      </w:divBdr>
    </w:div>
    <w:div w:id="1399792164">
      <w:bodyDiv w:val="1"/>
      <w:marLeft w:val="0"/>
      <w:marRight w:val="0"/>
      <w:marTop w:val="0"/>
      <w:marBottom w:val="0"/>
      <w:divBdr>
        <w:top w:val="none" w:sz="0" w:space="0" w:color="auto"/>
        <w:left w:val="none" w:sz="0" w:space="0" w:color="auto"/>
        <w:bottom w:val="none" w:sz="0" w:space="0" w:color="auto"/>
        <w:right w:val="none" w:sz="0" w:space="0" w:color="auto"/>
      </w:divBdr>
    </w:div>
    <w:div w:id="1402405334">
      <w:bodyDiv w:val="1"/>
      <w:marLeft w:val="0"/>
      <w:marRight w:val="0"/>
      <w:marTop w:val="0"/>
      <w:marBottom w:val="0"/>
      <w:divBdr>
        <w:top w:val="none" w:sz="0" w:space="0" w:color="auto"/>
        <w:left w:val="none" w:sz="0" w:space="0" w:color="auto"/>
        <w:bottom w:val="none" w:sz="0" w:space="0" w:color="auto"/>
        <w:right w:val="none" w:sz="0" w:space="0" w:color="auto"/>
      </w:divBdr>
    </w:div>
    <w:div w:id="1411538678">
      <w:bodyDiv w:val="1"/>
      <w:marLeft w:val="0"/>
      <w:marRight w:val="0"/>
      <w:marTop w:val="0"/>
      <w:marBottom w:val="0"/>
      <w:divBdr>
        <w:top w:val="none" w:sz="0" w:space="0" w:color="auto"/>
        <w:left w:val="none" w:sz="0" w:space="0" w:color="auto"/>
        <w:bottom w:val="none" w:sz="0" w:space="0" w:color="auto"/>
        <w:right w:val="none" w:sz="0" w:space="0" w:color="auto"/>
      </w:divBdr>
    </w:div>
    <w:div w:id="1412847951">
      <w:bodyDiv w:val="1"/>
      <w:marLeft w:val="0"/>
      <w:marRight w:val="0"/>
      <w:marTop w:val="0"/>
      <w:marBottom w:val="0"/>
      <w:divBdr>
        <w:top w:val="none" w:sz="0" w:space="0" w:color="auto"/>
        <w:left w:val="none" w:sz="0" w:space="0" w:color="auto"/>
        <w:bottom w:val="none" w:sz="0" w:space="0" w:color="auto"/>
        <w:right w:val="none" w:sz="0" w:space="0" w:color="auto"/>
      </w:divBdr>
    </w:div>
    <w:div w:id="1414476897">
      <w:bodyDiv w:val="1"/>
      <w:marLeft w:val="0"/>
      <w:marRight w:val="0"/>
      <w:marTop w:val="0"/>
      <w:marBottom w:val="0"/>
      <w:divBdr>
        <w:top w:val="none" w:sz="0" w:space="0" w:color="auto"/>
        <w:left w:val="none" w:sz="0" w:space="0" w:color="auto"/>
        <w:bottom w:val="none" w:sz="0" w:space="0" w:color="auto"/>
        <w:right w:val="none" w:sz="0" w:space="0" w:color="auto"/>
      </w:divBdr>
    </w:div>
    <w:div w:id="1420759535">
      <w:bodyDiv w:val="1"/>
      <w:marLeft w:val="0"/>
      <w:marRight w:val="0"/>
      <w:marTop w:val="0"/>
      <w:marBottom w:val="0"/>
      <w:divBdr>
        <w:top w:val="none" w:sz="0" w:space="0" w:color="auto"/>
        <w:left w:val="none" w:sz="0" w:space="0" w:color="auto"/>
        <w:bottom w:val="none" w:sz="0" w:space="0" w:color="auto"/>
        <w:right w:val="none" w:sz="0" w:space="0" w:color="auto"/>
      </w:divBdr>
    </w:div>
    <w:div w:id="1422409374">
      <w:bodyDiv w:val="1"/>
      <w:marLeft w:val="0"/>
      <w:marRight w:val="0"/>
      <w:marTop w:val="0"/>
      <w:marBottom w:val="0"/>
      <w:divBdr>
        <w:top w:val="none" w:sz="0" w:space="0" w:color="auto"/>
        <w:left w:val="none" w:sz="0" w:space="0" w:color="auto"/>
        <w:bottom w:val="none" w:sz="0" w:space="0" w:color="auto"/>
        <w:right w:val="none" w:sz="0" w:space="0" w:color="auto"/>
      </w:divBdr>
    </w:div>
    <w:div w:id="1423141605">
      <w:bodyDiv w:val="1"/>
      <w:marLeft w:val="0"/>
      <w:marRight w:val="0"/>
      <w:marTop w:val="0"/>
      <w:marBottom w:val="0"/>
      <w:divBdr>
        <w:top w:val="none" w:sz="0" w:space="0" w:color="auto"/>
        <w:left w:val="none" w:sz="0" w:space="0" w:color="auto"/>
        <w:bottom w:val="none" w:sz="0" w:space="0" w:color="auto"/>
        <w:right w:val="none" w:sz="0" w:space="0" w:color="auto"/>
      </w:divBdr>
    </w:div>
    <w:div w:id="1425569783">
      <w:bodyDiv w:val="1"/>
      <w:marLeft w:val="0"/>
      <w:marRight w:val="0"/>
      <w:marTop w:val="0"/>
      <w:marBottom w:val="0"/>
      <w:divBdr>
        <w:top w:val="none" w:sz="0" w:space="0" w:color="auto"/>
        <w:left w:val="none" w:sz="0" w:space="0" w:color="auto"/>
        <w:bottom w:val="none" w:sz="0" w:space="0" w:color="auto"/>
        <w:right w:val="none" w:sz="0" w:space="0" w:color="auto"/>
      </w:divBdr>
    </w:div>
    <w:div w:id="1428228011">
      <w:bodyDiv w:val="1"/>
      <w:marLeft w:val="0"/>
      <w:marRight w:val="0"/>
      <w:marTop w:val="0"/>
      <w:marBottom w:val="0"/>
      <w:divBdr>
        <w:top w:val="none" w:sz="0" w:space="0" w:color="auto"/>
        <w:left w:val="none" w:sz="0" w:space="0" w:color="auto"/>
        <w:bottom w:val="none" w:sz="0" w:space="0" w:color="auto"/>
        <w:right w:val="none" w:sz="0" w:space="0" w:color="auto"/>
      </w:divBdr>
    </w:div>
    <w:div w:id="1432823666">
      <w:bodyDiv w:val="1"/>
      <w:marLeft w:val="0"/>
      <w:marRight w:val="0"/>
      <w:marTop w:val="0"/>
      <w:marBottom w:val="0"/>
      <w:divBdr>
        <w:top w:val="none" w:sz="0" w:space="0" w:color="auto"/>
        <w:left w:val="none" w:sz="0" w:space="0" w:color="auto"/>
        <w:bottom w:val="none" w:sz="0" w:space="0" w:color="auto"/>
        <w:right w:val="none" w:sz="0" w:space="0" w:color="auto"/>
      </w:divBdr>
    </w:div>
    <w:div w:id="1436436571">
      <w:bodyDiv w:val="1"/>
      <w:marLeft w:val="0"/>
      <w:marRight w:val="0"/>
      <w:marTop w:val="0"/>
      <w:marBottom w:val="0"/>
      <w:divBdr>
        <w:top w:val="none" w:sz="0" w:space="0" w:color="auto"/>
        <w:left w:val="none" w:sz="0" w:space="0" w:color="auto"/>
        <w:bottom w:val="none" w:sz="0" w:space="0" w:color="auto"/>
        <w:right w:val="none" w:sz="0" w:space="0" w:color="auto"/>
      </w:divBdr>
    </w:div>
    <w:div w:id="1444888055">
      <w:bodyDiv w:val="1"/>
      <w:marLeft w:val="0"/>
      <w:marRight w:val="0"/>
      <w:marTop w:val="0"/>
      <w:marBottom w:val="0"/>
      <w:divBdr>
        <w:top w:val="none" w:sz="0" w:space="0" w:color="auto"/>
        <w:left w:val="none" w:sz="0" w:space="0" w:color="auto"/>
        <w:bottom w:val="none" w:sz="0" w:space="0" w:color="auto"/>
        <w:right w:val="none" w:sz="0" w:space="0" w:color="auto"/>
      </w:divBdr>
    </w:div>
    <w:div w:id="1445494456">
      <w:bodyDiv w:val="1"/>
      <w:marLeft w:val="0"/>
      <w:marRight w:val="0"/>
      <w:marTop w:val="0"/>
      <w:marBottom w:val="0"/>
      <w:divBdr>
        <w:top w:val="none" w:sz="0" w:space="0" w:color="auto"/>
        <w:left w:val="none" w:sz="0" w:space="0" w:color="auto"/>
        <w:bottom w:val="none" w:sz="0" w:space="0" w:color="auto"/>
        <w:right w:val="none" w:sz="0" w:space="0" w:color="auto"/>
      </w:divBdr>
    </w:div>
    <w:div w:id="1447849021">
      <w:bodyDiv w:val="1"/>
      <w:marLeft w:val="0"/>
      <w:marRight w:val="0"/>
      <w:marTop w:val="0"/>
      <w:marBottom w:val="0"/>
      <w:divBdr>
        <w:top w:val="none" w:sz="0" w:space="0" w:color="auto"/>
        <w:left w:val="none" w:sz="0" w:space="0" w:color="auto"/>
        <w:bottom w:val="none" w:sz="0" w:space="0" w:color="auto"/>
        <w:right w:val="none" w:sz="0" w:space="0" w:color="auto"/>
      </w:divBdr>
    </w:div>
    <w:div w:id="1449350855">
      <w:bodyDiv w:val="1"/>
      <w:marLeft w:val="0"/>
      <w:marRight w:val="0"/>
      <w:marTop w:val="0"/>
      <w:marBottom w:val="0"/>
      <w:divBdr>
        <w:top w:val="none" w:sz="0" w:space="0" w:color="auto"/>
        <w:left w:val="none" w:sz="0" w:space="0" w:color="auto"/>
        <w:bottom w:val="none" w:sz="0" w:space="0" w:color="auto"/>
        <w:right w:val="none" w:sz="0" w:space="0" w:color="auto"/>
      </w:divBdr>
    </w:div>
    <w:div w:id="1454443265">
      <w:bodyDiv w:val="1"/>
      <w:marLeft w:val="0"/>
      <w:marRight w:val="0"/>
      <w:marTop w:val="0"/>
      <w:marBottom w:val="0"/>
      <w:divBdr>
        <w:top w:val="none" w:sz="0" w:space="0" w:color="auto"/>
        <w:left w:val="none" w:sz="0" w:space="0" w:color="auto"/>
        <w:bottom w:val="none" w:sz="0" w:space="0" w:color="auto"/>
        <w:right w:val="none" w:sz="0" w:space="0" w:color="auto"/>
      </w:divBdr>
    </w:div>
    <w:div w:id="1455253989">
      <w:bodyDiv w:val="1"/>
      <w:marLeft w:val="0"/>
      <w:marRight w:val="0"/>
      <w:marTop w:val="0"/>
      <w:marBottom w:val="0"/>
      <w:divBdr>
        <w:top w:val="none" w:sz="0" w:space="0" w:color="auto"/>
        <w:left w:val="none" w:sz="0" w:space="0" w:color="auto"/>
        <w:bottom w:val="none" w:sz="0" w:space="0" w:color="auto"/>
        <w:right w:val="none" w:sz="0" w:space="0" w:color="auto"/>
      </w:divBdr>
    </w:div>
    <w:div w:id="1457135315">
      <w:bodyDiv w:val="1"/>
      <w:marLeft w:val="0"/>
      <w:marRight w:val="0"/>
      <w:marTop w:val="0"/>
      <w:marBottom w:val="0"/>
      <w:divBdr>
        <w:top w:val="none" w:sz="0" w:space="0" w:color="auto"/>
        <w:left w:val="none" w:sz="0" w:space="0" w:color="auto"/>
        <w:bottom w:val="none" w:sz="0" w:space="0" w:color="auto"/>
        <w:right w:val="none" w:sz="0" w:space="0" w:color="auto"/>
      </w:divBdr>
    </w:div>
    <w:div w:id="1458985775">
      <w:bodyDiv w:val="1"/>
      <w:marLeft w:val="0"/>
      <w:marRight w:val="0"/>
      <w:marTop w:val="0"/>
      <w:marBottom w:val="0"/>
      <w:divBdr>
        <w:top w:val="none" w:sz="0" w:space="0" w:color="auto"/>
        <w:left w:val="none" w:sz="0" w:space="0" w:color="auto"/>
        <w:bottom w:val="none" w:sz="0" w:space="0" w:color="auto"/>
        <w:right w:val="none" w:sz="0" w:space="0" w:color="auto"/>
      </w:divBdr>
    </w:div>
    <w:div w:id="1460538955">
      <w:bodyDiv w:val="1"/>
      <w:marLeft w:val="0"/>
      <w:marRight w:val="0"/>
      <w:marTop w:val="0"/>
      <w:marBottom w:val="0"/>
      <w:divBdr>
        <w:top w:val="none" w:sz="0" w:space="0" w:color="auto"/>
        <w:left w:val="none" w:sz="0" w:space="0" w:color="auto"/>
        <w:bottom w:val="none" w:sz="0" w:space="0" w:color="auto"/>
        <w:right w:val="none" w:sz="0" w:space="0" w:color="auto"/>
      </w:divBdr>
    </w:div>
    <w:div w:id="1463112134">
      <w:bodyDiv w:val="1"/>
      <w:marLeft w:val="0"/>
      <w:marRight w:val="0"/>
      <w:marTop w:val="0"/>
      <w:marBottom w:val="0"/>
      <w:divBdr>
        <w:top w:val="none" w:sz="0" w:space="0" w:color="auto"/>
        <w:left w:val="none" w:sz="0" w:space="0" w:color="auto"/>
        <w:bottom w:val="none" w:sz="0" w:space="0" w:color="auto"/>
        <w:right w:val="none" w:sz="0" w:space="0" w:color="auto"/>
      </w:divBdr>
    </w:div>
    <w:div w:id="1468935392">
      <w:bodyDiv w:val="1"/>
      <w:marLeft w:val="0"/>
      <w:marRight w:val="0"/>
      <w:marTop w:val="0"/>
      <w:marBottom w:val="0"/>
      <w:divBdr>
        <w:top w:val="none" w:sz="0" w:space="0" w:color="auto"/>
        <w:left w:val="none" w:sz="0" w:space="0" w:color="auto"/>
        <w:bottom w:val="none" w:sz="0" w:space="0" w:color="auto"/>
        <w:right w:val="none" w:sz="0" w:space="0" w:color="auto"/>
      </w:divBdr>
    </w:div>
    <w:div w:id="1476530182">
      <w:bodyDiv w:val="1"/>
      <w:marLeft w:val="0"/>
      <w:marRight w:val="0"/>
      <w:marTop w:val="0"/>
      <w:marBottom w:val="0"/>
      <w:divBdr>
        <w:top w:val="none" w:sz="0" w:space="0" w:color="auto"/>
        <w:left w:val="none" w:sz="0" w:space="0" w:color="auto"/>
        <w:bottom w:val="none" w:sz="0" w:space="0" w:color="auto"/>
        <w:right w:val="none" w:sz="0" w:space="0" w:color="auto"/>
      </w:divBdr>
    </w:div>
    <w:div w:id="1477649552">
      <w:bodyDiv w:val="1"/>
      <w:marLeft w:val="0"/>
      <w:marRight w:val="0"/>
      <w:marTop w:val="0"/>
      <w:marBottom w:val="0"/>
      <w:divBdr>
        <w:top w:val="none" w:sz="0" w:space="0" w:color="auto"/>
        <w:left w:val="none" w:sz="0" w:space="0" w:color="auto"/>
        <w:bottom w:val="none" w:sz="0" w:space="0" w:color="auto"/>
        <w:right w:val="none" w:sz="0" w:space="0" w:color="auto"/>
      </w:divBdr>
    </w:div>
    <w:div w:id="1478306081">
      <w:bodyDiv w:val="1"/>
      <w:marLeft w:val="0"/>
      <w:marRight w:val="0"/>
      <w:marTop w:val="0"/>
      <w:marBottom w:val="0"/>
      <w:divBdr>
        <w:top w:val="none" w:sz="0" w:space="0" w:color="auto"/>
        <w:left w:val="none" w:sz="0" w:space="0" w:color="auto"/>
        <w:bottom w:val="none" w:sz="0" w:space="0" w:color="auto"/>
        <w:right w:val="none" w:sz="0" w:space="0" w:color="auto"/>
      </w:divBdr>
    </w:div>
    <w:div w:id="1479608346">
      <w:bodyDiv w:val="1"/>
      <w:marLeft w:val="0"/>
      <w:marRight w:val="0"/>
      <w:marTop w:val="0"/>
      <w:marBottom w:val="0"/>
      <w:divBdr>
        <w:top w:val="none" w:sz="0" w:space="0" w:color="auto"/>
        <w:left w:val="none" w:sz="0" w:space="0" w:color="auto"/>
        <w:bottom w:val="none" w:sz="0" w:space="0" w:color="auto"/>
        <w:right w:val="none" w:sz="0" w:space="0" w:color="auto"/>
      </w:divBdr>
    </w:div>
    <w:div w:id="1486125464">
      <w:bodyDiv w:val="1"/>
      <w:marLeft w:val="0"/>
      <w:marRight w:val="0"/>
      <w:marTop w:val="0"/>
      <w:marBottom w:val="0"/>
      <w:divBdr>
        <w:top w:val="none" w:sz="0" w:space="0" w:color="auto"/>
        <w:left w:val="none" w:sz="0" w:space="0" w:color="auto"/>
        <w:bottom w:val="none" w:sz="0" w:space="0" w:color="auto"/>
        <w:right w:val="none" w:sz="0" w:space="0" w:color="auto"/>
      </w:divBdr>
    </w:div>
    <w:div w:id="1488087125">
      <w:bodyDiv w:val="1"/>
      <w:marLeft w:val="0"/>
      <w:marRight w:val="0"/>
      <w:marTop w:val="0"/>
      <w:marBottom w:val="0"/>
      <w:divBdr>
        <w:top w:val="none" w:sz="0" w:space="0" w:color="auto"/>
        <w:left w:val="none" w:sz="0" w:space="0" w:color="auto"/>
        <w:bottom w:val="none" w:sz="0" w:space="0" w:color="auto"/>
        <w:right w:val="none" w:sz="0" w:space="0" w:color="auto"/>
      </w:divBdr>
    </w:div>
    <w:div w:id="1489248412">
      <w:bodyDiv w:val="1"/>
      <w:marLeft w:val="0"/>
      <w:marRight w:val="0"/>
      <w:marTop w:val="0"/>
      <w:marBottom w:val="0"/>
      <w:divBdr>
        <w:top w:val="none" w:sz="0" w:space="0" w:color="auto"/>
        <w:left w:val="none" w:sz="0" w:space="0" w:color="auto"/>
        <w:bottom w:val="none" w:sz="0" w:space="0" w:color="auto"/>
        <w:right w:val="none" w:sz="0" w:space="0" w:color="auto"/>
      </w:divBdr>
    </w:div>
    <w:div w:id="1491485780">
      <w:bodyDiv w:val="1"/>
      <w:marLeft w:val="0"/>
      <w:marRight w:val="0"/>
      <w:marTop w:val="0"/>
      <w:marBottom w:val="0"/>
      <w:divBdr>
        <w:top w:val="none" w:sz="0" w:space="0" w:color="auto"/>
        <w:left w:val="none" w:sz="0" w:space="0" w:color="auto"/>
        <w:bottom w:val="none" w:sz="0" w:space="0" w:color="auto"/>
        <w:right w:val="none" w:sz="0" w:space="0" w:color="auto"/>
      </w:divBdr>
    </w:div>
    <w:div w:id="1492717058">
      <w:bodyDiv w:val="1"/>
      <w:marLeft w:val="0"/>
      <w:marRight w:val="0"/>
      <w:marTop w:val="0"/>
      <w:marBottom w:val="0"/>
      <w:divBdr>
        <w:top w:val="none" w:sz="0" w:space="0" w:color="auto"/>
        <w:left w:val="none" w:sz="0" w:space="0" w:color="auto"/>
        <w:bottom w:val="none" w:sz="0" w:space="0" w:color="auto"/>
        <w:right w:val="none" w:sz="0" w:space="0" w:color="auto"/>
      </w:divBdr>
    </w:div>
    <w:div w:id="1493134894">
      <w:bodyDiv w:val="1"/>
      <w:marLeft w:val="0"/>
      <w:marRight w:val="0"/>
      <w:marTop w:val="0"/>
      <w:marBottom w:val="0"/>
      <w:divBdr>
        <w:top w:val="none" w:sz="0" w:space="0" w:color="auto"/>
        <w:left w:val="none" w:sz="0" w:space="0" w:color="auto"/>
        <w:bottom w:val="none" w:sz="0" w:space="0" w:color="auto"/>
        <w:right w:val="none" w:sz="0" w:space="0" w:color="auto"/>
      </w:divBdr>
    </w:div>
    <w:div w:id="1493913499">
      <w:bodyDiv w:val="1"/>
      <w:marLeft w:val="0"/>
      <w:marRight w:val="0"/>
      <w:marTop w:val="0"/>
      <w:marBottom w:val="0"/>
      <w:divBdr>
        <w:top w:val="none" w:sz="0" w:space="0" w:color="auto"/>
        <w:left w:val="none" w:sz="0" w:space="0" w:color="auto"/>
        <w:bottom w:val="none" w:sz="0" w:space="0" w:color="auto"/>
        <w:right w:val="none" w:sz="0" w:space="0" w:color="auto"/>
      </w:divBdr>
    </w:div>
    <w:div w:id="1495758342">
      <w:bodyDiv w:val="1"/>
      <w:marLeft w:val="0"/>
      <w:marRight w:val="0"/>
      <w:marTop w:val="0"/>
      <w:marBottom w:val="0"/>
      <w:divBdr>
        <w:top w:val="none" w:sz="0" w:space="0" w:color="auto"/>
        <w:left w:val="none" w:sz="0" w:space="0" w:color="auto"/>
        <w:bottom w:val="none" w:sz="0" w:space="0" w:color="auto"/>
        <w:right w:val="none" w:sz="0" w:space="0" w:color="auto"/>
      </w:divBdr>
    </w:div>
    <w:div w:id="1503081696">
      <w:bodyDiv w:val="1"/>
      <w:marLeft w:val="0"/>
      <w:marRight w:val="0"/>
      <w:marTop w:val="0"/>
      <w:marBottom w:val="0"/>
      <w:divBdr>
        <w:top w:val="none" w:sz="0" w:space="0" w:color="auto"/>
        <w:left w:val="none" w:sz="0" w:space="0" w:color="auto"/>
        <w:bottom w:val="none" w:sz="0" w:space="0" w:color="auto"/>
        <w:right w:val="none" w:sz="0" w:space="0" w:color="auto"/>
      </w:divBdr>
    </w:div>
    <w:div w:id="1505512311">
      <w:bodyDiv w:val="1"/>
      <w:marLeft w:val="0"/>
      <w:marRight w:val="0"/>
      <w:marTop w:val="0"/>
      <w:marBottom w:val="0"/>
      <w:divBdr>
        <w:top w:val="none" w:sz="0" w:space="0" w:color="auto"/>
        <w:left w:val="none" w:sz="0" w:space="0" w:color="auto"/>
        <w:bottom w:val="none" w:sz="0" w:space="0" w:color="auto"/>
        <w:right w:val="none" w:sz="0" w:space="0" w:color="auto"/>
      </w:divBdr>
    </w:div>
    <w:div w:id="1505973633">
      <w:bodyDiv w:val="1"/>
      <w:marLeft w:val="0"/>
      <w:marRight w:val="0"/>
      <w:marTop w:val="0"/>
      <w:marBottom w:val="0"/>
      <w:divBdr>
        <w:top w:val="none" w:sz="0" w:space="0" w:color="auto"/>
        <w:left w:val="none" w:sz="0" w:space="0" w:color="auto"/>
        <w:bottom w:val="none" w:sz="0" w:space="0" w:color="auto"/>
        <w:right w:val="none" w:sz="0" w:space="0" w:color="auto"/>
      </w:divBdr>
    </w:div>
    <w:div w:id="1507138028">
      <w:bodyDiv w:val="1"/>
      <w:marLeft w:val="0"/>
      <w:marRight w:val="0"/>
      <w:marTop w:val="0"/>
      <w:marBottom w:val="0"/>
      <w:divBdr>
        <w:top w:val="none" w:sz="0" w:space="0" w:color="auto"/>
        <w:left w:val="none" w:sz="0" w:space="0" w:color="auto"/>
        <w:bottom w:val="none" w:sz="0" w:space="0" w:color="auto"/>
        <w:right w:val="none" w:sz="0" w:space="0" w:color="auto"/>
      </w:divBdr>
    </w:div>
    <w:div w:id="1510869408">
      <w:bodyDiv w:val="1"/>
      <w:marLeft w:val="0"/>
      <w:marRight w:val="0"/>
      <w:marTop w:val="0"/>
      <w:marBottom w:val="0"/>
      <w:divBdr>
        <w:top w:val="none" w:sz="0" w:space="0" w:color="auto"/>
        <w:left w:val="none" w:sz="0" w:space="0" w:color="auto"/>
        <w:bottom w:val="none" w:sz="0" w:space="0" w:color="auto"/>
        <w:right w:val="none" w:sz="0" w:space="0" w:color="auto"/>
      </w:divBdr>
    </w:div>
    <w:div w:id="1510875097">
      <w:bodyDiv w:val="1"/>
      <w:marLeft w:val="0"/>
      <w:marRight w:val="0"/>
      <w:marTop w:val="0"/>
      <w:marBottom w:val="0"/>
      <w:divBdr>
        <w:top w:val="none" w:sz="0" w:space="0" w:color="auto"/>
        <w:left w:val="none" w:sz="0" w:space="0" w:color="auto"/>
        <w:bottom w:val="none" w:sz="0" w:space="0" w:color="auto"/>
        <w:right w:val="none" w:sz="0" w:space="0" w:color="auto"/>
      </w:divBdr>
    </w:div>
    <w:div w:id="1516766606">
      <w:bodyDiv w:val="1"/>
      <w:marLeft w:val="0"/>
      <w:marRight w:val="0"/>
      <w:marTop w:val="0"/>
      <w:marBottom w:val="0"/>
      <w:divBdr>
        <w:top w:val="none" w:sz="0" w:space="0" w:color="auto"/>
        <w:left w:val="none" w:sz="0" w:space="0" w:color="auto"/>
        <w:bottom w:val="none" w:sz="0" w:space="0" w:color="auto"/>
        <w:right w:val="none" w:sz="0" w:space="0" w:color="auto"/>
      </w:divBdr>
    </w:div>
    <w:div w:id="1516840543">
      <w:bodyDiv w:val="1"/>
      <w:marLeft w:val="0"/>
      <w:marRight w:val="0"/>
      <w:marTop w:val="0"/>
      <w:marBottom w:val="0"/>
      <w:divBdr>
        <w:top w:val="none" w:sz="0" w:space="0" w:color="auto"/>
        <w:left w:val="none" w:sz="0" w:space="0" w:color="auto"/>
        <w:bottom w:val="none" w:sz="0" w:space="0" w:color="auto"/>
        <w:right w:val="none" w:sz="0" w:space="0" w:color="auto"/>
      </w:divBdr>
    </w:div>
    <w:div w:id="1519075159">
      <w:bodyDiv w:val="1"/>
      <w:marLeft w:val="0"/>
      <w:marRight w:val="0"/>
      <w:marTop w:val="0"/>
      <w:marBottom w:val="0"/>
      <w:divBdr>
        <w:top w:val="none" w:sz="0" w:space="0" w:color="auto"/>
        <w:left w:val="none" w:sz="0" w:space="0" w:color="auto"/>
        <w:bottom w:val="none" w:sz="0" w:space="0" w:color="auto"/>
        <w:right w:val="none" w:sz="0" w:space="0" w:color="auto"/>
      </w:divBdr>
    </w:div>
    <w:div w:id="1520049135">
      <w:bodyDiv w:val="1"/>
      <w:marLeft w:val="0"/>
      <w:marRight w:val="0"/>
      <w:marTop w:val="0"/>
      <w:marBottom w:val="0"/>
      <w:divBdr>
        <w:top w:val="none" w:sz="0" w:space="0" w:color="auto"/>
        <w:left w:val="none" w:sz="0" w:space="0" w:color="auto"/>
        <w:bottom w:val="none" w:sz="0" w:space="0" w:color="auto"/>
        <w:right w:val="none" w:sz="0" w:space="0" w:color="auto"/>
      </w:divBdr>
    </w:div>
    <w:div w:id="1522431209">
      <w:bodyDiv w:val="1"/>
      <w:marLeft w:val="0"/>
      <w:marRight w:val="0"/>
      <w:marTop w:val="0"/>
      <w:marBottom w:val="0"/>
      <w:divBdr>
        <w:top w:val="none" w:sz="0" w:space="0" w:color="auto"/>
        <w:left w:val="none" w:sz="0" w:space="0" w:color="auto"/>
        <w:bottom w:val="none" w:sz="0" w:space="0" w:color="auto"/>
        <w:right w:val="none" w:sz="0" w:space="0" w:color="auto"/>
      </w:divBdr>
    </w:div>
    <w:div w:id="1526165989">
      <w:bodyDiv w:val="1"/>
      <w:marLeft w:val="0"/>
      <w:marRight w:val="0"/>
      <w:marTop w:val="0"/>
      <w:marBottom w:val="0"/>
      <w:divBdr>
        <w:top w:val="none" w:sz="0" w:space="0" w:color="auto"/>
        <w:left w:val="none" w:sz="0" w:space="0" w:color="auto"/>
        <w:bottom w:val="none" w:sz="0" w:space="0" w:color="auto"/>
        <w:right w:val="none" w:sz="0" w:space="0" w:color="auto"/>
      </w:divBdr>
    </w:div>
    <w:div w:id="1532449963">
      <w:bodyDiv w:val="1"/>
      <w:marLeft w:val="0"/>
      <w:marRight w:val="0"/>
      <w:marTop w:val="0"/>
      <w:marBottom w:val="0"/>
      <w:divBdr>
        <w:top w:val="none" w:sz="0" w:space="0" w:color="auto"/>
        <w:left w:val="none" w:sz="0" w:space="0" w:color="auto"/>
        <w:bottom w:val="none" w:sz="0" w:space="0" w:color="auto"/>
        <w:right w:val="none" w:sz="0" w:space="0" w:color="auto"/>
      </w:divBdr>
    </w:div>
    <w:div w:id="1536693211">
      <w:bodyDiv w:val="1"/>
      <w:marLeft w:val="0"/>
      <w:marRight w:val="0"/>
      <w:marTop w:val="0"/>
      <w:marBottom w:val="0"/>
      <w:divBdr>
        <w:top w:val="none" w:sz="0" w:space="0" w:color="auto"/>
        <w:left w:val="none" w:sz="0" w:space="0" w:color="auto"/>
        <w:bottom w:val="none" w:sz="0" w:space="0" w:color="auto"/>
        <w:right w:val="none" w:sz="0" w:space="0" w:color="auto"/>
      </w:divBdr>
    </w:div>
    <w:div w:id="1537961369">
      <w:bodyDiv w:val="1"/>
      <w:marLeft w:val="0"/>
      <w:marRight w:val="0"/>
      <w:marTop w:val="0"/>
      <w:marBottom w:val="0"/>
      <w:divBdr>
        <w:top w:val="none" w:sz="0" w:space="0" w:color="auto"/>
        <w:left w:val="none" w:sz="0" w:space="0" w:color="auto"/>
        <w:bottom w:val="none" w:sz="0" w:space="0" w:color="auto"/>
        <w:right w:val="none" w:sz="0" w:space="0" w:color="auto"/>
      </w:divBdr>
    </w:div>
    <w:div w:id="1538546749">
      <w:bodyDiv w:val="1"/>
      <w:marLeft w:val="0"/>
      <w:marRight w:val="0"/>
      <w:marTop w:val="0"/>
      <w:marBottom w:val="0"/>
      <w:divBdr>
        <w:top w:val="none" w:sz="0" w:space="0" w:color="auto"/>
        <w:left w:val="none" w:sz="0" w:space="0" w:color="auto"/>
        <w:bottom w:val="none" w:sz="0" w:space="0" w:color="auto"/>
        <w:right w:val="none" w:sz="0" w:space="0" w:color="auto"/>
      </w:divBdr>
    </w:div>
    <w:div w:id="1543060206">
      <w:bodyDiv w:val="1"/>
      <w:marLeft w:val="0"/>
      <w:marRight w:val="0"/>
      <w:marTop w:val="0"/>
      <w:marBottom w:val="0"/>
      <w:divBdr>
        <w:top w:val="none" w:sz="0" w:space="0" w:color="auto"/>
        <w:left w:val="none" w:sz="0" w:space="0" w:color="auto"/>
        <w:bottom w:val="none" w:sz="0" w:space="0" w:color="auto"/>
        <w:right w:val="none" w:sz="0" w:space="0" w:color="auto"/>
      </w:divBdr>
    </w:div>
    <w:div w:id="1544171408">
      <w:bodyDiv w:val="1"/>
      <w:marLeft w:val="0"/>
      <w:marRight w:val="0"/>
      <w:marTop w:val="0"/>
      <w:marBottom w:val="0"/>
      <w:divBdr>
        <w:top w:val="none" w:sz="0" w:space="0" w:color="auto"/>
        <w:left w:val="none" w:sz="0" w:space="0" w:color="auto"/>
        <w:bottom w:val="none" w:sz="0" w:space="0" w:color="auto"/>
        <w:right w:val="none" w:sz="0" w:space="0" w:color="auto"/>
      </w:divBdr>
    </w:div>
    <w:div w:id="1545213366">
      <w:bodyDiv w:val="1"/>
      <w:marLeft w:val="0"/>
      <w:marRight w:val="0"/>
      <w:marTop w:val="0"/>
      <w:marBottom w:val="0"/>
      <w:divBdr>
        <w:top w:val="none" w:sz="0" w:space="0" w:color="auto"/>
        <w:left w:val="none" w:sz="0" w:space="0" w:color="auto"/>
        <w:bottom w:val="none" w:sz="0" w:space="0" w:color="auto"/>
        <w:right w:val="none" w:sz="0" w:space="0" w:color="auto"/>
      </w:divBdr>
    </w:div>
    <w:div w:id="1551768750">
      <w:bodyDiv w:val="1"/>
      <w:marLeft w:val="0"/>
      <w:marRight w:val="0"/>
      <w:marTop w:val="0"/>
      <w:marBottom w:val="0"/>
      <w:divBdr>
        <w:top w:val="none" w:sz="0" w:space="0" w:color="auto"/>
        <w:left w:val="none" w:sz="0" w:space="0" w:color="auto"/>
        <w:bottom w:val="none" w:sz="0" w:space="0" w:color="auto"/>
        <w:right w:val="none" w:sz="0" w:space="0" w:color="auto"/>
      </w:divBdr>
    </w:div>
    <w:div w:id="1554389124">
      <w:bodyDiv w:val="1"/>
      <w:marLeft w:val="0"/>
      <w:marRight w:val="0"/>
      <w:marTop w:val="0"/>
      <w:marBottom w:val="0"/>
      <w:divBdr>
        <w:top w:val="none" w:sz="0" w:space="0" w:color="auto"/>
        <w:left w:val="none" w:sz="0" w:space="0" w:color="auto"/>
        <w:bottom w:val="none" w:sz="0" w:space="0" w:color="auto"/>
        <w:right w:val="none" w:sz="0" w:space="0" w:color="auto"/>
      </w:divBdr>
    </w:div>
    <w:div w:id="1554391531">
      <w:bodyDiv w:val="1"/>
      <w:marLeft w:val="0"/>
      <w:marRight w:val="0"/>
      <w:marTop w:val="0"/>
      <w:marBottom w:val="0"/>
      <w:divBdr>
        <w:top w:val="none" w:sz="0" w:space="0" w:color="auto"/>
        <w:left w:val="none" w:sz="0" w:space="0" w:color="auto"/>
        <w:bottom w:val="none" w:sz="0" w:space="0" w:color="auto"/>
        <w:right w:val="none" w:sz="0" w:space="0" w:color="auto"/>
      </w:divBdr>
    </w:div>
    <w:div w:id="1555433797">
      <w:bodyDiv w:val="1"/>
      <w:marLeft w:val="0"/>
      <w:marRight w:val="0"/>
      <w:marTop w:val="0"/>
      <w:marBottom w:val="0"/>
      <w:divBdr>
        <w:top w:val="none" w:sz="0" w:space="0" w:color="auto"/>
        <w:left w:val="none" w:sz="0" w:space="0" w:color="auto"/>
        <w:bottom w:val="none" w:sz="0" w:space="0" w:color="auto"/>
        <w:right w:val="none" w:sz="0" w:space="0" w:color="auto"/>
      </w:divBdr>
    </w:div>
    <w:div w:id="1556038599">
      <w:bodyDiv w:val="1"/>
      <w:marLeft w:val="0"/>
      <w:marRight w:val="0"/>
      <w:marTop w:val="0"/>
      <w:marBottom w:val="0"/>
      <w:divBdr>
        <w:top w:val="none" w:sz="0" w:space="0" w:color="auto"/>
        <w:left w:val="none" w:sz="0" w:space="0" w:color="auto"/>
        <w:bottom w:val="none" w:sz="0" w:space="0" w:color="auto"/>
        <w:right w:val="none" w:sz="0" w:space="0" w:color="auto"/>
      </w:divBdr>
    </w:div>
    <w:div w:id="1558708541">
      <w:bodyDiv w:val="1"/>
      <w:marLeft w:val="0"/>
      <w:marRight w:val="0"/>
      <w:marTop w:val="0"/>
      <w:marBottom w:val="0"/>
      <w:divBdr>
        <w:top w:val="none" w:sz="0" w:space="0" w:color="auto"/>
        <w:left w:val="none" w:sz="0" w:space="0" w:color="auto"/>
        <w:bottom w:val="none" w:sz="0" w:space="0" w:color="auto"/>
        <w:right w:val="none" w:sz="0" w:space="0" w:color="auto"/>
      </w:divBdr>
    </w:div>
    <w:div w:id="1564870784">
      <w:bodyDiv w:val="1"/>
      <w:marLeft w:val="0"/>
      <w:marRight w:val="0"/>
      <w:marTop w:val="0"/>
      <w:marBottom w:val="0"/>
      <w:divBdr>
        <w:top w:val="none" w:sz="0" w:space="0" w:color="auto"/>
        <w:left w:val="none" w:sz="0" w:space="0" w:color="auto"/>
        <w:bottom w:val="none" w:sz="0" w:space="0" w:color="auto"/>
        <w:right w:val="none" w:sz="0" w:space="0" w:color="auto"/>
      </w:divBdr>
    </w:div>
    <w:div w:id="1568299064">
      <w:bodyDiv w:val="1"/>
      <w:marLeft w:val="0"/>
      <w:marRight w:val="0"/>
      <w:marTop w:val="0"/>
      <w:marBottom w:val="0"/>
      <w:divBdr>
        <w:top w:val="none" w:sz="0" w:space="0" w:color="auto"/>
        <w:left w:val="none" w:sz="0" w:space="0" w:color="auto"/>
        <w:bottom w:val="none" w:sz="0" w:space="0" w:color="auto"/>
        <w:right w:val="none" w:sz="0" w:space="0" w:color="auto"/>
      </w:divBdr>
    </w:div>
    <w:div w:id="1571768771">
      <w:bodyDiv w:val="1"/>
      <w:marLeft w:val="0"/>
      <w:marRight w:val="0"/>
      <w:marTop w:val="0"/>
      <w:marBottom w:val="0"/>
      <w:divBdr>
        <w:top w:val="none" w:sz="0" w:space="0" w:color="auto"/>
        <w:left w:val="none" w:sz="0" w:space="0" w:color="auto"/>
        <w:bottom w:val="none" w:sz="0" w:space="0" w:color="auto"/>
        <w:right w:val="none" w:sz="0" w:space="0" w:color="auto"/>
      </w:divBdr>
    </w:div>
    <w:div w:id="1578243136">
      <w:bodyDiv w:val="1"/>
      <w:marLeft w:val="0"/>
      <w:marRight w:val="0"/>
      <w:marTop w:val="0"/>
      <w:marBottom w:val="0"/>
      <w:divBdr>
        <w:top w:val="none" w:sz="0" w:space="0" w:color="auto"/>
        <w:left w:val="none" w:sz="0" w:space="0" w:color="auto"/>
        <w:bottom w:val="none" w:sz="0" w:space="0" w:color="auto"/>
        <w:right w:val="none" w:sz="0" w:space="0" w:color="auto"/>
      </w:divBdr>
    </w:div>
    <w:div w:id="1579559997">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585605670">
      <w:bodyDiv w:val="1"/>
      <w:marLeft w:val="0"/>
      <w:marRight w:val="0"/>
      <w:marTop w:val="0"/>
      <w:marBottom w:val="0"/>
      <w:divBdr>
        <w:top w:val="none" w:sz="0" w:space="0" w:color="auto"/>
        <w:left w:val="none" w:sz="0" w:space="0" w:color="auto"/>
        <w:bottom w:val="none" w:sz="0" w:space="0" w:color="auto"/>
        <w:right w:val="none" w:sz="0" w:space="0" w:color="auto"/>
      </w:divBdr>
    </w:div>
    <w:div w:id="1585794192">
      <w:bodyDiv w:val="1"/>
      <w:marLeft w:val="0"/>
      <w:marRight w:val="0"/>
      <w:marTop w:val="0"/>
      <w:marBottom w:val="0"/>
      <w:divBdr>
        <w:top w:val="none" w:sz="0" w:space="0" w:color="auto"/>
        <w:left w:val="none" w:sz="0" w:space="0" w:color="auto"/>
        <w:bottom w:val="none" w:sz="0" w:space="0" w:color="auto"/>
        <w:right w:val="none" w:sz="0" w:space="0" w:color="auto"/>
      </w:divBdr>
    </w:div>
    <w:div w:id="1586649652">
      <w:bodyDiv w:val="1"/>
      <w:marLeft w:val="0"/>
      <w:marRight w:val="0"/>
      <w:marTop w:val="0"/>
      <w:marBottom w:val="0"/>
      <w:divBdr>
        <w:top w:val="none" w:sz="0" w:space="0" w:color="auto"/>
        <w:left w:val="none" w:sz="0" w:space="0" w:color="auto"/>
        <w:bottom w:val="none" w:sz="0" w:space="0" w:color="auto"/>
        <w:right w:val="none" w:sz="0" w:space="0" w:color="auto"/>
      </w:divBdr>
    </w:div>
    <w:div w:id="1589074634">
      <w:bodyDiv w:val="1"/>
      <w:marLeft w:val="0"/>
      <w:marRight w:val="0"/>
      <w:marTop w:val="0"/>
      <w:marBottom w:val="0"/>
      <w:divBdr>
        <w:top w:val="none" w:sz="0" w:space="0" w:color="auto"/>
        <w:left w:val="none" w:sz="0" w:space="0" w:color="auto"/>
        <w:bottom w:val="none" w:sz="0" w:space="0" w:color="auto"/>
        <w:right w:val="none" w:sz="0" w:space="0" w:color="auto"/>
      </w:divBdr>
    </w:div>
    <w:div w:id="1591037694">
      <w:bodyDiv w:val="1"/>
      <w:marLeft w:val="0"/>
      <w:marRight w:val="0"/>
      <w:marTop w:val="0"/>
      <w:marBottom w:val="0"/>
      <w:divBdr>
        <w:top w:val="none" w:sz="0" w:space="0" w:color="auto"/>
        <w:left w:val="none" w:sz="0" w:space="0" w:color="auto"/>
        <w:bottom w:val="none" w:sz="0" w:space="0" w:color="auto"/>
        <w:right w:val="none" w:sz="0" w:space="0" w:color="auto"/>
      </w:divBdr>
    </w:div>
    <w:div w:id="1591694264">
      <w:bodyDiv w:val="1"/>
      <w:marLeft w:val="0"/>
      <w:marRight w:val="0"/>
      <w:marTop w:val="0"/>
      <w:marBottom w:val="0"/>
      <w:divBdr>
        <w:top w:val="none" w:sz="0" w:space="0" w:color="auto"/>
        <w:left w:val="none" w:sz="0" w:space="0" w:color="auto"/>
        <w:bottom w:val="none" w:sz="0" w:space="0" w:color="auto"/>
        <w:right w:val="none" w:sz="0" w:space="0" w:color="auto"/>
      </w:divBdr>
    </w:div>
    <w:div w:id="1592859063">
      <w:bodyDiv w:val="1"/>
      <w:marLeft w:val="0"/>
      <w:marRight w:val="0"/>
      <w:marTop w:val="0"/>
      <w:marBottom w:val="0"/>
      <w:divBdr>
        <w:top w:val="none" w:sz="0" w:space="0" w:color="auto"/>
        <w:left w:val="none" w:sz="0" w:space="0" w:color="auto"/>
        <w:bottom w:val="none" w:sz="0" w:space="0" w:color="auto"/>
        <w:right w:val="none" w:sz="0" w:space="0" w:color="auto"/>
      </w:divBdr>
    </w:div>
    <w:div w:id="1594049479">
      <w:bodyDiv w:val="1"/>
      <w:marLeft w:val="0"/>
      <w:marRight w:val="0"/>
      <w:marTop w:val="0"/>
      <w:marBottom w:val="0"/>
      <w:divBdr>
        <w:top w:val="none" w:sz="0" w:space="0" w:color="auto"/>
        <w:left w:val="none" w:sz="0" w:space="0" w:color="auto"/>
        <w:bottom w:val="none" w:sz="0" w:space="0" w:color="auto"/>
        <w:right w:val="none" w:sz="0" w:space="0" w:color="auto"/>
      </w:divBdr>
    </w:div>
    <w:div w:id="1594241689">
      <w:bodyDiv w:val="1"/>
      <w:marLeft w:val="0"/>
      <w:marRight w:val="0"/>
      <w:marTop w:val="0"/>
      <w:marBottom w:val="0"/>
      <w:divBdr>
        <w:top w:val="none" w:sz="0" w:space="0" w:color="auto"/>
        <w:left w:val="none" w:sz="0" w:space="0" w:color="auto"/>
        <w:bottom w:val="none" w:sz="0" w:space="0" w:color="auto"/>
        <w:right w:val="none" w:sz="0" w:space="0" w:color="auto"/>
      </w:divBdr>
    </w:div>
    <w:div w:id="1597833381">
      <w:bodyDiv w:val="1"/>
      <w:marLeft w:val="0"/>
      <w:marRight w:val="0"/>
      <w:marTop w:val="0"/>
      <w:marBottom w:val="0"/>
      <w:divBdr>
        <w:top w:val="none" w:sz="0" w:space="0" w:color="auto"/>
        <w:left w:val="none" w:sz="0" w:space="0" w:color="auto"/>
        <w:bottom w:val="none" w:sz="0" w:space="0" w:color="auto"/>
        <w:right w:val="none" w:sz="0" w:space="0" w:color="auto"/>
      </w:divBdr>
    </w:div>
    <w:div w:id="1599865985">
      <w:bodyDiv w:val="1"/>
      <w:marLeft w:val="0"/>
      <w:marRight w:val="0"/>
      <w:marTop w:val="0"/>
      <w:marBottom w:val="0"/>
      <w:divBdr>
        <w:top w:val="none" w:sz="0" w:space="0" w:color="auto"/>
        <w:left w:val="none" w:sz="0" w:space="0" w:color="auto"/>
        <w:bottom w:val="none" w:sz="0" w:space="0" w:color="auto"/>
        <w:right w:val="none" w:sz="0" w:space="0" w:color="auto"/>
      </w:divBdr>
    </w:div>
    <w:div w:id="1602756503">
      <w:bodyDiv w:val="1"/>
      <w:marLeft w:val="0"/>
      <w:marRight w:val="0"/>
      <w:marTop w:val="0"/>
      <w:marBottom w:val="0"/>
      <w:divBdr>
        <w:top w:val="none" w:sz="0" w:space="0" w:color="auto"/>
        <w:left w:val="none" w:sz="0" w:space="0" w:color="auto"/>
        <w:bottom w:val="none" w:sz="0" w:space="0" w:color="auto"/>
        <w:right w:val="none" w:sz="0" w:space="0" w:color="auto"/>
      </w:divBdr>
    </w:div>
    <w:div w:id="1607158924">
      <w:bodyDiv w:val="1"/>
      <w:marLeft w:val="0"/>
      <w:marRight w:val="0"/>
      <w:marTop w:val="0"/>
      <w:marBottom w:val="0"/>
      <w:divBdr>
        <w:top w:val="none" w:sz="0" w:space="0" w:color="auto"/>
        <w:left w:val="none" w:sz="0" w:space="0" w:color="auto"/>
        <w:bottom w:val="none" w:sz="0" w:space="0" w:color="auto"/>
        <w:right w:val="none" w:sz="0" w:space="0" w:color="auto"/>
      </w:divBdr>
    </w:div>
    <w:div w:id="1610625805">
      <w:bodyDiv w:val="1"/>
      <w:marLeft w:val="0"/>
      <w:marRight w:val="0"/>
      <w:marTop w:val="0"/>
      <w:marBottom w:val="0"/>
      <w:divBdr>
        <w:top w:val="none" w:sz="0" w:space="0" w:color="auto"/>
        <w:left w:val="none" w:sz="0" w:space="0" w:color="auto"/>
        <w:bottom w:val="none" w:sz="0" w:space="0" w:color="auto"/>
        <w:right w:val="none" w:sz="0" w:space="0" w:color="auto"/>
      </w:divBdr>
    </w:div>
    <w:div w:id="1613396338">
      <w:bodyDiv w:val="1"/>
      <w:marLeft w:val="0"/>
      <w:marRight w:val="0"/>
      <w:marTop w:val="0"/>
      <w:marBottom w:val="0"/>
      <w:divBdr>
        <w:top w:val="none" w:sz="0" w:space="0" w:color="auto"/>
        <w:left w:val="none" w:sz="0" w:space="0" w:color="auto"/>
        <w:bottom w:val="none" w:sz="0" w:space="0" w:color="auto"/>
        <w:right w:val="none" w:sz="0" w:space="0" w:color="auto"/>
      </w:divBdr>
    </w:div>
    <w:div w:id="1617248050">
      <w:bodyDiv w:val="1"/>
      <w:marLeft w:val="0"/>
      <w:marRight w:val="0"/>
      <w:marTop w:val="0"/>
      <w:marBottom w:val="0"/>
      <w:divBdr>
        <w:top w:val="none" w:sz="0" w:space="0" w:color="auto"/>
        <w:left w:val="none" w:sz="0" w:space="0" w:color="auto"/>
        <w:bottom w:val="none" w:sz="0" w:space="0" w:color="auto"/>
        <w:right w:val="none" w:sz="0" w:space="0" w:color="auto"/>
      </w:divBdr>
    </w:div>
    <w:div w:id="1617251540">
      <w:bodyDiv w:val="1"/>
      <w:marLeft w:val="0"/>
      <w:marRight w:val="0"/>
      <w:marTop w:val="0"/>
      <w:marBottom w:val="0"/>
      <w:divBdr>
        <w:top w:val="none" w:sz="0" w:space="0" w:color="auto"/>
        <w:left w:val="none" w:sz="0" w:space="0" w:color="auto"/>
        <w:bottom w:val="none" w:sz="0" w:space="0" w:color="auto"/>
        <w:right w:val="none" w:sz="0" w:space="0" w:color="auto"/>
      </w:divBdr>
    </w:div>
    <w:div w:id="1618174423">
      <w:bodyDiv w:val="1"/>
      <w:marLeft w:val="0"/>
      <w:marRight w:val="0"/>
      <w:marTop w:val="0"/>
      <w:marBottom w:val="0"/>
      <w:divBdr>
        <w:top w:val="none" w:sz="0" w:space="0" w:color="auto"/>
        <w:left w:val="none" w:sz="0" w:space="0" w:color="auto"/>
        <w:bottom w:val="none" w:sz="0" w:space="0" w:color="auto"/>
        <w:right w:val="none" w:sz="0" w:space="0" w:color="auto"/>
      </w:divBdr>
    </w:div>
    <w:div w:id="1619794817">
      <w:bodyDiv w:val="1"/>
      <w:marLeft w:val="0"/>
      <w:marRight w:val="0"/>
      <w:marTop w:val="0"/>
      <w:marBottom w:val="0"/>
      <w:divBdr>
        <w:top w:val="none" w:sz="0" w:space="0" w:color="auto"/>
        <w:left w:val="none" w:sz="0" w:space="0" w:color="auto"/>
        <w:bottom w:val="none" w:sz="0" w:space="0" w:color="auto"/>
        <w:right w:val="none" w:sz="0" w:space="0" w:color="auto"/>
      </w:divBdr>
    </w:div>
    <w:div w:id="1619798017">
      <w:bodyDiv w:val="1"/>
      <w:marLeft w:val="0"/>
      <w:marRight w:val="0"/>
      <w:marTop w:val="0"/>
      <w:marBottom w:val="0"/>
      <w:divBdr>
        <w:top w:val="none" w:sz="0" w:space="0" w:color="auto"/>
        <w:left w:val="none" w:sz="0" w:space="0" w:color="auto"/>
        <w:bottom w:val="none" w:sz="0" w:space="0" w:color="auto"/>
        <w:right w:val="none" w:sz="0" w:space="0" w:color="auto"/>
      </w:divBdr>
    </w:div>
    <w:div w:id="1622111452">
      <w:bodyDiv w:val="1"/>
      <w:marLeft w:val="0"/>
      <w:marRight w:val="0"/>
      <w:marTop w:val="0"/>
      <w:marBottom w:val="0"/>
      <w:divBdr>
        <w:top w:val="none" w:sz="0" w:space="0" w:color="auto"/>
        <w:left w:val="none" w:sz="0" w:space="0" w:color="auto"/>
        <w:bottom w:val="none" w:sz="0" w:space="0" w:color="auto"/>
        <w:right w:val="none" w:sz="0" w:space="0" w:color="auto"/>
      </w:divBdr>
    </w:div>
    <w:div w:id="1628075400">
      <w:bodyDiv w:val="1"/>
      <w:marLeft w:val="0"/>
      <w:marRight w:val="0"/>
      <w:marTop w:val="0"/>
      <w:marBottom w:val="0"/>
      <w:divBdr>
        <w:top w:val="none" w:sz="0" w:space="0" w:color="auto"/>
        <w:left w:val="none" w:sz="0" w:space="0" w:color="auto"/>
        <w:bottom w:val="none" w:sz="0" w:space="0" w:color="auto"/>
        <w:right w:val="none" w:sz="0" w:space="0" w:color="auto"/>
      </w:divBdr>
    </w:div>
    <w:div w:id="1629623258">
      <w:bodyDiv w:val="1"/>
      <w:marLeft w:val="0"/>
      <w:marRight w:val="0"/>
      <w:marTop w:val="0"/>
      <w:marBottom w:val="0"/>
      <w:divBdr>
        <w:top w:val="none" w:sz="0" w:space="0" w:color="auto"/>
        <w:left w:val="none" w:sz="0" w:space="0" w:color="auto"/>
        <w:bottom w:val="none" w:sz="0" w:space="0" w:color="auto"/>
        <w:right w:val="none" w:sz="0" w:space="0" w:color="auto"/>
      </w:divBdr>
    </w:div>
    <w:div w:id="1631008820">
      <w:bodyDiv w:val="1"/>
      <w:marLeft w:val="0"/>
      <w:marRight w:val="0"/>
      <w:marTop w:val="0"/>
      <w:marBottom w:val="0"/>
      <w:divBdr>
        <w:top w:val="none" w:sz="0" w:space="0" w:color="auto"/>
        <w:left w:val="none" w:sz="0" w:space="0" w:color="auto"/>
        <w:bottom w:val="none" w:sz="0" w:space="0" w:color="auto"/>
        <w:right w:val="none" w:sz="0" w:space="0" w:color="auto"/>
      </w:divBdr>
    </w:div>
    <w:div w:id="1637224884">
      <w:bodyDiv w:val="1"/>
      <w:marLeft w:val="0"/>
      <w:marRight w:val="0"/>
      <w:marTop w:val="0"/>
      <w:marBottom w:val="0"/>
      <w:divBdr>
        <w:top w:val="none" w:sz="0" w:space="0" w:color="auto"/>
        <w:left w:val="none" w:sz="0" w:space="0" w:color="auto"/>
        <w:bottom w:val="none" w:sz="0" w:space="0" w:color="auto"/>
        <w:right w:val="none" w:sz="0" w:space="0" w:color="auto"/>
      </w:divBdr>
    </w:div>
    <w:div w:id="1639070184">
      <w:bodyDiv w:val="1"/>
      <w:marLeft w:val="0"/>
      <w:marRight w:val="0"/>
      <w:marTop w:val="0"/>
      <w:marBottom w:val="0"/>
      <w:divBdr>
        <w:top w:val="none" w:sz="0" w:space="0" w:color="auto"/>
        <w:left w:val="none" w:sz="0" w:space="0" w:color="auto"/>
        <w:bottom w:val="none" w:sz="0" w:space="0" w:color="auto"/>
        <w:right w:val="none" w:sz="0" w:space="0" w:color="auto"/>
      </w:divBdr>
    </w:div>
    <w:div w:id="1641182311">
      <w:bodyDiv w:val="1"/>
      <w:marLeft w:val="0"/>
      <w:marRight w:val="0"/>
      <w:marTop w:val="0"/>
      <w:marBottom w:val="0"/>
      <w:divBdr>
        <w:top w:val="none" w:sz="0" w:space="0" w:color="auto"/>
        <w:left w:val="none" w:sz="0" w:space="0" w:color="auto"/>
        <w:bottom w:val="none" w:sz="0" w:space="0" w:color="auto"/>
        <w:right w:val="none" w:sz="0" w:space="0" w:color="auto"/>
      </w:divBdr>
    </w:div>
    <w:div w:id="1643463307">
      <w:bodyDiv w:val="1"/>
      <w:marLeft w:val="0"/>
      <w:marRight w:val="0"/>
      <w:marTop w:val="0"/>
      <w:marBottom w:val="0"/>
      <w:divBdr>
        <w:top w:val="none" w:sz="0" w:space="0" w:color="auto"/>
        <w:left w:val="none" w:sz="0" w:space="0" w:color="auto"/>
        <w:bottom w:val="none" w:sz="0" w:space="0" w:color="auto"/>
        <w:right w:val="none" w:sz="0" w:space="0" w:color="auto"/>
      </w:divBdr>
    </w:div>
    <w:div w:id="1645889882">
      <w:bodyDiv w:val="1"/>
      <w:marLeft w:val="0"/>
      <w:marRight w:val="0"/>
      <w:marTop w:val="0"/>
      <w:marBottom w:val="0"/>
      <w:divBdr>
        <w:top w:val="none" w:sz="0" w:space="0" w:color="auto"/>
        <w:left w:val="none" w:sz="0" w:space="0" w:color="auto"/>
        <w:bottom w:val="none" w:sz="0" w:space="0" w:color="auto"/>
        <w:right w:val="none" w:sz="0" w:space="0" w:color="auto"/>
      </w:divBdr>
    </w:div>
    <w:div w:id="1647126724">
      <w:bodyDiv w:val="1"/>
      <w:marLeft w:val="0"/>
      <w:marRight w:val="0"/>
      <w:marTop w:val="0"/>
      <w:marBottom w:val="0"/>
      <w:divBdr>
        <w:top w:val="none" w:sz="0" w:space="0" w:color="auto"/>
        <w:left w:val="none" w:sz="0" w:space="0" w:color="auto"/>
        <w:bottom w:val="none" w:sz="0" w:space="0" w:color="auto"/>
        <w:right w:val="none" w:sz="0" w:space="0" w:color="auto"/>
      </w:divBdr>
    </w:div>
    <w:div w:id="1649935949">
      <w:bodyDiv w:val="1"/>
      <w:marLeft w:val="0"/>
      <w:marRight w:val="0"/>
      <w:marTop w:val="0"/>
      <w:marBottom w:val="0"/>
      <w:divBdr>
        <w:top w:val="none" w:sz="0" w:space="0" w:color="auto"/>
        <w:left w:val="none" w:sz="0" w:space="0" w:color="auto"/>
        <w:bottom w:val="none" w:sz="0" w:space="0" w:color="auto"/>
        <w:right w:val="none" w:sz="0" w:space="0" w:color="auto"/>
      </w:divBdr>
    </w:div>
    <w:div w:id="1651134082">
      <w:bodyDiv w:val="1"/>
      <w:marLeft w:val="0"/>
      <w:marRight w:val="0"/>
      <w:marTop w:val="0"/>
      <w:marBottom w:val="0"/>
      <w:divBdr>
        <w:top w:val="none" w:sz="0" w:space="0" w:color="auto"/>
        <w:left w:val="none" w:sz="0" w:space="0" w:color="auto"/>
        <w:bottom w:val="none" w:sz="0" w:space="0" w:color="auto"/>
        <w:right w:val="none" w:sz="0" w:space="0" w:color="auto"/>
      </w:divBdr>
    </w:div>
    <w:div w:id="1653094841">
      <w:bodyDiv w:val="1"/>
      <w:marLeft w:val="0"/>
      <w:marRight w:val="0"/>
      <w:marTop w:val="0"/>
      <w:marBottom w:val="0"/>
      <w:divBdr>
        <w:top w:val="none" w:sz="0" w:space="0" w:color="auto"/>
        <w:left w:val="none" w:sz="0" w:space="0" w:color="auto"/>
        <w:bottom w:val="none" w:sz="0" w:space="0" w:color="auto"/>
        <w:right w:val="none" w:sz="0" w:space="0" w:color="auto"/>
      </w:divBdr>
    </w:div>
    <w:div w:id="1656454509">
      <w:bodyDiv w:val="1"/>
      <w:marLeft w:val="0"/>
      <w:marRight w:val="0"/>
      <w:marTop w:val="0"/>
      <w:marBottom w:val="0"/>
      <w:divBdr>
        <w:top w:val="none" w:sz="0" w:space="0" w:color="auto"/>
        <w:left w:val="none" w:sz="0" w:space="0" w:color="auto"/>
        <w:bottom w:val="none" w:sz="0" w:space="0" w:color="auto"/>
        <w:right w:val="none" w:sz="0" w:space="0" w:color="auto"/>
      </w:divBdr>
    </w:div>
    <w:div w:id="1658147079">
      <w:bodyDiv w:val="1"/>
      <w:marLeft w:val="0"/>
      <w:marRight w:val="0"/>
      <w:marTop w:val="0"/>
      <w:marBottom w:val="0"/>
      <w:divBdr>
        <w:top w:val="none" w:sz="0" w:space="0" w:color="auto"/>
        <w:left w:val="none" w:sz="0" w:space="0" w:color="auto"/>
        <w:bottom w:val="none" w:sz="0" w:space="0" w:color="auto"/>
        <w:right w:val="none" w:sz="0" w:space="0" w:color="auto"/>
      </w:divBdr>
    </w:div>
    <w:div w:id="1659650085">
      <w:bodyDiv w:val="1"/>
      <w:marLeft w:val="0"/>
      <w:marRight w:val="0"/>
      <w:marTop w:val="0"/>
      <w:marBottom w:val="0"/>
      <w:divBdr>
        <w:top w:val="none" w:sz="0" w:space="0" w:color="auto"/>
        <w:left w:val="none" w:sz="0" w:space="0" w:color="auto"/>
        <w:bottom w:val="none" w:sz="0" w:space="0" w:color="auto"/>
        <w:right w:val="none" w:sz="0" w:space="0" w:color="auto"/>
      </w:divBdr>
    </w:div>
    <w:div w:id="1660579369">
      <w:bodyDiv w:val="1"/>
      <w:marLeft w:val="0"/>
      <w:marRight w:val="0"/>
      <w:marTop w:val="0"/>
      <w:marBottom w:val="0"/>
      <w:divBdr>
        <w:top w:val="none" w:sz="0" w:space="0" w:color="auto"/>
        <w:left w:val="none" w:sz="0" w:space="0" w:color="auto"/>
        <w:bottom w:val="none" w:sz="0" w:space="0" w:color="auto"/>
        <w:right w:val="none" w:sz="0" w:space="0" w:color="auto"/>
      </w:divBdr>
    </w:div>
    <w:div w:id="1664820298">
      <w:bodyDiv w:val="1"/>
      <w:marLeft w:val="0"/>
      <w:marRight w:val="0"/>
      <w:marTop w:val="0"/>
      <w:marBottom w:val="0"/>
      <w:divBdr>
        <w:top w:val="none" w:sz="0" w:space="0" w:color="auto"/>
        <w:left w:val="none" w:sz="0" w:space="0" w:color="auto"/>
        <w:bottom w:val="none" w:sz="0" w:space="0" w:color="auto"/>
        <w:right w:val="none" w:sz="0" w:space="0" w:color="auto"/>
      </w:divBdr>
    </w:div>
    <w:div w:id="1671526011">
      <w:bodyDiv w:val="1"/>
      <w:marLeft w:val="0"/>
      <w:marRight w:val="0"/>
      <w:marTop w:val="0"/>
      <w:marBottom w:val="0"/>
      <w:divBdr>
        <w:top w:val="none" w:sz="0" w:space="0" w:color="auto"/>
        <w:left w:val="none" w:sz="0" w:space="0" w:color="auto"/>
        <w:bottom w:val="none" w:sz="0" w:space="0" w:color="auto"/>
        <w:right w:val="none" w:sz="0" w:space="0" w:color="auto"/>
      </w:divBdr>
    </w:div>
    <w:div w:id="1672222603">
      <w:bodyDiv w:val="1"/>
      <w:marLeft w:val="0"/>
      <w:marRight w:val="0"/>
      <w:marTop w:val="0"/>
      <w:marBottom w:val="0"/>
      <w:divBdr>
        <w:top w:val="none" w:sz="0" w:space="0" w:color="auto"/>
        <w:left w:val="none" w:sz="0" w:space="0" w:color="auto"/>
        <w:bottom w:val="none" w:sz="0" w:space="0" w:color="auto"/>
        <w:right w:val="none" w:sz="0" w:space="0" w:color="auto"/>
      </w:divBdr>
    </w:div>
    <w:div w:id="1673675963">
      <w:bodyDiv w:val="1"/>
      <w:marLeft w:val="0"/>
      <w:marRight w:val="0"/>
      <w:marTop w:val="0"/>
      <w:marBottom w:val="0"/>
      <w:divBdr>
        <w:top w:val="none" w:sz="0" w:space="0" w:color="auto"/>
        <w:left w:val="none" w:sz="0" w:space="0" w:color="auto"/>
        <w:bottom w:val="none" w:sz="0" w:space="0" w:color="auto"/>
        <w:right w:val="none" w:sz="0" w:space="0" w:color="auto"/>
      </w:divBdr>
    </w:div>
    <w:div w:id="1674919656">
      <w:bodyDiv w:val="1"/>
      <w:marLeft w:val="0"/>
      <w:marRight w:val="0"/>
      <w:marTop w:val="0"/>
      <w:marBottom w:val="0"/>
      <w:divBdr>
        <w:top w:val="none" w:sz="0" w:space="0" w:color="auto"/>
        <w:left w:val="none" w:sz="0" w:space="0" w:color="auto"/>
        <w:bottom w:val="none" w:sz="0" w:space="0" w:color="auto"/>
        <w:right w:val="none" w:sz="0" w:space="0" w:color="auto"/>
      </w:divBdr>
    </w:div>
    <w:div w:id="1675108198">
      <w:bodyDiv w:val="1"/>
      <w:marLeft w:val="0"/>
      <w:marRight w:val="0"/>
      <w:marTop w:val="0"/>
      <w:marBottom w:val="0"/>
      <w:divBdr>
        <w:top w:val="none" w:sz="0" w:space="0" w:color="auto"/>
        <w:left w:val="none" w:sz="0" w:space="0" w:color="auto"/>
        <w:bottom w:val="none" w:sz="0" w:space="0" w:color="auto"/>
        <w:right w:val="none" w:sz="0" w:space="0" w:color="auto"/>
      </w:divBdr>
    </w:div>
    <w:div w:id="1679573001">
      <w:bodyDiv w:val="1"/>
      <w:marLeft w:val="0"/>
      <w:marRight w:val="0"/>
      <w:marTop w:val="0"/>
      <w:marBottom w:val="0"/>
      <w:divBdr>
        <w:top w:val="none" w:sz="0" w:space="0" w:color="auto"/>
        <w:left w:val="none" w:sz="0" w:space="0" w:color="auto"/>
        <w:bottom w:val="none" w:sz="0" w:space="0" w:color="auto"/>
        <w:right w:val="none" w:sz="0" w:space="0" w:color="auto"/>
      </w:divBdr>
    </w:div>
    <w:div w:id="1681934455">
      <w:bodyDiv w:val="1"/>
      <w:marLeft w:val="0"/>
      <w:marRight w:val="0"/>
      <w:marTop w:val="0"/>
      <w:marBottom w:val="0"/>
      <w:divBdr>
        <w:top w:val="none" w:sz="0" w:space="0" w:color="auto"/>
        <w:left w:val="none" w:sz="0" w:space="0" w:color="auto"/>
        <w:bottom w:val="none" w:sz="0" w:space="0" w:color="auto"/>
        <w:right w:val="none" w:sz="0" w:space="0" w:color="auto"/>
      </w:divBdr>
    </w:div>
    <w:div w:id="1686327023">
      <w:bodyDiv w:val="1"/>
      <w:marLeft w:val="0"/>
      <w:marRight w:val="0"/>
      <w:marTop w:val="0"/>
      <w:marBottom w:val="0"/>
      <w:divBdr>
        <w:top w:val="none" w:sz="0" w:space="0" w:color="auto"/>
        <w:left w:val="none" w:sz="0" w:space="0" w:color="auto"/>
        <w:bottom w:val="none" w:sz="0" w:space="0" w:color="auto"/>
        <w:right w:val="none" w:sz="0" w:space="0" w:color="auto"/>
      </w:divBdr>
    </w:div>
    <w:div w:id="1686441840">
      <w:bodyDiv w:val="1"/>
      <w:marLeft w:val="0"/>
      <w:marRight w:val="0"/>
      <w:marTop w:val="0"/>
      <w:marBottom w:val="0"/>
      <w:divBdr>
        <w:top w:val="none" w:sz="0" w:space="0" w:color="auto"/>
        <w:left w:val="none" w:sz="0" w:space="0" w:color="auto"/>
        <w:bottom w:val="none" w:sz="0" w:space="0" w:color="auto"/>
        <w:right w:val="none" w:sz="0" w:space="0" w:color="auto"/>
      </w:divBdr>
    </w:div>
    <w:div w:id="1689411122">
      <w:bodyDiv w:val="1"/>
      <w:marLeft w:val="0"/>
      <w:marRight w:val="0"/>
      <w:marTop w:val="0"/>
      <w:marBottom w:val="0"/>
      <w:divBdr>
        <w:top w:val="none" w:sz="0" w:space="0" w:color="auto"/>
        <w:left w:val="none" w:sz="0" w:space="0" w:color="auto"/>
        <w:bottom w:val="none" w:sz="0" w:space="0" w:color="auto"/>
        <w:right w:val="none" w:sz="0" w:space="0" w:color="auto"/>
      </w:divBdr>
    </w:div>
    <w:div w:id="1689914465">
      <w:bodyDiv w:val="1"/>
      <w:marLeft w:val="0"/>
      <w:marRight w:val="0"/>
      <w:marTop w:val="0"/>
      <w:marBottom w:val="0"/>
      <w:divBdr>
        <w:top w:val="none" w:sz="0" w:space="0" w:color="auto"/>
        <w:left w:val="none" w:sz="0" w:space="0" w:color="auto"/>
        <w:bottom w:val="none" w:sz="0" w:space="0" w:color="auto"/>
        <w:right w:val="none" w:sz="0" w:space="0" w:color="auto"/>
      </w:divBdr>
    </w:div>
    <w:div w:id="1692489827">
      <w:bodyDiv w:val="1"/>
      <w:marLeft w:val="0"/>
      <w:marRight w:val="0"/>
      <w:marTop w:val="0"/>
      <w:marBottom w:val="0"/>
      <w:divBdr>
        <w:top w:val="none" w:sz="0" w:space="0" w:color="auto"/>
        <w:left w:val="none" w:sz="0" w:space="0" w:color="auto"/>
        <w:bottom w:val="none" w:sz="0" w:space="0" w:color="auto"/>
        <w:right w:val="none" w:sz="0" w:space="0" w:color="auto"/>
      </w:divBdr>
    </w:div>
    <w:div w:id="1697803894">
      <w:bodyDiv w:val="1"/>
      <w:marLeft w:val="0"/>
      <w:marRight w:val="0"/>
      <w:marTop w:val="0"/>
      <w:marBottom w:val="0"/>
      <w:divBdr>
        <w:top w:val="none" w:sz="0" w:space="0" w:color="auto"/>
        <w:left w:val="none" w:sz="0" w:space="0" w:color="auto"/>
        <w:bottom w:val="none" w:sz="0" w:space="0" w:color="auto"/>
        <w:right w:val="none" w:sz="0" w:space="0" w:color="auto"/>
      </w:divBdr>
    </w:div>
    <w:div w:id="1699089926">
      <w:bodyDiv w:val="1"/>
      <w:marLeft w:val="0"/>
      <w:marRight w:val="0"/>
      <w:marTop w:val="0"/>
      <w:marBottom w:val="0"/>
      <w:divBdr>
        <w:top w:val="none" w:sz="0" w:space="0" w:color="auto"/>
        <w:left w:val="none" w:sz="0" w:space="0" w:color="auto"/>
        <w:bottom w:val="none" w:sz="0" w:space="0" w:color="auto"/>
        <w:right w:val="none" w:sz="0" w:space="0" w:color="auto"/>
      </w:divBdr>
    </w:div>
    <w:div w:id="1699306785">
      <w:bodyDiv w:val="1"/>
      <w:marLeft w:val="0"/>
      <w:marRight w:val="0"/>
      <w:marTop w:val="0"/>
      <w:marBottom w:val="0"/>
      <w:divBdr>
        <w:top w:val="none" w:sz="0" w:space="0" w:color="auto"/>
        <w:left w:val="none" w:sz="0" w:space="0" w:color="auto"/>
        <w:bottom w:val="none" w:sz="0" w:space="0" w:color="auto"/>
        <w:right w:val="none" w:sz="0" w:space="0" w:color="auto"/>
      </w:divBdr>
    </w:div>
    <w:div w:id="1700398927">
      <w:bodyDiv w:val="1"/>
      <w:marLeft w:val="0"/>
      <w:marRight w:val="0"/>
      <w:marTop w:val="0"/>
      <w:marBottom w:val="0"/>
      <w:divBdr>
        <w:top w:val="none" w:sz="0" w:space="0" w:color="auto"/>
        <w:left w:val="none" w:sz="0" w:space="0" w:color="auto"/>
        <w:bottom w:val="none" w:sz="0" w:space="0" w:color="auto"/>
        <w:right w:val="none" w:sz="0" w:space="0" w:color="auto"/>
      </w:divBdr>
    </w:div>
    <w:div w:id="1701322425">
      <w:bodyDiv w:val="1"/>
      <w:marLeft w:val="0"/>
      <w:marRight w:val="0"/>
      <w:marTop w:val="0"/>
      <w:marBottom w:val="0"/>
      <w:divBdr>
        <w:top w:val="none" w:sz="0" w:space="0" w:color="auto"/>
        <w:left w:val="none" w:sz="0" w:space="0" w:color="auto"/>
        <w:bottom w:val="none" w:sz="0" w:space="0" w:color="auto"/>
        <w:right w:val="none" w:sz="0" w:space="0" w:color="auto"/>
      </w:divBdr>
    </w:div>
    <w:div w:id="1703051095">
      <w:bodyDiv w:val="1"/>
      <w:marLeft w:val="0"/>
      <w:marRight w:val="0"/>
      <w:marTop w:val="0"/>
      <w:marBottom w:val="0"/>
      <w:divBdr>
        <w:top w:val="none" w:sz="0" w:space="0" w:color="auto"/>
        <w:left w:val="none" w:sz="0" w:space="0" w:color="auto"/>
        <w:bottom w:val="none" w:sz="0" w:space="0" w:color="auto"/>
        <w:right w:val="none" w:sz="0" w:space="0" w:color="auto"/>
      </w:divBdr>
    </w:div>
    <w:div w:id="1704552676">
      <w:bodyDiv w:val="1"/>
      <w:marLeft w:val="0"/>
      <w:marRight w:val="0"/>
      <w:marTop w:val="0"/>
      <w:marBottom w:val="0"/>
      <w:divBdr>
        <w:top w:val="none" w:sz="0" w:space="0" w:color="auto"/>
        <w:left w:val="none" w:sz="0" w:space="0" w:color="auto"/>
        <w:bottom w:val="none" w:sz="0" w:space="0" w:color="auto"/>
        <w:right w:val="none" w:sz="0" w:space="0" w:color="auto"/>
      </w:divBdr>
    </w:div>
    <w:div w:id="1710911589">
      <w:bodyDiv w:val="1"/>
      <w:marLeft w:val="0"/>
      <w:marRight w:val="0"/>
      <w:marTop w:val="0"/>
      <w:marBottom w:val="0"/>
      <w:divBdr>
        <w:top w:val="none" w:sz="0" w:space="0" w:color="auto"/>
        <w:left w:val="none" w:sz="0" w:space="0" w:color="auto"/>
        <w:bottom w:val="none" w:sz="0" w:space="0" w:color="auto"/>
        <w:right w:val="none" w:sz="0" w:space="0" w:color="auto"/>
      </w:divBdr>
    </w:div>
    <w:div w:id="1725592687">
      <w:bodyDiv w:val="1"/>
      <w:marLeft w:val="0"/>
      <w:marRight w:val="0"/>
      <w:marTop w:val="0"/>
      <w:marBottom w:val="0"/>
      <w:divBdr>
        <w:top w:val="none" w:sz="0" w:space="0" w:color="auto"/>
        <w:left w:val="none" w:sz="0" w:space="0" w:color="auto"/>
        <w:bottom w:val="none" w:sz="0" w:space="0" w:color="auto"/>
        <w:right w:val="none" w:sz="0" w:space="0" w:color="auto"/>
      </w:divBdr>
    </w:div>
    <w:div w:id="1726677184">
      <w:bodyDiv w:val="1"/>
      <w:marLeft w:val="0"/>
      <w:marRight w:val="0"/>
      <w:marTop w:val="0"/>
      <w:marBottom w:val="0"/>
      <w:divBdr>
        <w:top w:val="none" w:sz="0" w:space="0" w:color="auto"/>
        <w:left w:val="none" w:sz="0" w:space="0" w:color="auto"/>
        <w:bottom w:val="none" w:sz="0" w:space="0" w:color="auto"/>
        <w:right w:val="none" w:sz="0" w:space="0" w:color="auto"/>
      </w:divBdr>
    </w:div>
    <w:div w:id="1727334823">
      <w:bodyDiv w:val="1"/>
      <w:marLeft w:val="0"/>
      <w:marRight w:val="0"/>
      <w:marTop w:val="0"/>
      <w:marBottom w:val="0"/>
      <w:divBdr>
        <w:top w:val="none" w:sz="0" w:space="0" w:color="auto"/>
        <w:left w:val="none" w:sz="0" w:space="0" w:color="auto"/>
        <w:bottom w:val="none" w:sz="0" w:space="0" w:color="auto"/>
        <w:right w:val="none" w:sz="0" w:space="0" w:color="auto"/>
      </w:divBdr>
    </w:div>
    <w:div w:id="1727876534">
      <w:bodyDiv w:val="1"/>
      <w:marLeft w:val="0"/>
      <w:marRight w:val="0"/>
      <w:marTop w:val="0"/>
      <w:marBottom w:val="0"/>
      <w:divBdr>
        <w:top w:val="none" w:sz="0" w:space="0" w:color="auto"/>
        <w:left w:val="none" w:sz="0" w:space="0" w:color="auto"/>
        <w:bottom w:val="none" w:sz="0" w:space="0" w:color="auto"/>
        <w:right w:val="none" w:sz="0" w:space="0" w:color="auto"/>
      </w:divBdr>
    </w:div>
    <w:div w:id="1728258592">
      <w:bodyDiv w:val="1"/>
      <w:marLeft w:val="0"/>
      <w:marRight w:val="0"/>
      <w:marTop w:val="0"/>
      <w:marBottom w:val="0"/>
      <w:divBdr>
        <w:top w:val="none" w:sz="0" w:space="0" w:color="auto"/>
        <w:left w:val="none" w:sz="0" w:space="0" w:color="auto"/>
        <w:bottom w:val="none" w:sz="0" w:space="0" w:color="auto"/>
        <w:right w:val="none" w:sz="0" w:space="0" w:color="auto"/>
      </w:divBdr>
    </w:div>
    <w:div w:id="1729571555">
      <w:bodyDiv w:val="1"/>
      <w:marLeft w:val="0"/>
      <w:marRight w:val="0"/>
      <w:marTop w:val="0"/>
      <w:marBottom w:val="0"/>
      <w:divBdr>
        <w:top w:val="none" w:sz="0" w:space="0" w:color="auto"/>
        <w:left w:val="none" w:sz="0" w:space="0" w:color="auto"/>
        <w:bottom w:val="none" w:sz="0" w:space="0" w:color="auto"/>
        <w:right w:val="none" w:sz="0" w:space="0" w:color="auto"/>
      </w:divBdr>
    </w:div>
    <w:div w:id="1732921947">
      <w:bodyDiv w:val="1"/>
      <w:marLeft w:val="0"/>
      <w:marRight w:val="0"/>
      <w:marTop w:val="0"/>
      <w:marBottom w:val="0"/>
      <w:divBdr>
        <w:top w:val="none" w:sz="0" w:space="0" w:color="auto"/>
        <w:left w:val="none" w:sz="0" w:space="0" w:color="auto"/>
        <w:bottom w:val="none" w:sz="0" w:space="0" w:color="auto"/>
        <w:right w:val="none" w:sz="0" w:space="0" w:color="auto"/>
      </w:divBdr>
    </w:div>
    <w:div w:id="1735351814">
      <w:bodyDiv w:val="1"/>
      <w:marLeft w:val="0"/>
      <w:marRight w:val="0"/>
      <w:marTop w:val="0"/>
      <w:marBottom w:val="0"/>
      <w:divBdr>
        <w:top w:val="none" w:sz="0" w:space="0" w:color="auto"/>
        <w:left w:val="none" w:sz="0" w:space="0" w:color="auto"/>
        <w:bottom w:val="none" w:sz="0" w:space="0" w:color="auto"/>
        <w:right w:val="none" w:sz="0" w:space="0" w:color="auto"/>
      </w:divBdr>
    </w:div>
    <w:div w:id="1737778649">
      <w:bodyDiv w:val="1"/>
      <w:marLeft w:val="0"/>
      <w:marRight w:val="0"/>
      <w:marTop w:val="0"/>
      <w:marBottom w:val="0"/>
      <w:divBdr>
        <w:top w:val="none" w:sz="0" w:space="0" w:color="auto"/>
        <w:left w:val="none" w:sz="0" w:space="0" w:color="auto"/>
        <w:bottom w:val="none" w:sz="0" w:space="0" w:color="auto"/>
        <w:right w:val="none" w:sz="0" w:space="0" w:color="auto"/>
      </w:divBdr>
    </w:div>
    <w:div w:id="1738505443">
      <w:bodyDiv w:val="1"/>
      <w:marLeft w:val="0"/>
      <w:marRight w:val="0"/>
      <w:marTop w:val="0"/>
      <w:marBottom w:val="0"/>
      <w:divBdr>
        <w:top w:val="none" w:sz="0" w:space="0" w:color="auto"/>
        <w:left w:val="none" w:sz="0" w:space="0" w:color="auto"/>
        <w:bottom w:val="none" w:sz="0" w:space="0" w:color="auto"/>
        <w:right w:val="none" w:sz="0" w:space="0" w:color="auto"/>
      </w:divBdr>
    </w:div>
    <w:div w:id="1740595369">
      <w:bodyDiv w:val="1"/>
      <w:marLeft w:val="0"/>
      <w:marRight w:val="0"/>
      <w:marTop w:val="0"/>
      <w:marBottom w:val="0"/>
      <w:divBdr>
        <w:top w:val="none" w:sz="0" w:space="0" w:color="auto"/>
        <w:left w:val="none" w:sz="0" w:space="0" w:color="auto"/>
        <w:bottom w:val="none" w:sz="0" w:space="0" w:color="auto"/>
        <w:right w:val="none" w:sz="0" w:space="0" w:color="auto"/>
      </w:divBdr>
    </w:div>
    <w:div w:id="1743259867">
      <w:bodyDiv w:val="1"/>
      <w:marLeft w:val="0"/>
      <w:marRight w:val="0"/>
      <w:marTop w:val="0"/>
      <w:marBottom w:val="0"/>
      <w:divBdr>
        <w:top w:val="none" w:sz="0" w:space="0" w:color="auto"/>
        <w:left w:val="none" w:sz="0" w:space="0" w:color="auto"/>
        <w:bottom w:val="none" w:sz="0" w:space="0" w:color="auto"/>
        <w:right w:val="none" w:sz="0" w:space="0" w:color="auto"/>
      </w:divBdr>
    </w:div>
    <w:div w:id="1744450214">
      <w:bodyDiv w:val="1"/>
      <w:marLeft w:val="0"/>
      <w:marRight w:val="0"/>
      <w:marTop w:val="0"/>
      <w:marBottom w:val="0"/>
      <w:divBdr>
        <w:top w:val="none" w:sz="0" w:space="0" w:color="auto"/>
        <w:left w:val="none" w:sz="0" w:space="0" w:color="auto"/>
        <w:bottom w:val="none" w:sz="0" w:space="0" w:color="auto"/>
        <w:right w:val="none" w:sz="0" w:space="0" w:color="auto"/>
      </w:divBdr>
    </w:div>
    <w:div w:id="1748651170">
      <w:bodyDiv w:val="1"/>
      <w:marLeft w:val="0"/>
      <w:marRight w:val="0"/>
      <w:marTop w:val="0"/>
      <w:marBottom w:val="0"/>
      <w:divBdr>
        <w:top w:val="none" w:sz="0" w:space="0" w:color="auto"/>
        <w:left w:val="none" w:sz="0" w:space="0" w:color="auto"/>
        <w:bottom w:val="none" w:sz="0" w:space="0" w:color="auto"/>
        <w:right w:val="none" w:sz="0" w:space="0" w:color="auto"/>
      </w:divBdr>
    </w:div>
    <w:div w:id="1752849391">
      <w:bodyDiv w:val="1"/>
      <w:marLeft w:val="0"/>
      <w:marRight w:val="0"/>
      <w:marTop w:val="0"/>
      <w:marBottom w:val="0"/>
      <w:divBdr>
        <w:top w:val="none" w:sz="0" w:space="0" w:color="auto"/>
        <w:left w:val="none" w:sz="0" w:space="0" w:color="auto"/>
        <w:bottom w:val="none" w:sz="0" w:space="0" w:color="auto"/>
        <w:right w:val="none" w:sz="0" w:space="0" w:color="auto"/>
      </w:divBdr>
    </w:div>
    <w:div w:id="1754666897">
      <w:bodyDiv w:val="1"/>
      <w:marLeft w:val="0"/>
      <w:marRight w:val="0"/>
      <w:marTop w:val="0"/>
      <w:marBottom w:val="0"/>
      <w:divBdr>
        <w:top w:val="none" w:sz="0" w:space="0" w:color="auto"/>
        <w:left w:val="none" w:sz="0" w:space="0" w:color="auto"/>
        <w:bottom w:val="none" w:sz="0" w:space="0" w:color="auto"/>
        <w:right w:val="none" w:sz="0" w:space="0" w:color="auto"/>
      </w:divBdr>
    </w:div>
    <w:div w:id="1758402759">
      <w:bodyDiv w:val="1"/>
      <w:marLeft w:val="0"/>
      <w:marRight w:val="0"/>
      <w:marTop w:val="0"/>
      <w:marBottom w:val="0"/>
      <w:divBdr>
        <w:top w:val="none" w:sz="0" w:space="0" w:color="auto"/>
        <w:left w:val="none" w:sz="0" w:space="0" w:color="auto"/>
        <w:bottom w:val="none" w:sz="0" w:space="0" w:color="auto"/>
        <w:right w:val="none" w:sz="0" w:space="0" w:color="auto"/>
      </w:divBdr>
    </w:div>
    <w:div w:id="1759206229">
      <w:bodyDiv w:val="1"/>
      <w:marLeft w:val="0"/>
      <w:marRight w:val="0"/>
      <w:marTop w:val="0"/>
      <w:marBottom w:val="0"/>
      <w:divBdr>
        <w:top w:val="none" w:sz="0" w:space="0" w:color="auto"/>
        <w:left w:val="none" w:sz="0" w:space="0" w:color="auto"/>
        <w:bottom w:val="none" w:sz="0" w:space="0" w:color="auto"/>
        <w:right w:val="none" w:sz="0" w:space="0" w:color="auto"/>
      </w:divBdr>
    </w:div>
    <w:div w:id="1759987191">
      <w:bodyDiv w:val="1"/>
      <w:marLeft w:val="0"/>
      <w:marRight w:val="0"/>
      <w:marTop w:val="0"/>
      <w:marBottom w:val="0"/>
      <w:divBdr>
        <w:top w:val="none" w:sz="0" w:space="0" w:color="auto"/>
        <w:left w:val="none" w:sz="0" w:space="0" w:color="auto"/>
        <w:bottom w:val="none" w:sz="0" w:space="0" w:color="auto"/>
        <w:right w:val="none" w:sz="0" w:space="0" w:color="auto"/>
      </w:divBdr>
    </w:div>
    <w:div w:id="1761640045">
      <w:bodyDiv w:val="1"/>
      <w:marLeft w:val="0"/>
      <w:marRight w:val="0"/>
      <w:marTop w:val="0"/>
      <w:marBottom w:val="0"/>
      <w:divBdr>
        <w:top w:val="none" w:sz="0" w:space="0" w:color="auto"/>
        <w:left w:val="none" w:sz="0" w:space="0" w:color="auto"/>
        <w:bottom w:val="none" w:sz="0" w:space="0" w:color="auto"/>
        <w:right w:val="none" w:sz="0" w:space="0" w:color="auto"/>
      </w:divBdr>
    </w:div>
    <w:div w:id="1764062890">
      <w:bodyDiv w:val="1"/>
      <w:marLeft w:val="0"/>
      <w:marRight w:val="0"/>
      <w:marTop w:val="0"/>
      <w:marBottom w:val="0"/>
      <w:divBdr>
        <w:top w:val="none" w:sz="0" w:space="0" w:color="auto"/>
        <w:left w:val="none" w:sz="0" w:space="0" w:color="auto"/>
        <w:bottom w:val="none" w:sz="0" w:space="0" w:color="auto"/>
        <w:right w:val="none" w:sz="0" w:space="0" w:color="auto"/>
      </w:divBdr>
    </w:div>
    <w:div w:id="1764839329">
      <w:bodyDiv w:val="1"/>
      <w:marLeft w:val="0"/>
      <w:marRight w:val="0"/>
      <w:marTop w:val="0"/>
      <w:marBottom w:val="0"/>
      <w:divBdr>
        <w:top w:val="none" w:sz="0" w:space="0" w:color="auto"/>
        <w:left w:val="none" w:sz="0" w:space="0" w:color="auto"/>
        <w:bottom w:val="none" w:sz="0" w:space="0" w:color="auto"/>
        <w:right w:val="none" w:sz="0" w:space="0" w:color="auto"/>
      </w:divBdr>
    </w:div>
    <w:div w:id="1766536585">
      <w:bodyDiv w:val="1"/>
      <w:marLeft w:val="0"/>
      <w:marRight w:val="0"/>
      <w:marTop w:val="0"/>
      <w:marBottom w:val="0"/>
      <w:divBdr>
        <w:top w:val="none" w:sz="0" w:space="0" w:color="auto"/>
        <w:left w:val="none" w:sz="0" w:space="0" w:color="auto"/>
        <w:bottom w:val="none" w:sz="0" w:space="0" w:color="auto"/>
        <w:right w:val="none" w:sz="0" w:space="0" w:color="auto"/>
      </w:divBdr>
    </w:div>
    <w:div w:id="1767143803">
      <w:bodyDiv w:val="1"/>
      <w:marLeft w:val="0"/>
      <w:marRight w:val="0"/>
      <w:marTop w:val="0"/>
      <w:marBottom w:val="0"/>
      <w:divBdr>
        <w:top w:val="none" w:sz="0" w:space="0" w:color="auto"/>
        <w:left w:val="none" w:sz="0" w:space="0" w:color="auto"/>
        <w:bottom w:val="none" w:sz="0" w:space="0" w:color="auto"/>
        <w:right w:val="none" w:sz="0" w:space="0" w:color="auto"/>
      </w:divBdr>
    </w:div>
    <w:div w:id="1767731415">
      <w:bodyDiv w:val="1"/>
      <w:marLeft w:val="0"/>
      <w:marRight w:val="0"/>
      <w:marTop w:val="0"/>
      <w:marBottom w:val="0"/>
      <w:divBdr>
        <w:top w:val="none" w:sz="0" w:space="0" w:color="auto"/>
        <w:left w:val="none" w:sz="0" w:space="0" w:color="auto"/>
        <w:bottom w:val="none" w:sz="0" w:space="0" w:color="auto"/>
        <w:right w:val="none" w:sz="0" w:space="0" w:color="auto"/>
      </w:divBdr>
    </w:div>
    <w:div w:id="1768572395">
      <w:bodyDiv w:val="1"/>
      <w:marLeft w:val="0"/>
      <w:marRight w:val="0"/>
      <w:marTop w:val="0"/>
      <w:marBottom w:val="0"/>
      <w:divBdr>
        <w:top w:val="none" w:sz="0" w:space="0" w:color="auto"/>
        <w:left w:val="none" w:sz="0" w:space="0" w:color="auto"/>
        <w:bottom w:val="none" w:sz="0" w:space="0" w:color="auto"/>
        <w:right w:val="none" w:sz="0" w:space="0" w:color="auto"/>
      </w:divBdr>
    </w:div>
    <w:div w:id="1770006979">
      <w:bodyDiv w:val="1"/>
      <w:marLeft w:val="0"/>
      <w:marRight w:val="0"/>
      <w:marTop w:val="0"/>
      <w:marBottom w:val="0"/>
      <w:divBdr>
        <w:top w:val="none" w:sz="0" w:space="0" w:color="auto"/>
        <w:left w:val="none" w:sz="0" w:space="0" w:color="auto"/>
        <w:bottom w:val="none" w:sz="0" w:space="0" w:color="auto"/>
        <w:right w:val="none" w:sz="0" w:space="0" w:color="auto"/>
      </w:divBdr>
    </w:div>
    <w:div w:id="1771659525">
      <w:bodyDiv w:val="1"/>
      <w:marLeft w:val="0"/>
      <w:marRight w:val="0"/>
      <w:marTop w:val="0"/>
      <w:marBottom w:val="0"/>
      <w:divBdr>
        <w:top w:val="none" w:sz="0" w:space="0" w:color="auto"/>
        <w:left w:val="none" w:sz="0" w:space="0" w:color="auto"/>
        <w:bottom w:val="none" w:sz="0" w:space="0" w:color="auto"/>
        <w:right w:val="none" w:sz="0" w:space="0" w:color="auto"/>
      </w:divBdr>
    </w:div>
    <w:div w:id="1774471404">
      <w:bodyDiv w:val="1"/>
      <w:marLeft w:val="0"/>
      <w:marRight w:val="0"/>
      <w:marTop w:val="0"/>
      <w:marBottom w:val="0"/>
      <w:divBdr>
        <w:top w:val="none" w:sz="0" w:space="0" w:color="auto"/>
        <w:left w:val="none" w:sz="0" w:space="0" w:color="auto"/>
        <w:bottom w:val="none" w:sz="0" w:space="0" w:color="auto"/>
        <w:right w:val="none" w:sz="0" w:space="0" w:color="auto"/>
      </w:divBdr>
    </w:div>
    <w:div w:id="1775514358">
      <w:bodyDiv w:val="1"/>
      <w:marLeft w:val="0"/>
      <w:marRight w:val="0"/>
      <w:marTop w:val="0"/>
      <w:marBottom w:val="0"/>
      <w:divBdr>
        <w:top w:val="none" w:sz="0" w:space="0" w:color="auto"/>
        <w:left w:val="none" w:sz="0" w:space="0" w:color="auto"/>
        <w:bottom w:val="none" w:sz="0" w:space="0" w:color="auto"/>
        <w:right w:val="none" w:sz="0" w:space="0" w:color="auto"/>
      </w:divBdr>
    </w:div>
    <w:div w:id="1775633666">
      <w:bodyDiv w:val="1"/>
      <w:marLeft w:val="0"/>
      <w:marRight w:val="0"/>
      <w:marTop w:val="0"/>
      <w:marBottom w:val="0"/>
      <w:divBdr>
        <w:top w:val="none" w:sz="0" w:space="0" w:color="auto"/>
        <w:left w:val="none" w:sz="0" w:space="0" w:color="auto"/>
        <w:bottom w:val="none" w:sz="0" w:space="0" w:color="auto"/>
        <w:right w:val="none" w:sz="0" w:space="0" w:color="auto"/>
      </w:divBdr>
    </w:div>
    <w:div w:id="1781486357">
      <w:bodyDiv w:val="1"/>
      <w:marLeft w:val="0"/>
      <w:marRight w:val="0"/>
      <w:marTop w:val="0"/>
      <w:marBottom w:val="0"/>
      <w:divBdr>
        <w:top w:val="none" w:sz="0" w:space="0" w:color="auto"/>
        <w:left w:val="none" w:sz="0" w:space="0" w:color="auto"/>
        <w:bottom w:val="none" w:sz="0" w:space="0" w:color="auto"/>
        <w:right w:val="none" w:sz="0" w:space="0" w:color="auto"/>
      </w:divBdr>
    </w:div>
    <w:div w:id="1785153431">
      <w:bodyDiv w:val="1"/>
      <w:marLeft w:val="0"/>
      <w:marRight w:val="0"/>
      <w:marTop w:val="0"/>
      <w:marBottom w:val="0"/>
      <w:divBdr>
        <w:top w:val="none" w:sz="0" w:space="0" w:color="auto"/>
        <w:left w:val="none" w:sz="0" w:space="0" w:color="auto"/>
        <w:bottom w:val="none" w:sz="0" w:space="0" w:color="auto"/>
        <w:right w:val="none" w:sz="0" w:space="0" w:color="auto"/>
      </w:divBdr>
    </w:div>
    <w:div w:id="1788281182">
      <w:bodyDiv w:val="1"/>
      <w:marLeft w:val="0"/>
      <w:marRight w:val="0"/>
      <w:marTop w:val="0"/>
      <w:marBottom w:val="0"/>
      <w:divBdr>
        <w:top w:val="none" w:sz="0" w:space="0" w:color="auto"/>
        <w:left w:val="none" w:sz="0" w:space="0" w:color="auto"/>
        <w:bottom w:val="none" w:sz="0" w:space="0" w:color="auto"/>
        <w:right w:val="none" w:sz="0" w:space="0" w:color="auto"/>
      </w:divBdr>
    </w:div>
    <w:div w:id="1788818944">
      <w:bodyDiv w:val="1"/>
      <w:marLeft w:val="0"/>
      <w:marRight w:val="0"/>
      <w:marTop w:val="0"/>
      <w:marBottom w:val="0"/>
      <w:divBdr>
        <w:top w:val="none" w:sz="0" w:space="0" w:color="auto"/>
        <w:left w:val="none" w:sz="0" w:space="0" w:color="auto"/>
        <w:bottom w:val="none" w:sz="0" w:space="0" w:color="auto"/>
        <w:right w:val="none" w:sz="0" w:space="0" w:color="auto"/>
      </w:divBdr>
    </w:div>
    <w:div w:id="1789154996">
      <w:bodyDiv w:val="1"/>
      <w:marLeft w:val="0"/>
      <w:marRight w:val="0"/>
      <w:marTop w:val="0"/>
      <w:marBottom w:val="0"/>
      <w:divBdr>
        <w:top w:val="none" w:sz="0" w:space="0" w:color="auto"/>
        <w:left w:val="none" w:sz="0" w:space="0" w:color="auto"/>
        <w:bottom w:val="none" w:sz="0" w:space="0" w:color="auto"/>
        <w:right w:val="none" w:sz="0" w:space="0" w:color="auto"/>
      </w:divBdr>
    </w:div>
    <w:div w:id="1792748965">
      <w:bodyDiv w:val="1"/>
      <w:marLeft w:val="0"/>
      <w:marRight w:val="0"/>
      <w:marTop w:val="0"/>
      <w:marBottom w:val="0"/>
      <w:divBdr>
        <w:top w:val="none" w:sz="0" w:space="0" w:color="auto"/>
        <w:left w:val="none" w:sz="0" w:space="0" w:color="auto"/>
        <w:bottom w:val="none" w:sz="0" w:space="0" w:color="auto"/>
        <w:right w:val="none" w:sz="0" w:space="0" w:color="auto"/>
      </w:divBdr>
    </w:div>
    <w:div w:id="1794664454">
      <w:bodyDiv w:val="1"/>
      <w:marLeft w:val="0"/>
      <w:marRight w:val="0"/>
      <w:marTop w:val="0"/>
      <w:marBottom w:val="0"/>
      <w:divBdr>
        <w:top w:val="none" w:sz="0" w:space="0" w:color="auto"/>
        <w:left w:val="none" w:sz="0" w:space="0" w:color="auto"/>
        <w:bottom w:val="none" w:sz="0" w:space="0" w:color="auto"/>
        <w:right w:val="none" w:sz="0" w:space="0" w:color="auto"/>
      </w:divBdr>
    </w:div>
    <w:div w:id="1798716623">
      <w:bodyDiv w:val="1"/>
      <w:marLeft w:val="0"/>
      <w:marRight w:val="0"/>
      <w:marTop w:val="0"/>
      <w:marBottom w:val="0"/>
      <w:divBdr>
        <w:top w:val="none" w:sz="0" w:space="0" w:color="auto"/>
        <w:left w:val="none" w:sz="0" w:space="0" w:color="auto"/>
        <w:bottom w:val="none" w:sz="0" w:space="0" w:color="auto"/>
        <w:right w:val="none" w:sz="0" w:space="0" w:color="auto"/>
      </w:divBdr>
    </w:div>
    <w:div w:id="1800370005">
      <w:bodyDiv w:val="1"/>
      <w:marLeft w:val="0"/>
      <w:marRight w:val="0"/>
      <w:marTop w:val="0"/>
      <w:marBottom w:val="0"/>
      <w:divBdr>
        <w:top w:val="none" w:sz="0" w:space="0" w:color="auto"/>
        <w:left w:val="none" w:sz="0" w:space="0" w:color="auto"/>
        <w:bottom w:val="none" w:sz="0" w:space="0" w:color="auto"/>
        <w:right w:val="none" w:sz="0" w:space="0" w:color="auto"/>
      </w:divBdr>
    </w:div>
    <w:div w:id="1803689935">
      <w:bodyDiv w:val="1"/>
      <w:marLeft w:val="0"/>
      <w:marRight w:val="0"/>
      <w:marTop w:val="0"/>
      <w:marBottom w:val="0"/>
      <w:divBdr>
        <w:top w:val="none" w:sz="0" w:space="0" w:color="auto"/>
        <w:left w:val="none" w:sz="0" w:space="0" w:color="auto"/>
        <w:bottom w:val="none" w:sz="0" w:space="0" w:color="auto"/>
        <w:right w:val="none" w:sz="0" w:space="0" w:color="auto"/>
      </w:divBdr>
    </w:div>
    <w:div w:id="1805460782">
      <w:bodyDiv w:val="1"/>
      <w:marLeft w:val="0"/>
      <w:marRight w:val="0"/>
      <w:marTop w:val="0"/>
      <w:marBottom w:val="0"/>
      <w:divBdr>
        <w:top w:val="none" w:sz="0" w:space="0" w:color="auto"/>
        <w:left w:val="none" w:sz="0" w:space="0" w:color="auto"/>
        <w:bottom w:val="none" w:sz="0" w:space="0" w:color="auto"/>
        <w:right w:val="none" w:sz="0" w:space="0" w:color="auto"/>
      </w:divBdr>
    </w:div>
    <w:div w:id="1807160780">
      <w:bodyDiv w:val="1"/>
      <w:marLeft w:val="0"/>
      <w:marRight w:val="0"/>
      <w:marTop w:val="0"/>
      <w:marBottom w:val="0"/>
      <w:divBdr>
        <w:top w:val="none" w:sz="0" w:space="0" w:color="auto"/>
        <w:left w:val="none" w:sz="0" w:space="0" w:color="auto"/>
        <w:bottom w:val="none" w:sz="0" w:space="0" w:color="auto"/>
        <w:right w:val="none" w:sz="0" w:space="0" w:color="auto"/>
      </w:divBdr>
    </w:div>
    <w:div w:id="1807621693">
      <w:bodyDiv w:val="1"/>
      <w:marLeft w:val="0"/>
      <w:marRight w:val="0"/>
      <w:marTop w:val="0"/>
      <w:marBottom w:val="0"/>
      <w:divBdr>
        <w:top w:val="none" w:sz="0" w:space="0" w:color="auto"/>
        <w:left w:val="none" w:sz="0" w:space="0" w:color="auto"/>
        <w:bottom w:val="none" w:sz="0" w:space="0" w:color="auto"/>
        <w:right w:val="none" w:sz="0" w:space="0" w:color="auto"/>
      </w:divBdr>
    </w:div>
    <w:div w:id="1809588872">
      <w:bodyDiv w:val="1"/>
      <w:marLeft w:val="0"/>
      <w:marRight w:val="0"/>
      <w:marTop w:val="0"/>
      <w:marBottom w:val="0"/>
      <w:divBdr>
        <w:top w:val="none" w:sz="0" w:space="0" w:color="auto"/>
        <w:left w:val="none" w:sz="0" w:space="0" w:color="auto"/>
        <w:bottom w:val="none" w:sz="0" w:space="0" w:color="auto"/>
        <w:right w:val="none" w:sz="0" w:space="0" w:color="auto"/>
      </w:divBdr>
    </w:div>
    <w:div w:id="1810706767">
      <w:bodyDiv w:val="1"/>
      <w:marLeft w:val="0"/>
      <w:marRight w:val="0"/>
      <w:marTop w:val="0"/>
      <w:marBottom w:val="0"/>
      <w:divBdr>
        <w:top w:val="none" w:sz="0" w:space="0" w:color="auto"/>
        <w:left w:val="none" w:sz="0" w:space="0" w:color="auto"/>
        <w:bottom w:val="none" w:sz="0" w:space="0" w:color="auto"/>
        <w:right w:val="none" w:sz="0" w:space="0" w:color="auto"/>
      </w:divBdr>
    </w:div>
    <w:div w:id="1824078987">
      <w:bodyDiv w:val="1"/>
      <w:marLeft w:val="0"/>
      <w:marRight w:val="0"/>
      <w:marTop w:val="0"/>
      <w:marBottom w:val="0"/>
      <w:divBdr>
        <w:top w:val="none" w:sz="0" w:space="0" w:color="auto"/>
        <w:left w:val="none" w:sz="0" w:space="0" w:color="auto"/>
        <w:bottom w:val="none" w:sz="0" w:space="0" w:color="auto"/>
        <w:right w:val="none" w:sz="0" w:space="0" w:color="auto"/>
      </w:divBdr>
    </w:div>
    <w:div w:id="1825513686">
      <w:bodyDiv w:val="1"/>
      <w:marLeft w:val="0"/>
      <w:marRight w:val="0"/>
      <w:marTop w:val="0"/>
      <w:marBottom w:val="0"/>
      <w:divBdr>
        <w:top w:val="none" w:sz="0" w:space="0" w:color="auto"/>
        <w:left w:val="none" w:sz="0" w:space="0" w:color="auto"/>
        <w:bottom w:val="none" w:sz="0" w:space="0" w:color="auto"/>
        <w:right w:val="none" w:sz="0" w:space="0" w:color="auto"/>
      </w:divBdr>
    </w:div>
    <w:div w:id="1826121813">
      <w:bodyDiv w:val="1"/>
      <w:marLeft w:val="0"/>
      <w:marRight w:val="0"/>
      <w:marTop w:val="0"/>
      <w:marBottom w:val="0"/>
      <w:divBdr>
        <w:top w:val="none" w:sz="0" w:space="0" w:color="auto"/>
        <w:left w:val="none" w:sz="0" w:space="0" w:color="auto"/>
        <w:bottom w:val="none" w:sz="0" w:space="0" w:color="auto"/>
        <w:right w:val="none" w:sz="0" w:space="0" w:color="auto"/>
      </w:divBdr>
    </w:div>
    <w:div w:id="1831672979">
      <w:bodyDiv w:val="1"/>
      <w:marLeft w:val="0"/>
      <w:marRight w:val="0"/>
      <w:marTop w:val="0"/>
      <w:marBottom w:val="0"/>
      <w:divBdr>
        <w:top w:val="none" w:sz="0" w:space="0" w:color="auto"/>
        <w:left w:val="none" w:sz="0" w:space="0" w:color="auto"/>
        <w:bottom w:val="none" w:sz="0" w:space="0" w:color="auto"/>
        <w:right w:val="none" w:sz="0" w:space="0" w:color="auto"/>
      </w:divBdr>
    </w:div>
    <w:div w:id="1831943913">
      <w:bodyDiv w:val="1"/>
      <w:marLeft w:val="0"/>
      <w:marRight w:val="0"/>
      <w:marTop w:val="0"/>
      <w:marBottom w:val="0"/>
      <w:divBdr>
        <w:top w:val="none" w:sz="0" w:space="0" w:color="auto"/>
        <w:left w:val="none" w:sz="0" w:space="0" w:color="auto"/>
        <w:bottom w:val="none" w:sz="0" w:space="0" w:color="auto"/>
        <w:right w:val="none" w:sz="0" w:space="0" w:color="auto"/>
      </w:divBdr>
    </w:div>
    <w:div w:id="1833332252">
      <w:bodyDiv w:val="1"/>
      <w:marLeft w:val="0"/>
      <w:marRight w:val="0"/>
      <w:marTop w:val="0"/>
      <w:marBottom w:val="0"/>
      <w:divBdr>
        <w:top w:val="none" w:sz="0" w:space="0" w:color="auto"/>
        <w:left w:val="none" w:sz="0" w:space="0" w:color="auto"/>
        <w:bottom w:val="none" w:sz="0" w:space="0" w:color="auto"/>
        <w:right w:val="none" w:sz="0" w:space="0" w:color="auto"/>
      </w:divBdr>
    </w:div>
    <w:div w:id="1833528102">
      <w:bodyDiv w:val="1"/>
      <w:marLeft w:val="0"/>
      <w:marRight w:val="0"/>
      <w:marTop w:val="0"/>
      <w:marBottom w:val="0"/>
      <w:divBdr>
        <w:top w:val="none" w:sz="0" w:space="0" w:color="auto"/>
        <w:left w:val="none" w:sz="0" w:space="0" w:color="auto"/>
        <w:bottom w:val="none" w:sz="0" w:space="0" w:color="auto"/>
        <w:right w:val="none" w:sz="0" w:space="0" w:color="auto"/>
      </w:divBdr>
    </w:div>
    <w:div w:id="1834489096">
      <w:bodyDiv w:val="1"/>
      <w:marLeft w:val="0"/>
      <w:marRight w:val="0"/>
      <w:marTop w:val="0"/>
      <w:marBottom w:val="0"/>
      <w:divBdr>
        <w:top w:val="none" w:sz="0" w:space="0" w:color="auto"/>
        <w:left w:val="none" w:sz="0" w:space="0" w:color="auto"/>
        <w:bottom w:val="none" w:sz="0" w:space="0" w:color="auto"/>
        <w:right w:val="none" w:sz="0" w:space="0" w:color="auto"/>
      </w:divBdr>
    </w:div>
    <w:div w:id="1837526780">
      <w:bodyDiv w:val="1"/>
      <w:marLeft w:val="0"/>
      <w:marRight w:val="0"/>
      <w:marTop w:val="0"/>
      <w:marBottom w:val="0"/>
      <w:divBdr>
        <w:top w:val="none" w:sz="0" w:space="0" w:color="auto"/>
        <w:left w:val="none" w:sz="0" w:space="0" w:color="auto"/>
        <w:bottom w:val="none" w:sz="0" w:space="0" w:color="auto"/>
        <w:right w:val="none" w:sz="0" w:space="0" w:color="auto"/>
      </w:divBdr>
    </w:div>
    <w:div w:id="1839537713">
      <w:bodyDiv w:val="1"/>
      <w:marLeft w:val="0"/>
      <w:marRight w:val="0"/>
      <w:marTop w:val="0"/>
      <w:marBottom w:val="0"/>
      <w:divBdr>
        <w:top w:val="none" w:sz="0" w:space="0" w:color="auto"/>
        <w:left w:val="none" w:sz="0" w:space="0" w:color="auto"/>
        <w:bottom w:val="none" w:sz="0" w:space="0" w:color="auto"/>
        <w:right w:val="none" w:sz="0" w:space="0" w:color="auto"/>
      </w:divBdr>
    </w:div>
    <w:div w:id="1840074669">
      <w:bodyDiv w:val="1"/>
      <w:marLeft w:val="0"/>
      <w:marRight w:val="0"/>
      <w:marTop w:val="0"/>
      <w:marBottom w:val="0"/>
      <w:divBdr>
        <w:top w:val="none" w:sz="0" w:space="0" w:color="auto"/>
        <w:left w:val="none" w:sz="0" w:space="0" w:color="auto"/>
        <w:bottom w:val="none" w:sz="0" w:space="0" w:color="auto"/>
        <w:right w:val="none" w:sz="0" w:space="0" w:color="auto"/>
      </w:divBdr>
    </w:div>
    <w:div w:id="1840121000">
      <w:bodyDiv w:val="1"/>
      <w:marLeft w:val="0"/>
      <w:marRight w:val="0"/>
      <w:marTop w:val="0"/>
      <w:marBottom w:val="0"/>
      <w:divBdr>
        <w:top w:val="none" w:sz="0" w:space="0" w:color="auto"/>
        <w:left w:val="none" w:sz="0" w:space="0" w:color="auto"/>
        <w:bottom w:val="none" w:sz="0" w:space="0" w:color="auto"/>
        <w:right w:val="none" w:sz="0" w:space="0" w:color="auto"/>
      </w:divBdr>
    </w:div>
    <w:div w:id="1843618444">
      <w:bodyDiv w:val="1"/>
      <w:marLeft w:val="0"/>
      <w:marRight w:val="0"/>
      <w:marTop w:val="0"/>
      <w:marBottom w:val="0"/>
      <w:divBdr>
        <w:top w:val="none" w:sz="0" w:space="0" w:color="auto"/>
        <w:left w:val="none" w:sz="0" w:space="0" w:color="auto"/>
        <w:bottom w:val="none" w:sz="0" w:space="0" w:color="auto"/>
        <w:right w:val="none" w:sz="0" w:space="0" w:color="auto"/>
      </w:divBdr>
    </w:div>
    <w:div w:id="1844708518">
      <w:bodyDiv w:val="1"/>
      <w:marLeft w:val="0"/>
      <w:marRight w:val="0"/>
      <w:marTop w:val="0"/>
      <w:marBottom w:val="0"/>
      <w:divBdr>
        <w:top w:val="none" w:sz="0" w:space="0" w:color="auto"/>
        <w:left w:val="none" w:sz="0" w:space="0" w:color="auto"/>
        <w:bottom w:val="none" w:sz="0" w:space="0" w:color="auto"/>
        <w:right w:val="none" w:sz="0" w:space="0" w:color="auto"/>
      </w:divBdr>
    </w:div>
    <w:div w:id="1847667453">
      <w:bodyDiv w:val="1"/>
      <w:marLeft w:val="0"/>
      <w:marRight w:val="0"/>
      <w:marTop w:val="0"/>
      <w:marBottom w:val="0"/>
      <w:divBdr>
        <w:top w:val="none" w:sz="0" w:space="0" w:color="auto"/>
        <w:left w:val="none" w:sz="0" w:space="0" w:color="auto"/>
        <w:bottom w:val="none" w:sz="0" w:space="0" w:color="auto"/>
        <w:right w:val="none" w:sz="0" w:space="0" w:color="auto"/>
      </w:divBdr>
    </w:div>
    <w:div w:id="1849447280">
      <w:bodyDiv w:val="1"/>
      <w:marLeft w:val="0"/>
      <w:marRight w:val="0"/>
      <w:marTop w:val="0"/>
      <w:marBottom w:val="0"/>
      <w:divBdr>
        <w:top w:val="none" w:sz="0" w:space="0" w:color="auto"/>
        <w:left w:val="none" w:sz="0" w:space="0" w:color="auto"/>
        <w:bottom w:val="none" w:sz="0" w:space="0" w:color="auto"/>
        <w:right w:val="none" w:sz="0" w:space="0" w:color="auto"/>
      </w:divBdr>
    </w:div>
    <w:div w:id="1850219343">
      <w:bodyDiv w:val="1"/>
      <w:marLeft w:val="0"/>
      <w:marRight w:val="0"/>
      <w:marTop w:val="0"/>
      <w:marBottom w:val="0"/>
      <w:divBdr>
        <w:top w:val="none" w:sz="0" w:space="0" w:color="auto"/>
        <w:left w:val="none" w:sz="0" w:space="0" w:color="auto"/>
        <w:bottom w:val="none" w:sz="0" w:space="0" w:color="auto"/>
        <w:right w:val="none" w:sz="0" w:space="0" w:color="auto"/>
      </w:divBdr>
    </w:div>
    <w:div w:id="1851527132">
      <w:bodyDiv w:val="1"/>
      <w:marLeft w:val="0"/>
      <w:marRight w:val="0"/>
      <w:marTop w:val="0"/>
      <w:marBottom w:val="0"/>
      <w:divBdr>
        <w:top w:val="none" w:sz="0" w:space="0" w:color="auto"/>
        <w:left w:val="none" w:sz="0" w:space="0" w:color="auto"/>
        <w:bottom w:val="none" w:sz="0" w:space="0" w:color="auto"/>
        <w:right w:val="none" w:sz="0" w:space="0" w:color="auto"/>
      </w:divBdr>
    </w:div>
    <w:div w:id="1853840244">
      <w:bodyDiv w:val="1"/>
      <w:marLeft w:val="0"/>
      <w:marRight w:val="0"/>
      <w:marTop w:val="0"/>
      <w:marBottom w:val="0"/>
      <w:divBdr>
        <w:top w:val="none" w:sz="0" w:space="0" w:color="auto"/>
        <w:left w:val="none" w:sz="0" w:space="0" w:color="auto"/>
        <w:bottom w:val="none" w:sz="0" w:space="0" w:color="auto"/>
        <w:right w:val="none" w:sz="0" w:space="0" w:color="auto"/>
      </w:divBdr>
    </w:div>
    <w:div w:id="1860270434">
      <w:bodyDiv w:val="1"/>
      <w:marLeft w:val="0"/>
      <w:marRight w:val="0"/>
      <w:marTop w:val="0"/>
      <w:marBottom w:val="0"/>
      <w:divBdr>
        <w:top w:val="none" w:sz="0" w:space="0" w:color="auto"/>
        <w:left w:val="none" w:sz="0" w:space="0" w:color="auto"/>
        <w:bottom w:val="none" w:sz="0" w:space="0" w:color="auto"/>
        <w:right w:val="none" w:sz="0" w:space="0" w:color="auto"/>
      </w:divBdr>
    </w:div>
    <w:div w:id="1861242208">
      <w:bodyDiv w:val="1"/>
      <w:marLeft w:val="0"/>
      <w:marRight w:val="0"/>
      <w:marTop w:val="0"/>
      <w:marBottom w:val="0"/>
      <w:divBdr>
        <w:top w:val="none" w:sz="0" w:space="0" w:color="auto"/>
        <w:left w:val="none" w:sz="0" w:space="0" w:color="auto"/>
        <w:bottom w:val="none" w:sz="0" w:space="0" w:color="auto"/>
        <w:right w:val="none" w:sz="0" w:space="0" w:color="auto"/>
      </w:divBdr>
    </w:div>
    <w:div w:id="1862695299">
      <w:bodyDiv w:val="1"/>
      <w:marLeft w:val="0"/>
      <w:marRight w:val="0"/>
      <w:marTop w:val="0"/>
      <w:marBottom w:val="0"/>
      <w:divBdr>
        <w:top w:val="none" w:sz="0" w:space="0" w:color="auto"/>
        <w:left w:val="none" w:sz="0" w:space="0" w:color="auto"/>
        <w:bottom w:val="none" w:sz="0" w:space="0" w:color="auto"/>
        <w:right w:val="none" w:sz="0" w:space="0" w:color="auto"/>
      </w:divBdr>
    </w:div>
    <w:div w:id="1864316915">
      <w:bodyDiv w:val="1"/>
      <w:marLeft w:val="0"/>
      <w:marRight w:val="0"/>
      <w:marTop w:val="0"/>
      <w:marBottom w:val="0"/>
      <w:divBdr>
        <w:top w:val="none" w:sz="0" w:space="0" w:color="auto"/>
        <w:left w:val="none" w:sz="0" w:space="0" w:color="auto"/>
        <w:bottom w:val="none" w:sz="0" w:space="0" w:color="auto"/>
        <w:right w:val="none" w:sz="0" w:space="0" w:color="auto"/>
      </w:divBdr>
    </w:div>
    <w:div w:id="1865168993">
      <w:bodyDiv w:val="1"/>
      <w:marLeft w:val="0"/>
      <w:marRight w:val="0"/>
      <w:marTop w:val="0"/>
      <w:marBottom w:val="0"/>
      <w:divBdr>
        <w:top w:val="none" w:sz="0" w:space="0" w:color="auto"/>
        <w:left w:val="none" w:sz="0" w:space="0" w:color="auto"/>
        <w:bottom w:val="none" w:sz="0" w:space="0" w:color="auto"/>
        <w:right w:val="none" w:sz="0" w:space="0" w:color="auto"/>
      </w:divBdr>
    </w:div>
    <w:div w:id="1867214771">
      <w:bodyDiv w:val="1"/>
      <w:marLeft w:val="0"/>
      <w:marRight w:val="0"/>
      <w:marTop w:val="0"/>
      <w:marBottom w:val="0"/>
      <w:divBdr>
        <w:top w:val="none" w:sz="0" w:space="0" w:color="auto"/>
        <w:left w:val="none" w:sz="0" w:space="0" w:color="auto"/>
        <w:bottom w:val="none" w:sz="0" w:space="0" w:color="auto"/>
        <w:right w:val="none" w:sz="0" w:space="0" w:color="auto"/>
      </w:divBdr>
    </w:div>
    <w:div w:id="1871643877">
      <w:bodyDiv w:val="1"/>
      <w:marLeft w:val="0"/>
      <w:marRight w:val="0"/>
      <w:marTop w:val="0"/>
      <w:marBottom w:val="0"/>
      <w:divBdr>
        <w:top w:val="none" w:sz="0" w:space="0" w:color="auto"/>
        <w:left w:val="none" w:sz="0" w:space="0" w:color="auto"/>
        <w:bottom w:val="none" w:sz="0" w:space="0" w:color="auto"/>
        <w:right w:val="none" w:sz="0" w:space="0" w:color="auto"/>
      </w:divBdr>
    </w:div>
    <w:div w:id="1871718610">
      <w:bodyDiv w:val="1"/>
      <w:marLeft w:val="0"/>
      <w:marRight w:val="0"/>
      <w:marTop w:val="0"/>
      <w:marBottom w:val="0"/>
      <w:divBdr>
        <w:top w:val="none" w:sz="0" w:space="0" w:color="auto"/>
        <w:left w:val="none" w:sz="0" w:space="0" w:color="auto"/>
        <w:bottom w:val="none" w:sz="0" w:space="0" w:color="auto"/>
        <w:right w:val="none" w:sz="0" w:space="0" w:color="auto"/>
      </w:divBdr>
    </w:div>
    <w:div w:id="1871724619">
      <w:bodyDiv w:val="1"/>
      <w:marLeft w:val="0"/>
      <w:marRight w:val="0"/>
      <w:marTop w:val="0"/>
      <w:marBottom w:val="0"/>
      <w:divBdr>
        <w:top w:val="none" w:sz="0" w:space="0" w:color="auto"/>
        <w:left w:val="none" w:sz="0" w:space="0" w:color="auto"/>
        <w:bottom w:val="none" w:sz="0" w:space="0" w:color="auto"/>
        <w:right w:val="none" w:sz="0" w:space="0" w:color="auto"/>
      </w:divBdr>
    </w:div>
    <w:div w:id="1872573250">
      <w:bodyDiv w:val="1"/>
      <w:marLeft w:val="0"/>
      <w:marRight w:val="0"/>
      <w:marTop w:val="0"/>
      <w:marBottom w:val="0"/>
      <w:divBdr>
        <w:top w:val="none" w:sz="0" w:space="0" w:color="auto"/>
        <w:left w:val="none" w:sz="0" w:space="0" w:color="auto"/>
        <w:bottom w:val="none" w:sz="0" w:space="0" w:color="auto"/>
        <w:right w:val="none" w:sz="0" w:space="0" w:color="auto"/>
      </w:divBdr>
    </w:div>
    <w:div w:id="1874533879">
      <w:bodyDiv w:val="1"/>
      <w:marLeft w:val="0"/>
      <w:marRight w:val="0"/>
      <w:marTop w:val="0"/>
      <w:marBottom w:val="0"/>
      <w:divBdr>
        <w:top w:val="none" w:sz="0" w:space="0" w:color="auto"/>
        <w:left w:val="none" w:sz="0" w:space="0" w:color="auto"/>
        <w:bottom w:val="none" w:sz="0" w:space="0" w:color="auto"/>
        <w:right w:val="none" w:sz="0" w:space="0" w:color="auto"/>
      </w:divBdr>
    </w:div>
    <w:div w:id="1876235537">
      <w:bodyDiv w:val="1"/>
      <w:marLeft w:val="0"/>
      <w:marRight w:val="0"/>
      <w:marTop w:val="0"/>
      <w:marBottom w:val="0"/>
      <w:divBdr>
        <w:top w:val="none" w:sz="0" w:space="0" w:color="auto"/>
        <w:left w:val="none" w:sz="0" w:space="0" w:color="auto"/>
        <w:bottom w:val="none" w:sz="0" w:space="0" w:color="auto"/>
        <w:right w:val="none" w:sz="0" w:space="0" w:color="auto"/>
      </w:divBdr>
    </w:div>
    <w:div w:id="1877884795">
      <w:bodyDiv w:val="1"/>
      <w:marLeft w:val="0"/>
      <w:marRight w:val="0"/>
      <w:marTop w:val="0"/>
      <w:marBottom w:val="0"/>
      <w:divBdr>
        <w:top w:val="none" w:sz="0" w:space="0" w:color="auto"/>
        <w:left w:val="none" w:sz="0" w:space="0" w:color="auto"/>
        <w:bottom w:val="none" w:sz="0" w:space="0" w:color="auto"/>
        <w:right w:val="none" w:sz="0" w:space="0" w:color="auto"/>
      </w:divBdr>
    </w:div>
    <w:div w:id="1878465873">
      <w:bodyDiv w:val="1"/>
      <w:marLeft w:val="0"/>
      <w:marRight w:val="0"/>
      <w:marTop w:val="0"/>
      <w:marBottom w:val="0"/>
      <w:divBdr>
        <w:top w:val="none" w:sz="0" w:space="0" w:color="auto"/>
        <w:left w:val="none" w:sz="0" w:space="0" w:color="auto"/>
        <w:bottom w:val="none" w:sz="0" w:space="0" w:color="auto"/>
        <w:right w:val="none" w:sz="0" w:space="0" w:color="auto"/>
      </w:divBdr>
    </w:div>
    <w:div w:id="1878732347">
      <w:bodyDiv w:val="1"/>
      <w:marLeft w:val="0"/>
      <w:marRight w:val="0"/>
      <w:marTop w:val="0"/>
      <w:marBottom w:val="0"/>
      <w:divBdr>
        <w:top w:val="none" w:sz="0" w:space="0" w:color="auto"/>
        <w:left w:val="none" w:sz="0" w:space="0" w:color="auto"/>
        <w:bottom w:val="none" w:sz="0" w:space="0" w:color="auto"/>
        <w:right w:val="none" w:sz="0" w:space="0" w:color="auto"/>
      </w:divBdr>
    </w:div>
    <w:div w:id="1881160598">
      <w:bodyDiv w:val="1"/>
      <w:marLeft w:val="0"/>
      <w:marRight w:val="0"/>
      <w:marTop w:val="0"/>
      <w:marBottom w:val="0"/>
      <w:divBdr>
        <w:top w:val="none" w:sz="0" w:space="0" w:color="auto"/>
        <w:left w:val="none" w:sz="0" w:space="0" w:color="auto"/>
        <w:bottom w:val="none" w:sz="0" w:space="0" w:color="auto"/>
        <w:right w:val="none" w:sz="0" w:space="0" w:color="auto"/>
      </w:divBdr>
    </w:div>
    <w:div w:id="1882328710">
      <w:bodyDiv w:val="1"/>
      <w:marLeft w:val="0"/>
      <w:marRight w:val="0"/>
      <w:marTop w:val="0"/>
      <w:marBottom w:val="0"/>
      <w:divBdr>
        <w:top w:val="none" w:sz="0" w:space="0" w:color="auto"/>
        <w:left w:val="none" w:sz="0" w:space="0" w:color="auto"/>
        <w:bottom w:val="none" w:sz="0" w:space="0" w:color="auto"/>
        <w:right w:val="none" w:sz="0" w:space="0" w:color="auto"/>
      </w:divBdr>
    </w:div>
    <w:div w:id="1883246685">
      <w:bodyDiv w:val="1"/>
      <w:marLeft w:val="0"/>
      <w:marRight w:val="0"/>
      <w:marTop w:val="0"/>
      <w:marBottom w:val="0"/>
      <w:divBdr>
        <w:top w:val="none" w:sz="0" w:space="0" w:color="auto"/>
        <w:left w:val="none" w:sz="0" w:space="0" w:color="auto"/>
        <w:bottom w:val="none" w:sz="0" w:space="0" w:color="auto"/>
        <w:right w:val="none" w:sz="0" w:space="0" w:color="auto"/>
      </w:divBdr>
    </w:div>
    <w:div w:id="1887519672">
      <w:bodyDiv w:val="1"/>
      <w:marLeft w:val="0"/>
      <w:marRight w:val="0"/>
      <w:marTop w:val="0"/>
      <w:marBottom w:val="0"/>
      <w:divBdr>
        <w:top w:val="none" w:sz="0" w:space="0" w:color="auto"/>
        <w:left w:val="none" w:sz="0" w:space="0" w:color="auto"/>
        <w:bottom w:val="none" w:sz="0" w:space="0" w:color="auto"/>
        <w:right w:val="none" w:sz="0" w:space="0" w:color="auto"/>
      </w:divBdr>
    </w:div>
    <w:div w:id="1888179942">
      <w:bodyDiv w:val="1"/>
      <w:marLeft w:val="0"/>
      <w:marRight w:val="0"/>
      <w:marTop w:val="0"/>
      <w:marBottom w:val="0"/>
      <w:divBdr>
        <w:top w:val="none" w:sz="0" w:space="0" w:color="auto"/>
        <w:left w:val="none" w:sz="0" w:space="0" w:color="auto"/>
        <w:bottom w:val="none" w:sz="0" w:space="0" w:color="auto"/>
        <w:right w:val="none" w:sz="0" w:space="0" w:color="auto"/>
      </w:divBdr>
    </w:div>
    <w:div w:id="1891529972">
      <w:bodyDiv w:val="1"/>
      <w:marLeft w:val="0"/>
      <w:marRight w:val="0"/>
      <w:marTop w:val="0"/>
      <w:marBottom w:val="0"/>
      <w:divBdr>
        <w:top w:val="none" w:sz="0" w:space="0" w:color="auto"/>
        <w:left w:val="none" w:sz="0" w:space="0" w:color="auto"/>
        <w:bottom w:val="none" w:sz="0" w:space="0" w:color="auto"/>
        <w:right w:val="none" w:sz="0" w:space="0" w:color="auto"/>
      </w:divBdr>
    </w:div>
    <w:div w:id="1891921196">
      <w:bodyDiv w:val="1"/>
      <w:marLeft w:val="0"/>
      <w:marRight w:val="0"/>
      <w:marTop w:val="0"/>
      <w:marBottom w:val="0"/>
      <w:divBdr>
        <w:top w:val="none" w:sz="0" w:space="0" w:color="auto"/>
        <w:left w:val="none" w:sz="0" w:space="0" w:color="auto"/>
        <w:bottom w:val="none" w:sz="0" w:space="0" w:color="auto"/>
        <w:right w:val="none" w:sz="0" w:space="0" w:color="auto"/>
      </w:divBdr>
    </w:div>
    <w:div w:id="1893035852">
      <w:bodyDiv w:val="1"/>
      <w:marLeft w:val="0"/>
      <w:marRight w:val="0"/>
      <w:marTop w:val="0"/>
      <w:marBottom w:val="0"/>
      <w:divBdr>
        <w:top w:val="none" w:sz="0" w:space="0" w:color="auto"/>
        <w:left w:val="none" w:sz="0" w:space="0" w:color="auto"/>
        <w:bottom w:val="none" w:sz="0" w:space="0" w:color="auto"/>
        <w:right w:val="none" w:sz="0" w:space="0" w:color="auto"/>
      </w:divBdr>
    </w:div>
    <w:div w:id="1904754615">
      <w:bodyDiv w:val="1"/>
      <w:marLeft w:val="0"/>
      <w:marRight w:val="0"/>
      <w:marTop w:val="0"/>
      <w:marBottom w:val="0"/>
      <w:divBdr>
        <w:top w:val="none" w:sz="0" w:space="0" w:color="auto"/>
        <w:left w:val="none" w:sz="0" w:space="0" w:color="auto"/>
        <w:bottom w:val="none" w:sz="0" w:space="0" w:color="auto"/>
        <w:right w:val="none" w:sz="0" w:space="0" w:color="auto"/>
      </w:divBdr>
    </w:div>
    <w:div w:id="1907061506">
      <w:bodyDiv w:val="1"/>
      <w:marLeft w:val="0"/>
      <w:marRight w:val="0"/>
      <w:marTop w:val="0"/>
      <w:marBottom w:val="0"/>
      <w:divBdr>
        <w:top w:val="none" w:sz="0" w:space="0" w:color="auto"/>
        <w:left w:val="none" w:sz="0" w:space="0" w:color="auto"/>
        <w:bottom w:val="none" w:sz="0" w:space="0" w:color="auto"/>
        <w:right w:val="none" w:sz="0" w:space="0" w:color="auto"/>
      </w:divBdr>
    </w:div>
    <w:div w:id="1908109432">
      <w:bodyDiv w:val="1"/>
      <w:marLeft w:val="0"/>
      <w:marRight w:val="0"/>
      <w:marTop w:val="0"/>
      <w:marBottom w:val="0"/>
      <w:divBdr>
        <w:top w:val="none" w:sz="0" w:space="0" w:color="auto"/>
        <w:left w:val="none" w:sz="0" w:space="0" w:color="auto"/>
        <w:bottom w:val="none" w:sz="0" w:space="0" w:color="auto"/>
        <w:right w:val="none" w:sz="0" w:space="0" w:color="auto"/>
      </w:divBdr>
    </w:div>
    <w:div w:id="1913348809">
      <w:bodyDiv w:val="1"/>
      <w:marLeft w:val="0"/>
      <w:marRight w:val="0"/>
      <w:marTop w:val="0"/>
      <w:marBottom w:val="0"/>
      <w:divBdr>
        <w:top w:val="none" w:sz="0" w:space="0" w:color="auto"/>
        <w:left w:val="none" w:sz="0" w:space="0" w:color="auto"/>
        <w:bottom w:val="none" w:sz="0" w:space="0" w:color="auto"/>
        <w:right w:val="none" w:sz="0" w:space="0" w:color="auto"/>
      </w:divBdr>
    </w:div>
    <w:div w:id="1918664146">
      <w:bodyDiv w:val="1"/>
      <w:marLeft w:val="0"/>
      <w:marRight w:val="0"/>
      <w:marTop w:val="0"/>
      <w:marBottom w:val="0"/>
      <w:divBdr>
        <w:top w:val="none" w:sz="0" w:space="0" w:color="auto"/>
        <w:left w:val="none" w:sz="0" w:space="0" w:color="auto"/>
        <w:bottom w:val="none" w:sz="0" w:space="0" w:color="auto"/>
        <w:right w:val="none" w:sz="0" w:space="0" w:color="auto"/>
      </w:divBdr>
    </w:div>
    <w:div w:id="1929078693">
      <w:bodyDiv w:val="1"/>
      <w:marLeft w:val="0"/>
      <w:marRight w:val="0"/>
      <w:marTop w:val="0"/>
      <w:marBottom w:val="0"/>
      <w:divBdr>
        <w:top w:val="none" w:sz="0" w:space="0" w:color="auto"/>
        <w:left w:val="none" w:sz="0" w:space="0" w:color="auto"/>
        <w:bottom w:val="none" w:sz="0" w:space="0" w:color="auto"/>
        <w:right w:val="none" w:sz="0" w:space="0" w:color="auto"/>
      </w:divBdr>
    </w:div>
    <w:div w:id="1930043678">
      <w:bodyDiv w:val="1"/>
      <w:marLeft w:val="0"/>
      <w:marRight w:val="0"/>
      <w:marTop w:val="0"/>
      <w:marBottom w:val="0"/>
      <w:divBdr>
        <w:top w:val="none" w:sz="0" w:space="0" w:color="auto"/>
        <w:left w:val="none" w:sz="0" w:space="0" w:color="auto"/>
        <w:bottom w:val="none" w:sz="0" w:space="0" w:color="auto"/>
        <w:right w:val="none" w:sz="0" w:space="0" w:color="auto"/>
      </w:divBdr>
    </w:div>
    <w:div w:id="1930112408">
      <w:bodyDiv w:val="1"/>
      <w:marLeft w:val="0"/>
      <w:marRight w:val="0"/>
      <w:marTop w:val="0"/>
      <w:marBottom w:val="0"/>
      <w:divBdr>
        <w:top w:val="none" w:sz="0" w:space="0" w:color="auto"/>
        <w:left w:val="none" w:sz="0" w:space="0" w:color="auto"/>
        <w:bottom w:val="none" w:sz="0" w:space="0" w:color="auto"/>
        <w:right w:val="none" w:sz="0" w:space="0" w:color="auto"/>
      </w:divBdr>
    </w:div>
    <w:div w:id="1931041312">
      <w:bodyDiv w:val="1"/>
      <w:marLeft w:val="0"/>
      <w:marRight w:val="0"/>
      <w:marTop w:val="0"/>
      <w:marBottom w:val="0"/>
      <w:divBdr>
        <w:top w:val="none" w:sz="0" w:space="0" w:color="auto"/>
        <w:left w:val="none" w:sz="0" w:space="0" w:color="auto"/>
        <w:bottom w:val="none" w:sz="0" w:space="0" w:color="auto"/>
        <w:right w:val="none" w:sz="0" w:space="0" w:color="auto"/>
      </w:divBdr>
    </w:div>
    <w:div w:id="1932815030">
      <w:bodyDiv w:val="1"/>
      <w:marLeft w:val="0"/>
      <w:marRight w:val="0"/>
      <w:marTop w:val="0"/>
      <w:marBottom w:val="0"/>
      <w:divBdr>
        <w:top w:val="none" w:sz="0" w:space="0" w:color="auto"/>
        <w:left w:val="none" w:sz="0" w:space="0" w:color="auto"/>
        <w:bottom w:val="none" w:sz="0" w:space="0" w:color="auto"/>
        <w:right w:val="none" w:sz="0" w:space="0" w:color="auto"/>
      </w:divBdr>
    </w:div>
    <w:div w:id="1933976460">
      <w:bodyDiv w:val="1"/>
      <w:marLeft w:val="0"/>
      <w:marRight w:val="0"/>
      <w:marTop w:val="0"/>
      <w:marBottom w:val="0"/>
      <w:divBdr>
        <w:top w:val="none" w:sz="0" w:space="0" w:color="auto"/>
        <w:left w:val="none" w:sz="0" w:space="0" w:color="auto"/>
        <w:bottom w:val="none" w:sz="0" w:space="0" w:color="auto"/>
        <w:right w:val="none" w:sz="0" w:space="0" w:color="auto"/>
      </w:divBdr>
    </w:div>
    <w:div w:id="1935624761">
      <w:bodyDiv w:val="1"/>
      <w:marLeft w:val="0"/>
      <w:marRight w:val="0"/>
      <w:marTop w:val="0"/>
      <w:marBottom w:val="0"/>
      <w:divBdr>
        <w:top w:val="none" w:sz="0" w:space="0" w:color="auto"/>
        <w:left w:val="none" w:sz="0" w:space="0" w:color="auto"/>
        <w:bottom w:val="none" w:sz="0" w:space="0" w:color="auto"/>
        <w:right w:val="none" w:sz="0" w:space="0" w:color="auto"/>
      </w:divBdr>
    </w:div>
    <w:div w:id="1936937791">
      <w:bodyDiv w:val="1"/>
      <w:marLeft w:val="0"/>
      <w:marRight w:val="0"/>
      <w:marTop w:val="0"/>
      <w:marBottom w:val="0"/>
      <w:divBdr>
        <w:top w:val="none" w:sz="0" w:space="0" w:color="auto"/>
        <w:left w:val="none" w:sz="0" w:space="0" w:color="auto"/>
        <w:bottom w:val="none" w:sz="0" w:space="0" w:color="auto"/>
        <w:right w:val="none" w:sz="0" w:space="0" w:color="auto"/>
      </w:divBdr>
    </w:div>
    <w:div w:id="1939092455">
      <w:bodyDiv w:val="1"/>
      <w:marLeft w:val="0"/>
      <w:marRight w:val="0"/>
      <w:marTop w:val="0"/>
      <w:marBottom w:val="0"/>
      <w:divBdr>
        <w:top w:val="none" w:sz="0" w:space="0" w:color="auto"/>
        <w:left w:val="none" w:sz="0" w:space="0" w:color="auto"/>
        <w:bottom w:val="none" w:sz="0" w:space="0" w:color="auto"/>
        <w:right w:val="none" w:sz="0" w:space="0" w:color="auto"/>
      </w:divBdr>
    </w:div>
    <w:div w:id="1941571075">
      <w:bodyDiv w:val="1"/>
      <w:marLeft w:val="0"/>
      <w:marRight w:val="0"/>
      <w:marTop w:val="0"/>
      <w:marBottom w:val="0"/>
      <w:divBdr>
        <w:top w:val="none" w:sz="0" w:space="0" w:color="auto"/>
        <w:left w:val="none" w:sz="0" w:space="0" w:color="auto"/>
        <w:bottom w:val="none" w:sz="0" w:space="0" w:color="auto"/>
        <w:right w:val="none" w:sz="0" w:space="0" w:color="auto"/>
      </w:divBdr>
    </w:div>
    <w:div w:id="1943101709">
      <w:bodyDiv w:val="1"/>
      <w:marLeft w:val="0"/>
      <w:marRight w:val="0"/>
      <w:marTop w:val="0"/>
      <w:marBottom w:val="0"/>
      <w:divBdr>
        <w:top w:val="none" w:sz="0" w:space="0" w:color="auto"/>
        <w:left w:val="none" w:sz="0" w:space="0" w:color="auto"/>
        <w:bottom w:val="none" w:sz="0" w:space="0" w:color="auto"/>
        <w:right w:val="none" w:sz="0" w:space="0" w:color="auto"/>
      </w:divBdr>
    </w:div>
    <w:div w:id="1943996903">
      <w:bodyDiv w:val="1"/>
      <w:marLeft w:val="0"/>
      <w:marRight w:val="0"/>
      <w:marTop w:val="0"/>
      <w:marBottom w:val="0"/>
      <w:divBdr>
        <w:top w:val="none" w:sz="0" w:space="0" w:color="auto"/>
        <w:left w:val="none" w:sz="0" w:space="0" w:color="auto"/>
        <w:bottom w:val="none" w:sz="0" w:space="0" w:color="auto"/>
        <w:right w:val="none" w:sz="0" w:space="0" w:color="auto"/>
      </w:divBdr>
    </w:div>
    <w:div w:id="1944877346">
      <w:bodyDiv w:val="1"/>
      <w:marLeft w:val="0"/>
      <w:marRight w:val="0"/>
      <w:marTop w:val="0"/>
      <w:marBottom w:val="0"/>
      <w:divBdr>
        <w:top w:val="none" w:sz="0" w:space="0" w:color="auto"/>
        <w:left w:val="none" w:sz="0" w:space="0" w:color="auto"/>
        <w:bottom w:val="none" w:sz="0" w:space="0" w:color="auto"/>
        <w:right w:val="none" w:sz="0" w:space="0" w:color="auto"/>
      </w:divBdr>
    </w:div>
    <w:div w:id="1946958994">
      <w:bodyDiv w:val="1"/>
      <w:marLeft w:val="0"/>
      <w:marRight w:val="0"/>
      <w:marTop w:val="0"/>
      <w:marBottom w:val="0"/>
      <w:divBdr>
        <w:top w:val="none" w:sz="0" w:space="0" w:color="auto"/>
        <w:left w:val="none" w:sz="0" w:space="0" w:color="auto"/>
        <w:bottom w:val="none" w:sz="0" w:space="0" w:color="auto"/>
        <w:right w:val="none" w:sz="0" w:space="0" w:color="auto"/>
      </w:divBdr>
    </w:div>
    <w:div w:id="1947958411">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51471916">
      <w:bodyDiv w:val="1"/>
      <w:marLeft w:val="0"/>
      <w:marRight w:val="0"/>
      <w:marTop w:val="0"/>
      <w:marBottom w:val="0"/>
      <w:divBdr>
        <w:top w:val="none" w:sz="0" w:space="0" w:color="auto"/>
        <w:left w:val="none" w:sz="0" w:space="0" w:color="auto"/>
        <w:bottom w:val="none" w:sz="0" w:space="0" w:color="auto"/>
        <w:right w:val="none" w:sz="0" w:space="0" w:color="auto"/>
      </w:divBdr>
    </w:div>
    <w:div w:id="1951544938">
      <w:bodyDiv w:val="1"/>
      <w:marLeft w:val="0"/>
      <w:marRight w:val="0"/>
      <w:marTop w:val="0"/>
      <w:marBottom w:val="0"/>
      <w:divBdr>
        <w:top w:val="none" w:sz="0" w:space="0" w:color="auto"/>
        <w:left w:val="none" w:sz="0" w:space="0" w:color="auto"/>
        <w:bottom w:val="none" w:sz="0" w:space="0" w:color="auto"/>
        <w:right w:val="none" w:sz="0" w:space="0" w:color="auto"/>
      </w:divBdr>
    </w:div>
    <w:div w:id="1952275123">
      <w:bodyDiv w:val="1"/>
      <w:marLeft w:val="0"/>
      <w:marRight w:val="0"/>
      <w:marTop w:val="0"/>
      <w:marBottom w:val="0"/>
      <w:divBdr>
        <w:top w:val="none" w:sz="0" w:space="0" w:color="auto"/>
        <w:left w:val="none" w:sz="0" w:space="0" w:color="auto"/>
        <w:bottom w:val="none" w:sz="0" w:space="0" w:color="auto"/>
        <w:right w:val="none" w:sz="0" w:space="0" w:color="auto"/>
      </w:divBdr>
    </w:div>
    <w:div w:id="1952734814">
      <w:bodyDiv w:val="1"/>
      <w:marLeft w:val="0"/>
      <w:marRight w:val="0"/>
      <w:marTop w:val="0"/>
      <w:marBottom w:val="0"/>
      <w:divBdr>
        <w:top w:val="none" w:sz="0" w:space="0" w:color="auto"/>
        <w:left w:val="none" w:sz="0" w:space="0" w:color="auto"/>
        <w:bottom w:val="none" w:sz="0" w:space="0" w:color="auto"/>
        <w:right w:val="none" w:sz="0" w:space="0" w:color="auto"/>
      </w:divBdr>
    </w:div>
    <w:div w:id="1956016253">
      <w:bodyDiv w:val="1"/>
      <w:marLeft w:val="0"/>
      <w:marRight w:val="0"/>
      <w:marTop w:val="0"/>
      <w:marBottom w:val="0"/>
      <w:divBdr>
        <w:top w:val="none" w:sz="0" w:space="0" w:color="auto"/>
        <w:left w:val="none" w:sz="0" w:space="0" w:color="auto"/>
        <w:bottom w:val="none" w:sz="0" w:space="0" w:color="auto"/>
        <w:right w:val="none" w:sz="0" w:space="0" w:color="auto"/>
      </w:divBdr>
    </w:div>
    <w:div w:id="1960408503">
      <w:bodyDiv w:val="1"/>
      <w:marLeft w:val="0"/>
      <w:marRight w:val="0"/>
      <w:marTop w:val="0"/>
      <w:marBottom w:val="0"/>
      <w:divBdr>
        <w:top w:val="none" w:sz="0" w:space="0" w:color="auto"/>
        <w:left w:val="none" w:sz="0" w:space="0" w:color="auto"/>
        <w:bottom w:val="none" w:sz="0" w:space="0" w:color="auto"/>
        <w:right w:val="none" w:sz="0" w:space="0" w:color="auto"/>
      </w:divBdr>
    </w:div>
    <w:div w:id="1963224195">
      <w:bodyDiv w:val="1"/>
      <w:marLeft w:val="0"/>
      <w:marRight w:val="0"/>
      <w:marTop w:val="0"/>
      <w:marBottom w:val="0"/>
      <w:divBdr>
        <w:top w:val="none" w:sz="0" w:space="0" w:color="auto"/>
        <w:left w:val="none" w:sz="0" w:space="0" w:color="auto"/>
        <w:bottom w:val="none" w:sz="0" w:space="0" w:color="auto"/>
        <w:right w:val="none" w:sz="0" w:space="0" w:color="auto"/>
      </w:divBdr>
    </w:div>
    <w:div w:id="1965848310">
      <w:bodyDiv w:val="1"/>
      <w:marLeft w:val="0"/>
      <w:marRight w:val="0"/>
      <w:marTop w:val="0"/>
      <w:marBottom w:val="0"/>
      <w:divBdr>
        <w:top w:val="none" w:sz="0" w:space="0" w:color="auto"/>
        <w:left w:val="none" w:sz="0" w:space="0" w:color="auto"/>
        <w:bottom w:val="none" w:sz="0" w:space="0" w:color="auto"/>
        <w:right w:val="none" w:sz="0" w:space="0" w:color="auto"/>
      </w:divBdr>
    </w:div>
    <w:div w:id="1967467351">
      <w:bodyDiv w:val="1"/>
      <w:marLeft w:val="0"/>
      <w:marRight w:val="0"/>
      <w:marTop w:val="0"/>
      <w:marBottom w:val="0"/>
      <w:divBdr>
        <w:top w:val="none" w:sz="0" w:space="0" w:color="auto"/>
        <w:left w:val="none" w:sz="0" w:space="0" w:color="auto"/>
        <w:bottom w:val="none" w:sz="0" w:space="0" w:color="auto"/>
        <w:right w:val="none" w:sz="0" w:space="0" w:color="auto"/>
      </w:divBdr>
    </w:div>
    <w:div w:id="1967807731">
      <w:bodyDiv w:val="1"/>
      <w:marLeft w:val="0"/>
      <w:marRight w:val="0"/>
      <w:marTop w:val="0"/>
      <w:marBottom w:val="0"/>
      <w:divBdr>
        <w:top w:val="none" w:sz="0" w:space="0" w:color="auto"/>
        <w:left w:val="none" w:sz="0" w:space="0" w:color="auto"/>
        <w:bottom w:val="none" w:sz="0" w:space="0" w:color="auto"/>
        <w:right w:val="none" w:sz="0" w:space="0" w:color="auto"/>
      </w:divBdr>
    </w:div>
    <w:div w:id="1978753788">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1994796726">
      <w:bodyDiv w:val="1"/>
      <w:marLeft w:val="0"/>
      <w:marRight w:val="0"/>
      <w:marTop w:val="0"/>
      <w:marBottom w:val="0"/>
      <w:divBdr>
        <w:top w:val="none" w:sz="0" w:space="0" w:color="auto"/>
        <w:left w:val="none" w:sz="0" w:space="0" w:color="auto"/>
        <w:bottom w:val="none" w:sz="0" w:space="0" w:color="auto"/>
        <w:right w:val="none" w:sz="0" w:space="0" w:color="auto"/>
      </w:divBdr>
    </w:div>
    <w:div w:id="2000763541">
      <w:bodyDiv w:val="1"/>
      <w:marLeft w:val="0"/>
      <w:marRight w:val="0"/>
      <w:marTop w:val="0"/>
      <w:marBottom w:val="0"/>
      <w:divBdr>
        <w:top w:val="none" w:sz="0" w:space="0" w:color="auto"/>
        <w:left w:val="none" w:sz="0" w:space="0" w:color="auto"/>
        <w:bottom w:val="none" w:sz="0" w:space="0" w:color="auto"/>
        <w:right w:val="none" w:sz="0" w:space="0" w:color="auto"/>
      </w:divBdr>
    </w:div>
    <w:div w:id="2002853949">
      <w:bodyDiv w:val="1"/>
      <w:marLeft w:val="0"/>
      <w:marRight w:val="0"/>
      <w:marTop w:val="0"/>
      <w:marBottom w:val="0"/>
      <w:divBdr>
        <w:top w:val="none" w:sz="0" w:space="0" w:color="auto"/>
        <w:left w:val="none" w:sz="0" w:space="0" w:color="auto"/>
        <w:bottom w:val="none" w:sz="0" w:space="0" w:color="auto"/>
        <w:right w:val="none" w:sz="0" w:space="0" w:color="auto"/>
      </w:divBdr>
    </w:div>
    <w:div w:id="2003971700">
      <w:bodyDiv w:val="1"/>
      <w:marLeft w:val="0"/>
      <w:marRight w:val="0"/>
      <w:marTop w:val="0"/>
      <w:marBottom w:val="0"/>
      <w:divBdr>
        <w:top w:val="none" w:sz="0" w:space="0" w:color="auto"/>
        <w:left w:val="none" w:sz="0" w:space="0" w:color="auto"/>
        <w:bottom w:val="none" w:sz="0" w:space="0" w:color="auto"/>
        <w:right w:val="none" w:sz="0" w:space="0" w:color="auto"/>
      </w:divBdr>
    </w:div>
    <w:div w:id="2008821957">
      <w:bodyDiv w:val="1"/>
      <w:marLeft w:val="0"/>
      <w:marRight w:val="0"/>
      <w:marTop w:val="0"/>
      <w:marBottom w:val="0"/>
      <w:divBdr>
        <w:top w:val="none" w:sz="0" w:space="0" w:color="auto"/>
        <w:left w:val="none" w:sz="0" w:space="0" w:color="auto"/>
        <w:bottom w:val="none" w:sz="0" w:space="0" w:color="auto"/>
        <w:right w:val="none" w:sz="0" w:space="0" w:color="auto"/>
      </w:divBdr>
    </w:div>
    <w:div w:id="2009870542">
      <w:bodyDiv w:val="1"/>
      <w:marLeft w:val="0"/>
      <w:marRight w:val="0"/>
      <w:marTop w:val="0"/>
      <w:marBottom w:val="0"/>
      <w:divBdr>
        <w:top w:val="none" w:sz="0" w:space="0" w:color="auto"/>
        <w:left w:val="none" w:sz="0" w:space="0" w:color="auto"/>
        <w:bottom w:val="none" w:sz="0" w:space="0" w:color="auto"/>
        <w:right w:val="none" w:sz="0" w:space="0" w:color="auto"/>
      </w:divBdr>
    </w:div>
    <w:div w:id="2010130181">
      <w:bodyDiv w:val="1"/>
      <w:marLeft w:val="0"/>
      <w:marRight w:val="0"/>
      <w:marTop w:val="0"/>
      <w:marBottom w:val="0"/>
      <w:divBdr>
        <w:top w:val="none" w:sz="0" w:space="0" w:color="auto"/>
        <w:left w:val="none" w:sz="0" w:space="0" w:color="auto"/>
        <w:bottom w:val="none" w:sz="0" w:space="0" w:color="auto"/>
        <w:right w:val="none" w:sz="0" w:space="0" w:color="auto"/>
      </w:divBdr>
    </w:div>
    <w:div w:id="2013296766">
      <w:bodyDiv w:val="1"/>
      <w:marLeft w:val="0"/>
      <w:marRight w:val="0"/>
      <w:marTop w:val="0"/>
      <w:marBottom w:val="0"/>
      <w:divBdr>
        <w:top w:val="none" w:sz="0" w:space="0" w:color="auto"/>
        <w:left w:val="none" w:sz="0" w:space="0" w:color="auto"/>
        <w:bottom w:val="none" w:sz="0" w:space="0" w:color="auto"/>
        <w:right w:val="none" w:sz="0" w:space="0" w:color="auto"/>
      </w:divBdr>
    </w:div>
    <w:div w:id="2013799083">
      <w:bodyDiv w:val="1"/>
      <w:marLeft w:val="0"/>
      <w:marRight w:val="0"/>
      <w:marTop w:val="0"/>
      <w:marBottom w:val="0"/>
      <w:divBdr>
        <w:top w:val="none" w:sz="0" w:space="0" w:color="auto"/>
        <w:left w:val="none" w:sz="0" w:space="0" w:color="auto"/>
        <w:bottom w:val="none" w:sz="0" w:space="0" w:color="auto"/>
        <w:right w:val="none" w:sz="0" w:space="0" w:color="auto"/>
      </w:divBdr>
    </w:div>
    <w:div w:id="2015376279">
      <w:bodyDiv w:val="1"/>
      <w:marLeft w:val="0"/>
      <w:marRight w:val="0"/>
      <w:marTop w:val="0"/>
      <w:marBottom w:val="0"/>
      <w:divBdr>
        <w:top w:val="none" w:sz="0" w:space="0" w:color="auto"/>
        <w:left w:val="none" w:sz="0" w:space="0" w:color="auto"/>
        <w:bottom w:val="none" w:sz="0" w:space="0" w:color="auto"/>
        <w:right w:val="none" w:sz="0" w:space="0" w:color="auto"/>
      </w:divBdr>
    </w:div>
    <w:div w:id="2016951364">
      <w:bodyDiv w:val="1"/>
      <w:marLeft w:val="0"/>
      <w:marRight w:val="0"/>
      <w:marTop w:val="0"/>
      <w:marBottom w:val="0"/>
      <w:divBdr>
        <w:top w:val="none" w:sz="0" w:space="0" w:color="auto"/>
        <w:left w:val="none" w:sz="0" w:space="0" w:color="auto"/>
        <w:bottom w:val="none" w:sz="0" w:space="0" w:color="auto"/>
        <w:right w:val="none" w:sz="0" w:space="0" w:color="auto"/>
      </w:divBdr>
    </w:div>
    <w:div w:id="2019849704">
      <w:bodyDiv w:val="1"/>
      <w:marLeft w:val="0"/>
      <w:marRight w:val="0"/>
      <w:marTop w:val="0"/>
      <w:marBottom w:val="0"/>
      <w:divBdr>
        <w:top w:val="none" w:sz="0" w:space="0" w:color="auto"/>
        <w:left w:val="none" w:sz="0" w:space="0" w:color="auto"/>
        <w:bottom w:val="none" w:sz="0" w:space="0" w:color="auto"/>
        <w:right w:val="none" w:sz="0" w:space="0" w:color="auto"/>
      </w:divBdr>
    </w:div>
    <w:div w:id="2020350045">
      <w:bodyDiv w:val="1"/>
      <w:marLeft w:val="0"/>
      <w:marRight w:val="0"/>
      <w:marTop w:val="0"/>
      <w:marBottom w:val="0"/>
      <w:divBdr>
        <w:top w:val="none" w:sz="0" w:space="0" w:color="auto"/>
        <w:left w:val="none" w:sz="0" w:space="0" w:color="auto"/>
        <w:bottom w:val="none" w:sz="0" w:space="0" w:color="auto"/>
        <w:right w:val="none" w:sz="0" w:space="0" w:color="auto"/>
      </w:divBdr>
    </w:div>
    <w:div w:id="2028166626">
      <w:bodyDiv w:val="1"/>
      <w:marLeft w:val="0"/>
      <w:marRight w:val="0"/>
      <w:marTop w:val="0"/>
      <w:marBottom w:val="0"/>
      <w:divBdr>
        <w:top w:val="none" w:sz="0" w:space="0" w:color="auto"/>
        <w:left w:val="none" w:sz="0" w:space="0" w:color="auto"/>
        <w:bottom w:val="none" w:sz="0" w:space="0" w:color="auto"/>
        <w:right w:val="none" w:sz="0" w:space="0" w:color="auto"/>
      </w:divBdr>
    </w:div>
    <w:div w:id="2032149240">
      <w:bodyDiv w:val="1"/>
      <w:marLeft w:val="0"/>
      <w:marRight w:val="0"/>
      <w:marTop w:val="0"/>
      <w:marBottom w:val="0"/>
      <w:divBdr>
        <w:top w:val="none" w:sz="0" w:space="0" w:color="auto"/>
        <w:left w:val="none" w:sz="0" w:space="0" w:color="auto"/>
        <w:bottom w:val="none" w:sz="0" w:space="0" w:color="auto"/>
        <w:right w:val="none" w:sz="0" w:space="0" w:color="auto"/>
      </w:divBdr>
    </w:div>
    <w:div w:id="2032492489">
      <w:bodyDiv w:val="1"/>
      <w:marLeft w:val="0"/>
      <w:marRight w:val="0"/>
      <w:marTop w:val="0"/>
      <w:marBottom w:val="0"/>
      <w:divBdr>
        <w:top w:val="none" w:sz="0" w:space="0" w:color="auto"/>
        <w:left w:val="none" w:sz="0" w:space="0" w:color="auto"/>
        <w:bottom w:val="none" w:sz="0" w:space="0" w:color="auto"/>
        <w:right w:val="none" w:sz="0" w:space="0" w:color="auto"/>
      </w:divBdr>
    </w:div>
    <w:div w:id="2035811499">
      <w:bodyDiv w:val="1"/>
      <w:marLeft w:val="0"/>
      <w:marRight w:val="0"/>
      <w:marTop w:val="0"/>
      <w:marBottom w:val="0"/>
      <w:divBdr>
        <w:top w:val="none" w:sz="0" w:space="0" w:color="auto"/>
        <w:left w:val="none" w:sz="0" w:space="0" w:color="auto"/>
        <w:bottom w:val="none" w:sz="0" w:space="0" w:color="auto"/>
        <w:right w:val="none" w:sz="0" w:space="0" w:color="auto"/>
      </w:divBdr>
    </w:div>
    <w:div w:id="2036077018">
      <w:bodyDiv w:val="1"/>
      <w:marLeft w:val="0"/>
      <w:marRight w:val="0"/>
      <w:marTop w:val="0"/>
      <w:marBottom w:val="0"/>
      <w:divBdr>
        <w:top w:val="none" w:sz="0" w:space="0" w:color="auto"/>
        <w:left w:val="none" w:sz="0" w:space="0" w:color="auto"/>
        <w:bottom w:val="none" w:sz="0" w:space="0" w:color="auto"/>
        <w:right w:val="none" w:sz="0" w:space="0" w:color="auto"/>
      </w:divBdr>
    </w:div>
    <w:div w:id="2039113770">
      <w:bodyDiv w:val="1"/>
      <w:marLeft w:val="0"/>
      <w:marRight w:val="0"/>
      <w:marTop w:val="0"/>
      <w:marBottom w:val="0"/>
      <w:divBdr>
        <w:top w:val="none" w:sz="0" w:space="0" w:color="auto"/>
        <w:left w:val="none" w:sz="0" w:space="0" w:color="auto"/>
        <w:bottom w:val="none" w:sz="0" w:space="0" w:color="auto"/>
        <w:right w:val="none" w:sz="0" w:space="0" w:color="auto"/>
      </w:divBdr>
    </w:div>
    <w:div w:id="2043237640">
      <w:bodyDiv w:val="1"/>
      <w:marLeft w:val="0"/>
      <w:marRight w:val="0"/>
      <w:marTop w:val="0"/>
      <w:marBottom w:val="0"/>
      <w:divBdr>
        <w:top w:val="none" w:sz="0" w:space="0" w:color="auto"/>
        <w:left w:val="none" w:sz="0" w:space="0" w:color="auto"/>
        <w:bottom w:val="none" w:sz="0" w:space="0" w:color="auto"/>
        <w:right w:val="none" w:sz="0" w:space="0" w:color="auto"/>
      </w:divBdr>
    </w:div>
    <w:div w:id="2044282884">
      <w:bodyDiv w:val="1"/>
      <w:marLeft w:val="0"/>
      <w:marRight w:val="0"/>
      <w:marTop w:val="0"/>
      <w:marBottom w:val="0"/>
      <w:divBdr>
        <w:top w:val="none" w:sz="0" w:space="0" w:color="auto"/>
        <w:left w:val="none" w:sz="0" w:space="0" w:color="auto"/>
        <w:bottom w:val="none" w:sz="0" w:space="0" w:color="auto"/>
        <w:right w:val="none" w:sz="0" w:space="0" w:color="auto"/>
      </w:divBdr>
    </w:div>
    <w:div w:id="2048405283">
      <w:bodyDiv w:val="1"/>
      <w:marLeft w:val="0"/>
      <w:marRight w:val="0"/>
      <w:marTop w:val="0"/>
      <w:marBottom w:val="0"/>
      <w:divBdr>
        <w:top w:val="none" w:sz="0" w:space="0" w:color="auto"/>
        <w:left w:val="none" w:sz="0" w:space="0" w:color="auto"/>
        <w:bottom w:val="none" w:sz="0" w:space="0" w:color="auto"/>
        <w:right w:val="none" w:sz="0" w:space="0" w:color="auto"/>
      </w:divBdr>
    </w:div>
    <w:div w:id="2053915853">
      <w:bodyDiv w:val="1"/>
      <w:marLeft w:val="0"/>
      <w:marRight w:val="0"/>
      <w:marTop w:val="0"/>
      <w:marBottom w:val="0"/>
      <w:divBdr>
        <w:top w:val="none" w:sz="0" w:space="0" w:color="auto"/>
        <w:left w:val="none" w:sz="0" w:space="0" w:color="auto"/>
        <w:bottom w:val="none" w:sz="0" w:space="0" w:color="auto"/>
        <w:right w:val="none" w:sz="0" w:space="0" w:color="auto"/>
      </w:divBdr>
    </w:div>
    <w:div w:id="2054111336">
      <w:bodyDiv w:val="1"/>
      <w:marLeft w:val="0"/>
      <w:marRight w:val="0"/>
      <w:marTop w:val="0"/>
      <w:marBottom w:val="0"/>
      <w:divBdr>
        <w:top w:val="none" w:sz="0" w:space="0" w:color="auto"/>
        <w:left w:val="none" w:sz="0" w:space="0" w:color="auto"/>
        <w:bottom w:val="none" w:sz="0" w:space="0" w:color="auto"/>
        <w:right w:val="none" w:sz="0" w:space="0" w:color="auto"/>
      </w:divBdr>
    </w:div>
    <w:div w:id="2054189152">
      <w:bodyDiv w:val="1"/>
      <w:marLeft w:val="0"/>
      <w:marRight w:val="0"/>
      <w:marTop w:val="0"/>
      <w:marBottom w:val="0"/>
      <w:divBdr>
        <w:top w:val="none" w:sz="0" w:space="0" w:color="auto"/>
        <w:left w:val="none" w:sz="0" w:space="0" w:color="auto"/>
        <w:bottom w:val="none" w:sz="0" w:space="0" w:color="auto"/>
        <w:right w:val="none" w:sz="0" w:space="0" w:color="auto"/>
      </w:divBdr>
    </w:div>
    <w:div w:id="2054844192">
      <w:bodyDiv w:val="1"/>
      <w:marLeft w:val="0"/>
      <w:marRight w:val="0"/>
      <w:marTop w:val="0"/>
      <w:marBottom w:val="0"/>
      <w:divBdr>
        <w:top w:val="none" w:sz="0" w:space="0" w:color="auto"/>
        <w:left w:val="none" w:sz="0" w:space="0" w:color="auto"/>
        <w:bottom w:val="none" w:sz="0" w:space="0" w:color="auto"/>
        <w:right w:val="none" w:sz="0" w:space="0" w:color="auto"/>
      </w:divBdr>
    </w:div>
    <w:div w:id="2055765771">
      <w:bodyDiv w:val="1"/>
      <w:marLeft w:val="0"/>
      <w:marRight w:val="0"/>
      <w:marTop w:val="0"/>
      <w:marBottom w:val="0"/>
      <w:divBdr>
        <w:top w:val="none" w:sz="0" w:space="0" w:color="auto"/>
        <w:left w:val="none" w:sz="0" w:space="0" w:color="auto"/>
        <w:bottom w:val="none" w:sz="0" w:space="0" w:color="auto"/>
        <w:right w:val="none" w:sz="0" w:space="0" w:color="auto"/>
      </w:divBdr>
    </w:div>
    <w:div w:id="2056613854">
      <w:bodyDiv w:val="1"/>
      <w:marLeft w:val="0"/>
      <w:marRight w:val="0"/>
      <w:marTop w:val="0"/>
      <w:marBottom w:val="0"/>
      <w:divBdr>
        <w:top w:val="none" w:sz="0" w:space="0" w:color="auto"/>
        <w:left w:val="none" w:sz="0" w:space="0" w:color="auto"/>
        <w:bottom w:val="none" w:sz="0" w:space="0" w:color="auto"/>
        <w:right w:val="none" w:sz="0" w:space="0" w:color="auto"/>
      </w:divBdr>
    </w:div>
    <w:div w:id="2058313045">
      <w:bodyDiv w:val="1"/>
      <w:marLeft w:val="0"/>
      <w:marRight w:val="0"/>
      <w:marTop w:val="0"/>
      <w:marBottom w:val="0"/>
      <w:divBdr>
        <w:top w:val="none" w:sz="0" w:space="0" w:color="auto"/>
        <w:left w:val="none" w:sz="0" w:space="0" w:color="auto"/>
        <w:bottom w:val="none" w:sz="0" w:space="0" w:color="auto"/>
        <w:right w:val="none" w:sz="0" w:space="0" w:color="auto"/>
      </w:divBdr>
    </w:div>
    <w:div w:id="2060205458">
      <w:bodyDiv w:val="1"/>
      <w:marLeft w:val="0"/>
      <w:marRight w:val="0"/>
      <w:marTop w:val="0"/>
      <w:marBottom w:val="0"/>
      <w:divBdr>
        <w:top w:val="none" w:sz="0" w:space="0" w:color="auto"/>
        <w:left w:val="none" w:sz="0" w:space="0" w:color="auto"/>
        <w:bottom w:val="none" w:sz="0" w:space="0" w:color="auto"/>
        <w:right w:val="none" w:sz="0" w:space="0" w:color="auto"/>
      </w:divBdr>
    </w:div>
    <w:div w:id="2061854588">
      <w:bodyDiv w:val="1"/>
      <w:marLeft w:val="0"/>
      <w:marRight w:val="0"/>
      <w:marTop w:val="0"/>
      <w:marBottom w:val="0"/>
      <w:divBdr>
        <w:top w:val="none" w:sz="0" w:space="0" w:color="auto"/>
        <w:left w:val="none" w:sz="0" w:space="0" w:color="auto"/>
        <w:bottom w:val="none" w:sz="0" w:space="0" w:color="auto"/>
        <w:right w:val="none" w:sz="0" w:space="0" w:color="auto"/>
      </w:divBdr>
    </w:div>
    <w:div w:id="2062823798">
      <w:bodyDiv w:val="1"/>
      <w:marLeft w:val="0"/>
      <w:marRight w:val="0"/>
      <w:marTop w:val="0"/>
      <w:marBottom w:val="0"/>
      <w:divBdr>
        <w:top w:val="none" w:sz="0" w:space="0" w:color="auto"/>
        <w:left w:val="none" w:sz="0" w:space="0" w:color="auto"/>
        <w:bottom w:val="none" w:sz="0" w:space="0" w:color="auto"/>
        <w:right w:val="none" w:sz="0" w:space="0" w:color="auto"/>
      </w:divBdr>
    </w:div>
    <w:div w:id="2063284062">
      <w:bodyDiv w:val="1"/>
      <w:marLeft w:val="0"/>
      <w:marRight w:val="0"/>
      <w:marTop w:val="0"/>
      <w:marBottom w:val="0"/>
      <w:divBdr>
        <w:top w:val="none" w:sz="0" w:space="0" w:color="auto"/>
        <w:left w:val="none" w:sz="0" w:space="0" w:color="auto"/>
        <w:bottom w:val="none" w:sz="0" w:space="0" w:color="auto"/>
        <w:right w:val="none" w:sz="0" w:space="0" w:color="auto"/>
      </w:divBdr>
    </w:div>
    <w:div w:id="2063627290">
      <w:bodyDiv w:val="1"/>
      <w:marLeft w:val="0"/>
      <w:marRight w:val="0"/>
      <w:marTop w:val="0"/>
      <w:marBottom w:val="0"/>
      <w:divBdr>
        <w:top w:val="none" w:sz="0" w:space="0" w:color="auto"/>
        <w:left w:val="none" w:sz="0" w:space="0" w:color="auto"/>
        <w:bottom w:val="none" w:sz="0" w:space="0" w:color="auto"/>
        <w:right w:val="none" w:sz="0" w:space="0" w:color="auto"/>
      </w:divBdr>
    </w:div>
    <w:div w:id="2065986879">
      <w:bodyDiv w:val="1"/>
      <w:marLeft w:val="0"/>
      <w:marRight w:val="0"/>
      <w:marTop w:val="0"/>
      <w:marBottom w:val="0"/>
      <w:divBdr>
        <w:top w:val="none" w:sz="0" w:space="0" w:color="auto"/>
        <w:left w:val="none" w:sz="0" w:space="0" w:color="auto"/>
        <w:bottom w:val="none" w:sz="0" w:space="0" w:color="auto"/>
        <w:right w:val="none" w:sz="0" w:space="0" w:color="auto"/>
      </w:divBdr>
    </w:div>
    <w:div w:id="2068335472">
      <w:bodyDiv w:val="1"/>
      <w:marLeft w:val="0"/>
      <w:marRight w:val="0"/>
      <w:marTop w:val="0"/>
      <w:marBottom w:val="0"/>
      <w:divBdr>
        <w:top w:val="none" w:sz="0" w:space="0" w:color="auto"/>
        <w:left w:val="none" w:sz="0" w:space="0" w:color="auto"/>
        <w:bottom w:val="none" w:sz="0" w:space="0" w:color="auto"/>
        <w:right w:val="none" w:sz="0" w:space="0" w:color="auto"/>
      </w:divBdr>
    </w:div>
    <w:div w:id="2068407986">
      <w:bodyDiv w:val="1"/>
      <w:marLeft w:val="0"/>
      <w:marRight w:val="0"/>
      <w:marTop w:val="0"/>
      <w:marBottom w:val="0"/>
      <w:divBdr>
        <w:top w:val="none" w:sz="0" w:space="0" w:color="auto"/>
        <w:left w:val="none" w:sz="0" w:space="0" w:color="auto"/>
        <w:bottom w:val="none" w:sz="0" w:space="0" w:color="auto"/>
        <w:right w:val="none" w:sz="0" w:space="0" w:color="auto"/>
      </w:divBdr>
    </w:div>
    <w:div w:id="2069062888">
      <w:bodyDiv w:val="1"/>
      <w:marLeft w:val="0"/>
      <w:marRight w:val="0"/>
      <w:marTop w:val="0"/>
      <w:marBottom w:val="0"/>
      <w:divBdr>
        <w:top w:val="none" w:sz="0" w:space="0" w:color="auto"/>
        <w:left w:val="none" w:sz="0" w:space="0" w:color="auto"/>
        <w:bottom w:val="none" w:sz="0" w:space="0" w:color="auto"/>
        <w:right w:val="none" w:sz="0" w:space="0" w:color="auto"/>
      </w:divBdr>
    </w:div>
    <w:div w:id="2071615819">
      <w:bodyDiv w:val="1"/>
      <w:marLeft w:val="0"/>
      <w:marRight w:val="0"/>
      <w:marTop w:val="0"/>
      <w:marBottom w:val="0"/>
      <w:divBdr>
        <w:top w:val="none" w:sz="0" w:space="0" w:color="auto"/>
        <w:left w:val="none" w:sz="0" w:space="0" w:color="auto"/>
        <w:bottom w:val="none" w:sz="0" w:space="0" w:color="auto"/>
        <w:right w:val="none" w:sz="0" w:space="0" w:color="auto"/>
      </w:divBdr>
    </w:div>
    <w:div w:id="2071682546">
      <w:bodyDiv w:val="1"/>
      <w:marLeft w:val="0"/>
      <w:marRight w:val="0"/>
      <w:marTop w:val="0"/>
      <w:marBottom w:val="0"/>
      <w:divBdr>
        <w:top w:val="none" w:sz="0" w:space="0" w:color="auto"/>
        <w:left w:val="none" w:sz="0" w:space="0" w:color="auto"/>
        <w:bottom w:val="none" w:sz="0" w:space="0" w:color="auto"/>
        <w:right w:val="none" w:sz="0" w:space="0" w:color="auto"/>
      </w:divBdr>
    </w:div>
    <w:div w:id="2072537869">
      <w:bodyDiv w:val="1"/>
      <w:marLeft w:val="0"/>
      <w:marRight w:val="0"/>
      <w:marTop w:val="0"/>
      <w:marBottom w:val="0"/>
      <w:divBdr>
        <w:top w:val="none" w:sz="0" w:space="0" w:color="auto"/>
        <w:left w:val="none" w:sz="0" w:space="0" w:color="auto"/>
        <w:bottom w:val="none" w:sz="0" w:space="0" w:color="auto"/>
        <w:right w:val="none" w:sz="0" w:space="0" w:color="auto"/>
      </w:divBdr>
    </w:div>
    <w:div w:id="2075080757">
      <w:bodyDiv w:val="1"/>
      <w:marLeft w:val="0"/>
      <w:marRight w:val="0"/>
      <w:marTop w:val="0"/>
      <w:marBottom w:val="0"/>
      <w:divBdr>
        <w:top w:val="none" w:sz="0" w:space="0" w:color="auto"/>
        <w:left w:val="none" w:sz="0" w:space="0" w:color="auto"/>
        <w:bottom w:val="none" w:sz="0" w:space="0" w:color="auto"/>
        <w:right w:val="none" w:sz="0" w:space="0" w:color="auto"/>
      </w:divBdr>
    </w:div>
    <w:div w:id="2075272550">
      <w:bodyDiv w:val="1"/>
      <w:marLeft w:val="0"/>
      <w:marRight w:val="0"/>
      <w:marTop w:val="0"/>
      <w:marBottom w:val="0"/>
      <w:divBdr>
        <w:top w:val="none" w:sz="0" w:space="0" w:color="auto"/>
        <w:left w:val="none" w:sz="0" w:space="0" w:color="auto"/>
        <w:bottom w:val="none" w:sz="0" w:space="0" w:color="auto"/>
        <w:right w:val="none" w:sz="0" w:space="0" w:color="auto"/>
      </w:divBdr>
    </w:div>
    <w:div w:id="2076006989">
      <w:bodyDiv w:val="1"/>
      <w:marLeft w:val="0"/>
      <w:marRight w:val="0"/>
      <w:marTop w:val="0"/>
      <w:marBottom w:val="0"/>
      <w:divBdr>
        <w:top w:val="none" w:sz="0" w:space="0" w:color="auto"/>
        <w:left w:val="none" w:sz="0" w:space="0" w:color="auto"/>
        <w:bottom w:val="none" w:sz="0" w:space="0" w:color="auto"/>
        <w:right w:val="none" w:sz="0" w:space="0" w:color="auto"/>
      </w:divBdr>
    </w:div>
    <w:div w:id="2077319588">
      <w:bodyDiv w:val="1"/>
      <w:marLeft w:val="0"/>
      <w:marRight w:val="0"/>
      <w:marTop w:val="0"/>
      <w:marBottom w:val="0"/>
      <w:divBdr>
        <w:top w:val="none" w:sz="0" w:space="0" w:color="auto"/>
        <w:left w:val="none" w:sz="0" w:space="0" w:color="auto"/>
        <w:bottom w:val="none" w:sz="0" w:space="0" w:color="auto"/>
        <w:right w:val="none" w:sz="0" w:space="0" w:color="auto"/>
      </w:divBdr>
    </w:div>
    <w:div w:id="2077506139">
      <w:bodyDiv w:val="1"/>
      <w:marLeft w:val="0"/>
      <w:marRight w:val="0"/>
      <w:marTop w:val="0"/>
      <w:marBottom w:val="0"/>
      <w:divBdr>
        <w:top w:val="none" w:sz="0" w:space="0" w:color="auto"/>
        <w:left w:val="none" w:sz="0" w:space="0" w:color="auto"/>
        <w:bottom w:val="none" w:sz="0" w:space="0" w:color="auto"/>
        <w:right w:val="none" w:sz="0" w:space="0" w:color="auto"/>
      </w:divBdr>
    </w:div>
    <w:div w:id="2082172523">
      <w:bodyDiv w:val="1"/>
      <w:marLeft w:val="0"/>
      <w:marRight w:val="0"/>
      <w:marTop w:val="0"/>
      <w:marBottom w:val="0"/>
      <w:divBdr>
        <w:top w:val="none" w:sz="0" w:space="0" w:color="auto"/>
        <w:left w:val="none" w:sz="0" w:space="0" w:color="auto"/>
        <w:bottom w:val="none" w:sz="0" w:space="0" w:color="auto"/>
        <w:right w:val="none" w:sz="0" w:space="0" w:color="auto"/>
      </w:divBdr>
    </w:div>
    <w:div w:id="2083402049">
      <w:bodyDiv w:val="1"/>
      <w:marLeft w:val="0"/>
      <w:marRight w:val="0"/>
      <w:marTop w:val="0"/>
      <w:marBottom w:val="0"/>
      <w:divBdr>
        <w:top w:val="none" w:sz="0" w:space="0" w:color="auto"/>
        <w:left w:val="none" w:sz="0" w:space="0" w:color="auto"/>
        <w:bottom w:val="none" w:sz="0" w:space="0" w:color="auto"/>
        <w:right w:val="none" w:sz="0" w:space="0" w:color="auto"/>
      </w:divBdr>
    </w:div>
    <w:div w:id="2086416535">
      <w:bodyDiv w:val="1"/>
      <w:marLeft w:val="0"/>
      <w:marRight w:val="0"/>
      <w:marTop w:val="0"/>
      <w:marBottom w:val="0"/>
      <w:divBdr>
        <w:top w:val="none" w:sz="0" w:space="0" w:color="auto"/>
        <w:left w:val="none" w:sz="0" w:space="0" w:color="auto"/>
        <w:bottom w:val="none" w:sz="0" w:space="0" w:color="auto"/>
        <w:right w:val="none" w:sz="0" w:space="0" w:color="auto"/>
      </w:divBdr>
    </w:div>
    <w:div w:id="2090734091">
      <w:bodyDiv w:val="1"/>
      <w:marLeft w:val="0"/>
      <w:marRight w:val="0"/>
      <w:marTop w:val="0"/>
      <w:marBottom w:val="0"/>
      <w:divBdr>
        <w:top w:val="none" w:sz="0" w:space="0" w:color="auto"/>
        <w:left w:val="none" w:sz="0" w:space="0" w:color="auto"/>
        <w:bottom w:val="none" w:sz="0" w:space="0" w:color="auto"/>
        <w:right w:val="none" w:sz="0" w:space="0" w:color="auto"/>
      </w:divBdr>
    </w:div>
    <w:div w:id="2091656413">
      <w:bodyDiv w:val="1"/>
      <w:marLeft w:val="0"/>
      <w:marRight w:val="0"/>
      <w:marTop w:val="0"/>
      <w:marBottom w:val="0"/>
      <w:divBdr>
        <w:top w:val="none" w:sz="0" w:space="0" w:color="auto"/>
        <w:left w:val="none" w:sz="0" w:space="0" w:color="auto"/>
        <w:bottom w:val="none" w:sz="0" w:space="0" w:color="auto"/>
        <w:right w:val="none" w:sz="0" w:space="0" w:color="auto"/>
      </w:divBdr>
    </w:div>
    <w:div w:id="2096703095">
      <w:bodyDiv w:val="1"/>
      <w:marLeft w:val="0"/>
      <w:marRight w:val="0"/>
      <w:marTop w:val="0"/>
      <w:marBottom w:val="0"/>
      <w:divBdr>
        <w:top w:val="none" w:sz="0" w:space="0" w:color="auto"/>
        <w:left w:val="none" w:sz="0" w:space="0" w:color="auto"/>
        <w:bottom w:val="none" w:sz="0" w:space="0" w:color="auto"/>
        <w:right w:val="none" w:sz="0" w:space="0" w:color="auto"/>
      </w:divBdr>
    </w:div>
    <w:div w:id="2099012190">
      <w:bodyDiv w:val="1"/>
      <w:marLeft w:val="0"/>
      <w:marRight w:val="0"/>
      <w:marTop w:val="0"/>
      <w:marBottom w:val="0"/>
      <w:divBdr>
        <w:top w:val="none" w:sz="0" w:space="0" w:color="auto"/>
        <w:left w:val="none" w:sz="0" w:space="0" w:color="auto"/>
        <w:bottom w:val="none" w:sz="0" w:space="0" w:color="auto"/>
        <w:right w:val="none" w:sz="0" w:space="0" w:color="auto"/>
      </w:divBdr>
    </w:div>
    <w:div w:id="2099135954">
      <w:bodyDiv w:val="1"/>
      <w:marLeft w:val="0"/>
      <w:marRight w:val="0"/>
      <w:marTop w:val="0"/>
      <w:marBottom w:val="0"/>
      <w:divBdr>
        <w:top w:val="none" w:sz="0" w:space="0" w:color="auto"/>
        <w:left w:val="none" w:sz="0" w:space="0" w:color="auto"/>
        <w:bottom w:val="none" w:sz="0" w:space="0" w:color="auto"/>
        <w:right w:val="none" w:sz="0" w:space="0" w:color="auto"/>
      </w:divBdr>
    </w:div>
    <w:div w:id="2101094473">
      <w:bodyDiv w:val="1"/>
      <w:marLeft w:val="0"/>
      <w:marRight w:val="0"/>
      <w:marTop w:val="0"/>
      <w:marBottom w:val="0"/>
      <w:divBdr>
        <w:top w:val="none" w:sz="0" w:space="0" w:color="auto"/>
        <w:left w:val="none" w:sz="0" w:space="0" w:color="auto"/>
        <w:bottom w:val="none" w:sz="0" w:space="0" w:color="auto"/>
        <w:right w:val="none" w:sz="0" w:space="0" w:color="auto"/>
      </w:divBdr>
    </w:div>
    <w:div w:id="2101100459">
      <w:bodyDiv w:val="1"/>
      <w:marLeft w:val="0"/>
      <w:marRight w:val="0"/>
      <w:marTop w:val="0"/>
      <w:marBottom w:val="0"/>
      <w:divBdr>
        <w:top w:val="none" w:sz="0" w:space="0" w:color="auto"/>
        <w:left w:val="none" w:sz="0" w:space="0" w:color="auto"/>
        <w:bottom w:val="none" w:sz="0" w:space="0" w:color="auto"/>
        <w:right w:val="none" w:sz="0" w:space="0" w:color="auto"/>
      </w:divBdr>
    </w:div>
    <w:div w:id="2101558926">
      <w:bodyDiv w:val="1"/>
      <w:marLeft w:val="0"/>
      <w:marRight w:val="0"/>
      <w:marTop w:val="0"/>
      <w:marBottom w:val="0"/>
      <w:divBdr>
        <w:top w:val="none" w:sz="0" w:space="0" w:color="auto"/>
        <w:left w:val="none" w:sz="0" w:space="0" w:color="auto"/>
        <w:bottom w:val="none" w:sz="0" w:space="0" w:color="auto"/>
        <w:right w:val="none" w:sz="0" w:space="0" w:color="auto"/>
      </w:divBdr>
    </w:div>
    <w:div w:id="2102488716">
      <w:bodyDiv w:val="1"/>
      <w:marLeft w:val="0"/>
      <w:marRight w:val="0"/>
      <w:marTop w:val="0"/>
      <w:marBottom w:val="0"/>
      <w:divBdr>
        <w:top w:val="none" w:sz="0" w:space="0" w:color="auto"/>
        <w:left w:val="none" w:sz="0" w:space="0" w:color="auto"/>
        <w:bottom w:val="none" w:sz="0" w:space="0" w:color="auto"/>
        <w:right w:val="none" w:sz="0" w:space="0" w:color="auto"/>
      </w:divBdr>
    </w:div>
    <w:div w:id="2102681767">
      <w:bodyDiv w:val="1"/>
      <w:marLeft w:val="0"/>
      <w:marRight w:val="0"/>
      <w:marTop w:val="0"/>
      <w:marBottom w:val="0"/>
      <w:divBdr>
        <w:top w:val="none" w:sz="0" w:space="0" w:color="auto"/>
        <w:left w:val="none" w:sz="0" w:space="0" w:color="auto"/>
        <w:bottom w:val="none" w:sz="0" w:space="0" w:color="auto"/>
        <w:right w:val="none" w:sz="0" w:space="0" w:color="auto"/>
      </w:divBdr>
    </w:div>
    <w:div w:id="2106458583">
      <w:bodyDiv w:val="1"/>
      <w:marLeft w:val="0"/>
      <w:marRight w:val="0"/>
      <w:marTop w:val="0"/>
      <w:marBottom w:val="0"/>
      <w:divBdr>
        <w:top w:val="none" w:sz="0" w:space="0" w:color="auto"/>
        <w:left w:val="none" w:sz="0" w:space="0" w:color="auto"/>
        <w:bottom w:val="none" w:sz="0" w:space="0" w:color="auto"/>
        <w:right w:val="none" w:sz="0" w:space="0" w:color="auto"/>
      </w:divBdr>
    </w:div>
    <w:div w:id="2108848830">
      <w:bodyDiv w:val="1"/>
      <w:marLeft w:val="0"/>
      <w:marRight w:val="0"/>
      <w:marTop w:val="0"/>
      <w:marBottom w:val="0"/>
      <w:divBdr>
        <w:top w:val="none" w:sz="0" w:space="0" w:color="auto"/>
        <w:left w:val="none" w:sz="0" w:space="0" w:color="auto"/>
        <w:bottom w:val="none" w:sz="0" w:space="0" w:color="auto"/>
        <w:right w:val="none" w:sz="0" w:space="0" w:color="auto"/>
      </w:divBdr>
    </w:div>
    <w:div w:id="2109350228">
      <w:bodyDiv w:val="1"/>
      <w:marLeft w:val="0"/>
      <w:marRight w:val="0"/>
      <w:marTop w:val="0"/>
      <w:marBottom w:val="0"/>
      <w:divBdr>
        <w:top w:val="none" w:sz="0" w:space="0" w:color="auto"/>
        <w:left w:val="none" w:sz="0" w:space="0" w:color="auto"/>
        <w:bottom w:val="none" w:sz="0" w:space="0" w:color="auto"/>
        <w:right w:val="none" w:sz="0" w:space="0" w:color="auto"/>
      </w:divBdr>
    </w:div>
    <w:div w:id="2112044688">
      <w:bodyDiv w:val="1"/>
      <w:marLeft w:val="0"/>
      <w:marRight w:val="0"/>
      <w:marTop w:val="0"/>
      <w:marBottom w:val="0"/>
      <w:divBdr>
        <w:top w:val="none" w:sz="0" w:space="0" w:color="auto"/>
        <w:left w:val="none" w:sz="0" w:space="0" w:color="auto"/>
        <w:bottom w:val="none" w:sz="0" w:space="0" w:color="auto"/>
        <w:right w:val="none" w:sz="0" w:space="0" w:color="auto"/>
      </w:divBdr>
    </w:div>
    <w:div w:id="2112124255">
      <w:bodyDiv w:val="1"/>
      <w:marLeft w:val="0"/>
      <w:marRight w:val="0"/>
      <w:marTop w:val="0"/>
      <w:marBottom w:val="0"/>
      <w:divBdr>
        <w:top w:val="none" w:sz="0" w:space="0" w:color="auto"/>
        <w:left w:val="none" w:sz="0" w:space="0" w:color="auto"/>
        <w:bottom w:val="none" w:sz="0" w:space="0" w:color="auto"/>
        <w:right w:val="none" w:sz="0" w:space="0" w:color="auto"/>
      </w:divBdr>
    </w:div>
    <w:div w:id="2114322846">
      <w:bodyDiv w:val="1"/>
      <w:marLeft w:val="0"/>
      <w:marRight w:val="0"/>
      <w:marTop w:val="0"/>
      <w:marBottom w:val="0"/>
      <w:divBdr>
        <w:top w:val="none" w:sz="0" w:space="0" w:color="auto"/>
        <w:left w:val="none" w:sz="0" w:space="0" w:color="auto"/>
        <w:bottom w:val="none" w:sz="0" w:space="0" w:color="auto"/>
        <w:right w:val="none" w:sz="0" w:space="0" w:color="auto"/>
      </w:divBdr>
    </w:div>
    <w:div w:id="2114936625">
      <w:bodyDiv w:val="1"/>
      <w:marLeft w:val="0"/>
      <w:marRight w:val="0"/>
      <w:marTop w:val="0"/>
      <w:marBottom w:val="0"/>
      <w:divBdr>
        <w:top w:val="none" w:sz="0" w:space="0" w:color="auto"/>
        <w:left w:val="none" w:sz="0" w:space="0" w:color="auto"/>
        <w:bottom w:val="none" w:sz="0" w:space="0" w:color="auto"/>
        <w:right w:val="none" w:sz="0" w:space="0" w:color="auto"/>
      </w:divBdr>
    </w:div>
    <w:div w:id="2118334018">
      <w:bodyDiv w:val="1"/>
      <w:marLeft w:val="0"/>
      <w:marRight w:val="0"/>
      <w:marTop w:val="0"/>
      <w:marBottom w:val="0"/>
      <w:divBdr>
        <w:top w:val="none" w:sz="0" w:space="0" w:color="auto"/>
        <w:left w:val="none" w:sz="0" w:space="0" w:color="auto"/>
        <w:bottom w:val="none" w:sz="0" w:space="0" w:color="auto"/>
        <w:right w:val="none" w:sz="0" w:space="0" w:color="auto"/>
      </w:divBdr>
    </w:div>
    <w:div w:id="2119718704">
      <w:bodyDiv w:val="1"/>
      <w:marLeft w:val="0"/>
      <w:marRight w:val="0"/>
      <w:marTop w:val="0"/>
      <w:marBottom w:val="0"/>
      <w:divBdr>
        <w:top w:val="none" w:sz="0" w:space="0" w:color="auto"/>
        <w:left w:val="none" w:sz="0" w:space="0" w:color="auto"/>
        <w:bottom w:val="none" w:sz="0" w:space="0" w:color="auto"/>
        <w:right w:val="none" w:sz="0" w:space="0" w:color="auto"/>
      </w:divBdr>
    </w:div>
    <w:div w:id="2126072594">
      <w:bodyDiv w:val="1"/>
      <w:marLeft w:val="0"/>
      <w:marRight w:val="0"/>
      <w:marTop w:val="0"/>
      <w:marBottom w:val="0"/>
      <w:divBdr>
        <w:top w:val="none" w:sz="0" w:space="0" w:color="auto"/>
        <w:left w:val="none" w:sz="0" w:space="0" w:color="auto"/>
        <w:bottom w:val="none" w:sz="0" w:space="0" w:color="auto"/>
        <w:right w:val="none" w:sz="0" w:space="0" w:color="auto"/>
      </w:divBdr>
    </w:div>
    <w:div w:id="2126343046">
      <w:bodyDiv w:val="1"/>
      <w:marLeft w:val="0"/>
      <w:marRight w:val="0"/>
      <w:marTop w:val="0"/>
      <w:marBottom w:val="0"/>
      <w:divBdr>
        <w:top w:val="none" w:sz="0" w:space="0" w:color="auto"/>
        <w:left w:val="none" w:sz="0" w:space="0" w:color="auto"/>
        <w:bottom w:val="none" w:sz="0" w:space="0" w:color="auto"/>
        <w:right w:val="none" w:sz="0" w:space="0" w:color="auto"/>
      </w:divBdr>
    </w:div>
    <w:div w:id="2126386952">
      <w:bodyDiv w:val="1"/>
      <w:marLeft w:val="0"/>
      <w:marRight w:val="0"/>
      <w:marTop w:val="0"/>
      <w:marBottom w:val="0"/>
      <w:divBdr>
        <w:top w:val="none" w:sz="0" w:space="0" w:color="auto"/>
        <w:left w:val="none" w:sz="0" w:space="0" w:color="auto"/>
        <w:bottom w:val="none" w:sz="0" w:space="0" w:color="auto"/>
        <w:right w:val="none" w:sz="0" w:space="0" w:color="auto"/>
      </w:divBdr>
    </w:div>
    <w:div w:id="2129426855">
      <w:bodyDiv w:val="1"/>
      <w:marLeft w:val="0"/>
      <w:marRight w:val="0"/>
      <w:marTop w:val="0"/>
      <w:marBottom w:val="0"/>
      <w:divBdr>
        <w:top w:val="none" w:sz="0" w:space="0" w:color="auto"/>
        <w:left w:val="none" w:sz="0" w:space="0" w:color="auto"/>
        <w:bottom w:val="none" w:sz="0" w:space="0" w:color="auto"/>
        <w:right w:val="none" w:sz="0" w:space="0" w:color="auto"/>
      </w:divBdr>
    </w:div>
    <w:div w:id="2134590603">
      <w:bodyDiv w:val="1"/>
      <w:marLeft w:val="0"/>
      <w:marRight w:val="0"/>
      <w:marTop w:val="0"/>
      <w:marBottom w:val="0"/>
      <w:divBdr>
        <w:top w:val="none" w:sz="0" w:space="0" w:color="auto"/>
        <w:left w:val="none" w:sz="0" w:space="0" w:color="auto"/>
        <w:bottom w:val="none" w:sz="0" w:space="0" w:color="auto"/>
        <w:right w:val="none" w:sz="0" w:space="0" w:color="auto"/>
      </w:divBdr>
    </w:div>
    <w:div w:id="2136096976">
      <w:bodyDiv w:val="1"/>
      <w:marLeft w:val="0"/>
      <w:marRight w:val="0"/>
      <w:marTop w:val="0"/>
      <w:marBottom w:val="0"/>
      <w:divBdr>
        <w:top w:val="none" w:sz="0" w:space="0" w:color="auto"/>
        <w:left w:val="none" w:sz="0" w:space="0" w:color="auto"/>
        <w:bottom w:val="none" w:sz="0" w:space="0" w:color="auto"/>
        <w:right w:val="none" w:sz="0" w:space="0" w:color="auto"/>
      </w:divBdr>
    </w:div>
    <w:div w:id="2138638708">
      <w:bodyDiv w:val="1"/>
      <w:marLeft w:val="0"/>
      <w:marRight w:val="0"/>
      <w:marTop w:val="0"/>
      <w:marBottom w:val="0"/>
      <w:divBdr>
        <w:top w:val="none" w:sz="0" w:space="0" w:color="auto"/>
        <w:left w:val="none" w:sz="0" w:space="0" w:color="auto"/>
        <w:bottom w:val="none" w:sz="0" w:space="0" w:color="auto"/>
        <w:right w:val="none" w:sz="0" w:space="0" w:color="auto"/>
      </w:divBdr>
    </w:div>
    <w:div w:id="2139909783">
      <w:bodyDiv w:val="1"/>
      <w:marLeft w:val="0"/>
      <w:marRight w:val="0"/>
      <w:marTop w:val="0"/>
      <w:marBottom w:val="0"/>
      <w:divBdr>
        <w:top w:val="none" w:sz="0" w:space="0" w:color="auto"/>
        <w:left w:val="none" w:sz="0" w:space="0" w:color="auto"/>
        <w:bottom w:val="none" w:sz="0" w:space="0" w:color="auto"/>
        <w:right w:val="none" w:sz="0" w:space="0" w:color="auto"/>
      </w:divBdr>
    </w:div>
    <w:div w:id="2139955366">
      <w:bodyDiv w:val="1"/>
      <w:marLeft w:val="0"/>
      <w:marRight w:val="0"/>
      <w:marTop w:val="0"/>
      <w:marBottom w:val="0"/>
      <w:divBdr>
        <w:top w:val="none" w:sz="0" w:space="0" w:color="auto"/>
        <w:left w:val="none" w:sz="0" w:space="0" w:color="auto"/>
        <w:bottom w:val="none" w:sz="0" w:space="0" w:color="auto"/>
        <w:right w:val="none" w:sz="0" w:space="0" w:color="auto"/>
      </w:divBdr>
    </w:div>
    <w:div w:id="2140149509">
      <w:bodyDiv w:val="1"/>
      <w:marLeft w:val="0"/>
      <w:marRight w:val="0"/>
      <w:marTop w:val="0"/>
      <w:marBottom w:val="0"/>
      <w:divBdr>
        <w:top w:val="none" w:sz="0" w:space="0" w:color="auto"/>
        <w:left w:val="none" w:sz="0" w:space="0" w:color="auto"/>
        <w:bottom w:val="none" w:sz="0" w:space="0" w:color="auto"/>
        <w:right w:val="none" w:sz="0" w:space="0" w:color="auto"/>
      </w:divBdr>
    </w:div>
    <w:div w:id="21408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image" Target="media/image4.emf"/><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chart" Target="charts/chart43.xml"/><Relationship Id="rId68" Type="http://schemas.openxmlformats.org/officeDocument/2006/relationships/chart" Target="charts/chart48.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image" Target="media/image12.png"/><Relationship Id="rId11" Type="http://schemas.openxmlformats.org/officeDocument/2006/relationships/chart" Target="charts/chart3.xml"/><Relationship Id="rId24" Type="http://schemas.openxmlformats.org/officeDocument/2006/relationships/image" Target="media/image8.png"/><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chart" Target="charts/chart46.xm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41.xml"/><Relationship Id="rId19" Type="http://schemas.openxmlformats.org/officeDocument/2006/relationships/image" Target="media/image4.png"/><Relationship Id="rId14" Type="http://schemas.openxmlformats.org/officeDocument/2006/relationships/chart" Target="charts/chart6.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chart" Target="charts/chart44.xml"/><Relationship Id="rId69" Type="http://schemas.openxmlformats.org/officeDocument/2006/relationships/chart" Target="charts/chart49.xml"/><Relationship Id="rId8" Type="http://schemas.openxmlformats.org/officeDocument/2006/relationships/endnotes" Target="endnotes.xml"/><Relationship Id="rId51" Type="http://schemas.openxmlformats.org/officeDocument/2006/relationships/chart" Target="charts/chart31.xm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chart" Target="charts/chart9.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chart" Target="charts/chart47.xml"/><Relationship Id="rId20" Type="http://schemas.openxmlformats.org/officeDocument/2006/relationships/chart" Target="charts/chart8.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chart" Target="charts/chart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chart" Target="charts/chart2.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chart" Target="charts/chart45.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3.emf"/><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 Id="rId7" Type="http://schemas.openxmlformats.org/officeDocument/2006/relationships/footnotes" Target="footnotes.xml"/><Relationship Id="rId7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bauglir\estadistica\Justicia%20Dato%20a%20Dato%202017\-%20seriejuece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bauglir\estadistica\Justicia%20Dato%20a%20Dato%202017\-%20seriejuece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bauglir\estadistica\Justicia%20Dato%20a%20Dato%202017\Auxiliar%20calculos%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bauglir\estadistica\Justicia%20Dato%20a%20Dato%202017\Auxiliar%20calculo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bauglir\estadistica\Justicia%20Dato%20a%20Dato%202017\Auxiliar%20calculos%20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bauglir\estadistica\Justicia%20Dato%20a%20Dato%202017\Auxiliar%20calculos%2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bauglir\estadistica\Datos%20de%20Justicia\N54%20porcentaje%20revocaciones%202017\Indice%20confirmacion%20Total%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bauglir\estadistica\Justicia%20Dato%20a%20Dato%202017\faltas%20y%20du.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bauglir\estadistica\Justicia%20Dato%20a%20Dato%202017\asuntos%20instruccion%20complej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bauglir\estadistica\Justicia%20Dato%20a%20Dato%202017\asuntos%20instruccion%20comple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bauglir\estadistica\Datos%20de%20Justicia\N55%20porcentaje%20revocaciones%202017\Indice%20confirmacion%20Total%20201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bauglir\estadistica\Datos%20de%20Justicia\N54%20porcentaje%20revocaciones%202017\Indice%20confirmacion%20Total%202017.xlsx" TargetMode="External"/><Relationship Id="rId1" Type="http://schemas.openxmlformats.org/officeDocument/2006/relationships/themeOverride" Target="../theme/themeOverride1.xml"/></Relationships>
</file>

<file path=word/charts/_rels/chart41.xml.rels><?xml version="1.0" encoding="UTF-8" standalone="yes"?>
<Relationships xmlns="http://schemas.openxmlformats.org/package/2006/relationships"><Relationship Id="rId1" Type="http://schemas.openxmlformats.org/officeDocument/2006/relationships/oleObject" Target="file:///\\bauglir\estadistica\rotaciones2017\rotacionGraficos.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bauglir\estadistica\rotaciones2017\rotacionGraficos.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bauglir\estadistica\rotaciones2017\rotacionGraficos.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bauglir\estadistica\rotaciones2017\rotacionGraficos.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bauglir\estadistica\rotaciones2017\rotacionGraficos.xls"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bauglir\estadistica\rotaciones2017\magistrados%20o%20jueces.xls"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bauglir\estadistica\rotaciones2017\secretario.xls"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bauglir\estadistica\rotaciones2017\gestion%20procesar.xls"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bauglir\estadistica\rotaciones2017\tramitacio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bauglir\estadistica\Justicia%20Dato%20a%20Dato%202017\Serie%202002_2015%20tras%20arreglo%20Sala%203%20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bauglir\estadistica\Justicia%20Dato%20a%20Dato%202017\Graficos%20tasas%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ES" sz="1000" b="1" i="0" baseline="0">
                <a:effectLst/>
                <a:latin typeface="Verdana" panose="020B0604030504040204" pitchFamily="34" charset="0"/>
                <a:ea typeface="Verdana" panose="020B0604030504040204" pitchFamily="34" charset="0"/>
                <a:cs typeface="Verdana" panose="020B0604030504040204" pitchFamily="34" charset="0"/>
              </a:rPr>
              <a:t>Asuntos ingresados en todas las jurisdicciones</a:t>
            </a:r>
            <a:endParaRPr lang="es-ES" sz="1000">
              <a:effectLst/>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2254978127734032"/>
          <c:y val="3.6250367009208598E-2"/>
        </c:manualLayout>
      </c:layout>
      <c:overlay val="0"/>
    </c:title>
    <c:autoTitleDeleted val="0"/>
    <c:plotArea>
      <c:layout/>
      <c:lineChart>
        <c:grouping val="stacked"/>
        <c:varyColors val="0"/>
        <c:ser>
          <c:idx val="0"/>
          <c:order val="0"/>
          <c:dLbls>
            <c:dLbl>
              <c:idx val="1"/>
              <c:layout>
                <c:manualLayout>
                  <c:x val="-6.5678695700496725E-2"/>
                  <c:y val="-5.8491974217508569E-2"/>
                </c:manualLayout>
              </c:layout>
              <c:dLblPos val="r"/>
              <c:showLegendKey val="0"/>
              <c:showVal val="1"/>
              <c:showCatName val="0"/>
              <c:showSerName val="0"/>
              <c:showPercent val="0"/>
              <c:showBubbleSize val="0"/>
            </c:dLbl>
            <c:dLbl>
              <c:idx val="3"/>
              <c:layout>
                <c:manualLayout>
                  <c:x val="-5.0477827079432658E-2"/>
                  <c:y val="-6.3027121609798772E-2"/>
                </c:manualLayout>
              </c:layout>
              <c:dLblPos val="r"/>
              <c:showLegendKey val="0"/>
              <c:showVal val="1"/>
              <c:showCatName val="0"/>
              <c:showSerName val="0"/>
              <c:showPercent val="0"/>
              <c:showBubbleSize val="0"/>
            </c:dLbl>
            <c:dLbl>
              <c:idx val="4"/>
              <c:layout>
                <c:manualLayout>
                  <c:x val="-7.2193353680952754E-2"/>
                  <c:y val="6.3957005374328205E-2"/>
                </c:manualLayout>
              </c:layout>
              <c:dLblPos val="r"/>
              <c:showLegendKey val="0"/>
              <c:showVal val="1"/>
              <c:showCatName val="0"/>
              <c:showSerName val="0"/>
              <c:showPercent val="0"/>
              <c:showBubbleSize val="0"/>
            </c:dLbl>
            <c:dLbl>
              <c:idx val="5"/>
              <c:layout>
                <c:manualLayout>
                  <c:x val="-5.6992485059888687E-2"/>
                  <c:y val="-6.3027121609798772E-2"/>
                </c:manualLayout>
              </c:layout>
              <c:dLblPos val="r"/>
              <c:showLegendKey val="0"/>
              <c:showVal val="1"/>
              <c:showCatName val="0"/>
              <c:showSerName val="0"/>
              <c:showPercent val="0"/>
              <c:showBubbleSize val="0"/>
            </c:dLbl>
            <c:dLbl>
              <c:idx val="7"/>
              <c:layout>
                <c:manualLayout>
                  <c:x val="-5.9164037720040696E-2"/>
                  <c:y val="-6.3027121609798772E-2"/>
                </c:manualLayout>
              </c:layout>
              <c:dLblPos val="r"/>
              <c:showLegendKey val="0"/>
              <c:showVal val="1"/>
              <c:showCatName val="0"/>
              <c:showSerName val="0"/>
              <c:showPercent val="0"/>
              <c:showBubbleSize val="0"/>
            </c:dLbl>
            <c:dLbl>
              <c:idx val="8"/>
              <c:layout>
                <c:manualLayout>
                  <c:x val="-5.3211589593646076E-4"/>
                  <c:y val="-2.6745942471476779E-2"/>
                </c:manualLayout>
              </c:layout>
              <c:dLblPos val="r"/>
              <c:showLegendKey val="0"/>
              <c:showVal val="1"/>
              <c:showCatName val="0"/>
              <c:showSerName val="0"/>
              <c:showPercent val="0"/>
              <c:showBubbleSize val="0"/>
            </c:dLbl>
            <c:dLbl>
              <c:idx val="9"/>
              <c:layout>
                <c:manualLayout>
                  <c:x val="-0.12431061752460096"/>
                  <c:y val="4.6494188226463377E-4"/>
                </c:manualLayout>
              </c:layout>
              <c:dLblPos val="r"/>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dLblPos val="b"/>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'ingresados '!$Q$19:$AA$19</c:f>
              <c:numCache>
                <c:formatCode>General</c:formatCode>
                <c:ptCount val="11"/>
                <c:pt idx="0">
                  <c:v>8362587</c:v>
                </c:pt>
                <c:pt idx="1">
                  <c:v>9044995</c:v>
                </c:pt>
                <c:pt idx="2">
                  <c:v>9567280</c:v>
                </c:pt>
                <c:pt idx="3">
                  <c:v>9355526</c:v>
                </c:pt>
                <c:pt idx="4">
                  <c:v>9041442</c:v>
                </c:pt>
                <c:pt idx="5">
                  <c:v>8972642</c:v>
                </c:pt>
                <c:pt idx="6">
                  <c:v>8636016</c:v>
                </c:pt>
                <c:pt idx="7">
                  <c:v>8653160</c:v>
                </c:pt>
                <c:pt idx="8">
                  <c:v>8478698</c:v>
                </c:pt>
                <c:pt idx="9">
                  <c:v>5813137</c:v>
                </c:pt>
                <c:pt idx="10">
                  <c:v>5873689</c:v>
                </c:pt>
              </c:numCache>
            </c:numRef>
          </c:val>
          <c:smooth val="0"/>
        </c:ser>
        <c:dLbls>
          <c:showLegendKey val="0"/>
          <c:showVal val="0"/>
          <c:showCatName val="0"/>
          <c:showSerName val="0"/>
          <c:showPercent val="0"/>
          <c:showBubbleSize val="0"/>
        </c:dLbls>
        <c:marker val="1"/>
        <c:smooth val="0"/>
        <c:axId val="149652992"/>
        <c:axId val="245394816"/>
      </c:lineChart>
      <c:catAx>
        <c:axId val="149652992"/>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245394816"/>
        <c:crosses val="autoZero"/>
        <c:auto val="1"/>
        <c:lblAlgn val="ctr"/>
        <c:lblOffset val="100"/>
        <c:tickLblSkip val="1"/>
        <c:tickMarkSkip val="1"/>
        <c:noMultiLvlLbl val="0"/>
      </c:catAx>
      <c:valAx>
        <c:axId val="245394816"/>
        <c:scaling>
          <c:orientation val="minMax"/>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149652992"/>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Sentencias en todas las jurisdicciones</a:t>
            </a:r>
          </a:p>
        </c:rich>
      </c:tx>
      <c:layout>
        <c:manualLayout>
          <c:xMode val="edge"/>
          <c:yMode val="edge"/>
          <c:x val="0.32207792207792207"/>
          <c:y val="3.1111178626689728E-2"/>
        </c:manualLayout>
      </c:layout>
      <c:overlay val="0"/>
      <c:spPr>
        <a:noFill/>
        <a:ln w="25400">
          <a:noFill/>
        </a:ln>
      </c:spPr>
    </c:title>
    <c:autoTitleDeleted val="0"/>
    <c:plotArea>
      <c:layout>
        <c:manualLayout>
          <c:layoutTarget val="inner"/>
          <c:xMode val="edge"/>
          <c:yMode val="edge"/>
          <c:x val="0.14155844649853552"/>
          <c:y val="0.21753634422640175"/>
          <c:w val="0.80519480519480524"/>
          <c:h val="0.62222357253379457"/>
        </c:manualLayout>
      </c:layout>
      <c:lineChart>
        <c:grouping val="stacked"/>
        <c:varyColors val="0"/>
        <c:ser>
          <c:idx val="0"/>
          <c:order val="0"/>
          <c:spPr>
            <a:ln>
              <a:solidFill>
                <a:schemeClr val="tx2">
                  <a:lumMod val="60000"/>
                  <a:lumOff val="40000"/>
                </a:schemeClr>
              </a:solidFill>
            </a:ln>
          </c:spPr>
          <c:marker>
            <c:symbol val="diamond"/>
            <c:size val="7"/>
            <c:spPr>
              <a:solidFill>
                <a:schemeClr val="accent1">
                  <a:lumMod val="60000"/>
                  <a:lumOff val="40000"/>
                </a:schemeClr>
              </a:solidFill>
              <a:ln>
                <a:solidFill>
                  <a:schemeClr val="accent1">
                    <a:lumMod val="50000"/>
                  </a:schemeClr>
                </a:solidFill>
              </a:ln>
            </c:spPr>
          </c:marker>
          <c:dLbls>
            <c:dLbl>
              <c:idx val="0"/>
              <c:layout>
                <c:manualLayout>
                  <c:x val="-3.6231884057971016E-2"/>
                  <c:y val="4.145077720207254E-2"/>
                </c:manualLayout>
              </c:layout>
              <c:showLegendKey val="0"/>
              <c:showVal val="1"/>
              <c:showCatName val="0"/>
              <c:showSerName val="0"/>
              <c:showPercent val="0"/>
              <c:showBubbleSize val="0"/>
            </c:dLbl>
            <c:dLbl>
              <c:idx val="1"/>
              <c:layout>
                <c:manualLayout>
                  <c:x val="-1.4492753623188406E-2"/>
                  <c:y val="2.4179620034542316E-2"/>
                </c:manualLayout>
              </c:layout>
              <c:showLegendKey val="0"/>
              <c:showVal val="1"/>
              <c:showCatName val="0"/>
              <c:showSerName val="0"/>
              <c:showPercent val="0"/>
              <c:showBubbleSize val="0"/>
            </c:dLbl>
            <c:dLbl>
              <c:idx val="2"/>
              <c:layout>
                <c:manualLayout>
                  <c:x val="-1.4492753623188406E-2"/>
                  <c:y val="1.7271157167530225E-2"/>
                </c:manualLayout>
              </c:layout>
              <c:showLegendKey val="0"/>
              <c:showVal val="1"/>
              <c:showCatName val="0"/>
              <c:showSerName val="0"/>
              <c:showPercent val="0"/>
              <c:showBubbleSize val="0"/>
            </c:dLbl>
            <c:dLbl>
              <c:idx val="3"/>
              <c:layout>
                <c:manualLayout>
                  <c:x val="-0.1570048309178744"/>
                  <c:y val="6.9084628670121216E-3"/>
                </c:manualLayout>
              </c:layout>
              <c:showLegendKey val="0"/>
              <c:showVal val="1"/>
              <c:showCatName val="0"/>
              <c:showSerName val="0"/>
              <c:showPercent val="0"/>
              <c:showBubbleSize val="0"/>
            </c:dLbl>
            <c:dLbl>
              <c:idx val="4"/>
              <c:layout>
                <c:manualLayout>
                  <c:x val="-7.5065046217048959E-2"/>
                  <c:y val="-2.7633851468048327E-2"/>
                </c:manualLayout>
              </c:layout>
              <c:showLegendKey val="0"/>
              <c:showVal val="1"/>
              <c:showCatName val="0"/>
              <c:showSerName val="0"/>
              <c:showPercent val="0"/>
              <c:showBubbleSize val="0"/>
            </c:dLbl>
            <c:dLbl>
              <c:idx val="5"/>
              <c:layout>
                <c:manualLayout>
                  <c:x val="3.9948267336148199E-3"/>
                  <c:y val="-3.4542314335060447E-3"/>
                </c:manualLayout>
              </c:layout>
              <c:showLegendKey val="0"/>
              <c:showVal val="1"/>
              <c:showCatName val="0"/>
              <c:showSerName val="0"/>
              <c:showPercent val="0"/>
              <c:showBubbleSize val="0"/>
            </c:dLbl>
            <c:dLbl>
              <c:idx val="6"/>
              <c:layout>
                <c:manualLayout>
                  <c:x val="-1.1055420956995682E-2"/>
                  <c:y val="-1.7271157167530256E-2"/>
                </c:manualLayout>
              </c:layout>
              <c:showLegendKey val="0"/>
              <c:showVal val="1"/>
              <c:showCatName val="0"/>
              <c:showSerName val="0"/>
              <c:showPercent val="0"/>
              <c:showBubbleSize val="0"/>
            </c:dLbl>
            <c:dLbl>
              <c:idx val="7"/>
              <c:layout>
                <c:manualLayout>
                  <c:x val="1.393529613146165E-2"/>
                  <c:y val="2.7633851468048358E-2"/>
                </c:manualLayout>
              </c:layout>
              <c:showLegendKey val="0"/>
              <c:showVal val="1"/>
              <c:showCatName val="0"/>
              <c:showSerName val="0"/>
              <c:showPercent val="0"/>
              <c:showBubbleSize val="0"/>
            </c:dLbl>
            <c:dLbl>
              <c:idx val="8"/>
              <c:layout>
                <c:manualLayout>
                  <c:x val="-1.2355928335045164E-2"/>
                  <c:y val="-2.7198672698439323E-7"/>
                </c:manualLayout>
              </c:layout>
              <c:showLegendKey val="0"/>
              <c:showVal val="1"/>
              <c:showCatName val="0"/>
              <c:showSerName val="0"/>
              <c:showPercent val="0"/>
              <c:showBubbleSize val="0"/>
            </c:dLbl>
            <c:dLbl>
              <c:idx val="9"/>
              <c:layout>
                <c:manualLayout>
                  <c:x val="-0.12328141047586452"/>
                  <c:y val="3.1088082901554279E-2"/>
                </c:manualLayout>
              </c:layout>
              <c:showLegendKey val="0"/>
              <c:showVal val="1"/>
              <c:showCatName val="0"/>
              <c:showSerName val="0"/>
              <c:showPercent val="0"/>
              <c:showBubbleSize val="0"/>
            </c:dLbl>
            <c:dLbl>
              <c:idx val="10"/>
              <c:layout>
                <c:manualLayout>
                  <c:x val="-3.2423066681882336E-2"/>
                  <c:y val="3.7996545768566495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numRef>
              <c:f>sentencias!$Q$2:$AA$2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sentencias!$Q$9:$AA$9</c:f>
              <c:numCache>
                <c:formatCode>#,##0</c:formatCode>
                <c:ptCount val="11"/>
                <c:pt idx="0">
                  <c:v>1455463</c:v>
                </c:pt>
                <c:pt idx="1">
                  <c:v>1519226</c:v>
                </c:pt>
                <c:pt idx="2">
                  <c:v>1623122</c:v>
                </c:pt>
                <c:pt idx="3">
                  <c:v>1659195</c:v>
                </c:pt>
                <c:pt idx="4" formatCode="General">
                  <c:v>1673127</c:v>
                </c:pt>
                <c:pt idx="5" formatCode="General">
                  <c:v>1659941</c:v>
                </c:pt>
                <c:pt idx="6" formatCode="General">
                  <c:v>1571391</c:v>
                </c:pt>
                <c:pt idx="7" formatCode="General">
                  <c:v>1558703</c:v>
                </c:pt>
                <c:pt idx="8" formatCode="General">
                  <c:v>1517272</c:v>
                </c:pt>
                <c:pt idx="9" formatCode="General">
                  <c:v>1442944</c:v>
                </c:pt>
                <c:pt idx="10" formatCode="General">
                  <c:v>1440503</c:v>
                </c:pt>
              </c:numCache>
            </c:numRef>
          </c:val>
          <c:smooth val="0"/>
        </c:ser>
        <c:dLbls>
          <c:showLegendKey val="0"/>
          <c:showVal val="0"/>
          <c:showCatName val="0"/>
          <c:showSerName val="0"/>
          <c:showPercent val="0"/>
          <c:showBubbleSize val="0"/>
        </c:dLbls>
        <c:marker val="1"/>
        <c:smooth val="0"/>
        <c:axId val="242412032"/>
        <c:axId val="274206656"/>
      </c:lineChart>
      <c:catAx>
        <c:axId val="24241203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baseline="0"/>
            </a:pPr>
            <a:endParaRPr lang="es-ES"/>
          </a:p>
        </c:txPr>
        <c:crossAx val="274206656"/>
        <c:crosses val="autoZero"/>
        <c:auto val="1"/>
        <c:lblAlgn val="ctr"/>
        <c:lblOffset val="100"/>
        <c:tickLblSkip val="1"/>
        <c:tickMarkSkip val="1"/>
        <c:noMultiLvlLbl val="0"/>
      </c:catAx>
      <c:valAx>
        <c:axId val="274206656"/>
        <c:scaling>
          <c:orientation val="minMax"/>
          <c:max val="1700000"/>
          <c:min val="135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s-ES"/>
          </a:p>
        </c:txPr>
        <c:crossAx val="242412032"/>
        <c:crosses val="autoZero"/>
        <c:crossBetween val="between"/>
        <c:majorUnit val="50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750" b="1" i="0" u="none" strike="noStrike" baseline="0">
          <a:solidFill>
            <a:srgbClr val="000000"/>
          </a:solidFill>
          <a:latin typeface="Verdana" panose="020B0604030504040204" pitchFamily="34" charset="0"/>
          <a:ea typeface="Arial"/>
          <a:cs typeface="Arial"/>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00" baseline="0">
              <a:latin typeface="Verdana" panose="020B0604030504040204" pitchFamily="34" charset="0"/>
            </a:defRPr>
          </a:pPr>
          <a:endParaRPr lang="es-ES"/>
        </a:p>
      </c:txPr>
    </c:title>
    <c:autoTitleDeleted val="0"/>
    <c:plotArea>
      <c:layout/>
      <c:lineChart>
        <c:grouping val="standard"/>
        <c:varyColors val="0"/>
        <c:ser>
          <c:idx val="0"/>
          <c:order val="0"/>
          <c:tx>
            <c:v>Ejecutorias pendientes en todas las jurisdicciones</c:v>
          </c:tx>
          <c:dLbls>
            <c:dLbl>
              <c:idx val="0"/>
              <c:layout>
                <c:manualLayout>
                  <c:x val="-4.1666666666666692E-2"/>
                  <c:y val="2.3148148148148064E-2"/>
                </c:manualLayout>
              </c:layout>
              <c:showLegendKey val="0"/>
              <c:showVal val="1"/>
              <c:showCatName val="0"/>
              <c:showSerName val="0"/>
              <c:showPercent val="0"/>
              <c:showBubbleSize val="0"/>
            </c:dLbl>
            <c:dLbl>
              <c:idx val="1"/>
              <c:layout>
                <c:manualLayout>
                  <c:x val="-9.9930690481872114E-3"/>
                  <c:y val="-9.2592592592592587E-3"/>
                </c:manualLayout>
              </c:layout>
              <c:showLegendKey val="0"/>
              <c:showVal val="1"/>
              <c:showCatName val="0"/>
              <c:showSerName val="0"/>
              <c:showPercent val="0"/>
              <c:showBubbleSize val="0"/>
            </c:dLbl>
            <c:dLbl>
              <c:idx val="2"/>
              <c:layout>
                <c:manualLayout>
                  <c:x val="-2.0887389076365455E-2"/>
                  <c:y val="9.2588947214931466E-3"/>
                </c:manualLayout>
              </c:layout>
              <c:showLegendKey val="0"/>
              <c:showVal val="1"/>
              <c:showCatName val="0"/>
              <c:showSerName val="0"/>
              <c:showPercent val="0"/>
              <c:showBubbleSize val="0"/>
            </c:dLbl>
            <c:dLbl>
              <c:idx val="3"/>
              <c:layout>
                <c:manualLayout>
                  <c:x val="-0.13953823953823954"/>
                  <c:y val="-4.6296296296295869E-3"/>
                </c:manualLayout>
              </c:layout>
              <c:showLegendKey val="0"/>
              <c:showVal val="1"/>
              <c:showCatName val="0"/>
              <c:showSerName val="0"/>
              <c:showPercent val="0"/>
              <c:showBubbleSize val="0"/>
            </c:dLbl>
            <c:dLbl>
              <c:idx val="4"/>
              <c:layout>
                <c:manualLayout>
                  <c:x val="-0.14242424242424243"/>
                  <c:y val="-3.2407771945173518E-2"/>
                </c:manualLayout>
              </c:layout>
              <c:showLegendKey val="0"/>
              <c:showVal val="1"/>
              <c:showCatName val="0"/>
              <c:showSerName val="0"/>
              <c:showPercent val="0"/>
              <c:showBubbleSize val="0"/>
            </c:dLbl>
            <c:dLbl>
              <c:idx val="5"/>
              <c:layout>
                <c:manualLayout>
                  <c:x val="-8.0555555555555561E-2"/>
                  <c:y val="5.0925925925925923E-2"/>
                </c:manualLayout>
              </c:layout>
              <c:showLegendKey val="0"/>
              <c:showVal val="1"/>
              <c:showCatName val="0"/>
              <c:showSerName val="0"/>
              <c:showPercent val="0"/>
              <c:showBubbleSize val="0"/>
            </c:dLbl>
            <c:dLbl>
              <c:idx val="6"/>
              <c:layout>
                <c:manualLayout>
                  <c:x val="-8.1745918123870887E-2"/>
                  <c:y val="-4.6296296296296294E-2"/>
                </c:manualLayout>
              </c:layout>
              <c:showLegendKey val="0"/>
              <c:showVal val="1"/>
              <c:showCatName val="0"/>
              <c:showSerName val="0"/>
              <c:showPercent val="0"/>
              <c:showBubbleSize val="0"/>
            </c:dLbl>
            <c:dLbl>
              <c:idx val="7"/>
              <c:layout>
                <c:manualLayout>
                  <c:x val="-7.5324675324675322E-2"/>
                  <c:y val="3.7036672499270923E-2"/>
                </c:manualLayout>
              </c:layout>
              <c:showLegendKey val="0"/>
              <c:showVal val="1"/>
              <c:showCatName val="0"/>
              <c:showSerName val="0"/>
              <c:showPercent val="0"/>
              <c:showBubbleSize val="0"/>
            </c:dLbl>
            <c:dLbl>
              <c:idx val="8"/>
              <c:layout>
                <c:manualLayout>
                  <c:x val="-7.2222108600061466E-2"/>
                  <c:y val="-3.2407771945173476E-2"/>
                </c:manualLayout>
              </c:layout>
              <c:showLegendKey val="0"/>
              <c:showVal val="1"/>
              <c:showCatName val="0"/>
              <c:showSerName val="0"/>
              <c:showPercent val="0"/>
              <c:showBubbleSize val="0"/>
            </c:dLbl>
            <c:dLbl>
              <c:idx val="9"/>
              <c:layout>
                <c:manualLayout>
                  <c:x val="-3.0555555555555454E-2"/>
                  <c:y val="-3.2407771945173518E-2"/>
                </c:manualLayout>
              </c:layout>
              <c:showLegendKey val="0"/>
              <c:showVal val="1"/>
              <c:showCatName val="0"/>
              <c:showSerName val="0"/>
              <c:showPercent val="0"/>
              <c:showBubbleSize val="0"/>
            </c:dLbl>
            <c:dLbl>
              <c:idx val="10"/>
              <c:layout>
                <c:manualLayout>
                  <c:x val="0"/>
                  <c:y val="3.7036672499270964E-2"/>
                </c:manualLayout>
              </c:layout>
              <c:showLegendKey val="0"/>
              <c:showVal val="1"/>
              <c:showCatName val="0"/>
              <c:showSerName val="0"/>
              <c:showPercent val="0"/>
              <c:showBubbleSize val="0"/>
            </c:dLbl>
            <c:numFmt formatCode="#,##0" sourceLinked="0"/>
            <c:txPr>
              <a:bodyPr/>
              <a:lstStyle/>
              <a:p>
                <a:pPr>
                  <a:defRPr sz="700" b="1" i="0" baseline="0">
                    <a:latin typeface="Verdana" panose="020B0604030504040204" pitchFamily="34" charset="0"/>
                  </a:defRPr>
                </a:pPr>
                <a:endParaRPr lang="es-ES"/>
              </a:p>
            </c:txPr>
            <c:showLegendKey val="0"/>
            <c:showVal val="1"/>
            <c:showCatName val="0"/>
            <c:showSerName val="0"/>
            <c:showPercent val="0"/>
            <c:showBubbleSize val="0"/>
            <c:showLeaderLines val="0"/>
          </c:dLbls>
          <c:cat>
            <c:numRef>
              <c:f>ejecutorias!$C$5:$M$5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ejecutorias!$C$25:$M$25</c:f>
              <c:numCache>
                <c:formatCode>General</c:formatCode>
                <c:ptCount val="11"/>
                <c:pt idx="0">
                  <c:v>1513480</c:v>
                </c:pt>
                <c:pt idx="1">
                  <c:v>1764451</c:v>
                </c:pt>
                <c:pt idx="2">
                  <c:v>2100831</c:v>
                </c:pt>
                <c:pt idx="3">
                  <c:v>2395727</c:v>
                </c:pt>
                <c:pt idx="4">
                  <c:v>2501608</c:v>
                </c:pt>
                <c:pt idx="5">
                  <c:v>2563893</c:v>
                </c:pt>
                <c:pt idx="6">
                  <c:v>2566406</c:v>
                </c:pt>
                <c:pt idx="7">
                  <c:v>2539365</c:v>
                </c:pt>
                <c:pt idx="8">
                  <c:v>2522226</c:v>
                </c:pt>
                <c:pt idx="9">
                  <c:v>2455233</c:v>
                </c:pt>
                <c:pt idx="10">
                  <c:v>2394062</c:v>
                </c:pt>
              </c:numCache>
            </c:numRef>
          </c:val>
          <c:smooth val="0"/>
        </c:ser>
        <c:dLbls>
          <c:showLegendKey val="0"/>
          <c:showVal val="0"/>
          <c:showCatName val="0"/>
          <c:showSerName val="0"/>
          <c:showPercent val="0"/>
          <c:showBubbleSize val="0"/>
        </c:dLbls>
        <c:marker val="1"/>
        <c:smooth val="0"/>
        <c:axId val="296214528"/>
        <c:axId val="274207808"/>
      </c:lineChart>
      <c:catAx>
        <c:axId val="296214528"/>
        <c:scaling>
          <c:orientation val="minMax"/>
        </c:scaling>
        <c:delete val="0"/>
        <c:axPos val="b"/>
        <c:numFmt formatCode="General" sourceLinked="1"/>
        <c:majorTickMark val="out"/>
        <c:minorTickMark val="none"/>
        <c:tickLblPos val="nextTo"/>
        <c:txPr>
          <a:bodyPr/>
          <a:lstStyle/>
          <a:p>
            <a:pPr>
              <a:defRPr sz="800" b="1" i="0" baseline="0">
                <a:latin typeface="Verdana" panose="020B0604030504040204" pitchFamily="34" charset="0"/>
              </a:defRPr>
            </a:pPr>
            <a:endParaRPr lang="es-ES"/>
          </a:p>
        </c:txPr>
        <c:crossAx val="274207808"/>
        <c:crosses val="autoZero"/>
        <c:auto val="1"/>
        <c:lblAlgn val="ctr"/>
        <c:lblOffset val="100"/>
        <c:noMultiLvlLbl val="0"/>
      </c:catAx>
      <c:valAx>
        <c:axId val="274207808"/>
        <c:scaling>
          <c:orientation val="minMax"/>
          <c:max val="3000000"/>
          <c:min val="0"/>
        </c:scaling>
        <c:delete val="0"/>
        <c:axPos val="l"/>
        <c:majorGridlines/>
        <c:numFmt formatCode="#,##0" sourceLinked="0"/>
        <c:majorTickMark val="out"/>
        <c:minorTickMark val="none"/>
        <c:tickLblPos val="nextTo"/>
        <c:txPr>
          <a:bodyPr/>
          <a:lstStyle/>
          <a:p>
            <a:pPr>
              <a:defRPr sz="800" b="1" i="0" baseline="0">
                <a:latin typeface="Verdana" panose="020B0604030504040204" pitchFamily="34" charset="0"/>
              </a:defRPr>
            </a:pPr>
            <a:endParaRPr lang="es-ES"/>
          </a:p>
        </c:txPr>
        <c:crossAx val="296214528"/>
        <c:crosses val="autoZero"/>
        <c:crossBetween val="between"/>
      </c:valAx>
      <c:spPr>
        <a:noFill/>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a:ea typeface="Verdana"/>
                <a:cs typeface="Verdana"/>
              </a:defRPr>
            </a:pPr>
            <a:r>
              <a:rPr lang="es-ES"/>
              <a:t>Número de plazas de juez constituidas  a 1 de enero</a:t>
            </a:r>
          </a:p>
        </c:rich>
      </c:tx>
      <c:layout/>
      <c:overlay val="0"/>
    </c:title>
    <c:autoTitleDeleted val="0"/>
    <c:plotArea>
      <c:layout/>
      <c:lineChart>
        <c:grouping val="stacked"/>
        <c:varyColors val="0"/>
        <c:ser>
          <c:idx val="0"/>
          <c:order val="0"/>
          <c:dLbls>
            <c:dLbl>
              <c:idx val="0"/>
              <c:layout>
                <c:manualLayout>
                  <c:x val="-3.9138943248532287E-2"/>
                  <c:y val="3.734827264239015E-2"/>
                </c:manualLayout>
              </c:layout>
              <c:dLblPos val="r"/>
              <c:showLegendKey val="0"/>
              <c:showVal val="1"/>
              <c:showCatName val="0"/>
              <c:showSerName val="0"/>
              <c:showPercent val="0"/>
              <c:showBubbleSize val="0"/>
            </c:dLbl>
            <c:dLbl>
              <c:idx val="1"/>
              <c:layout>
                <c:manualLayout>
                  <c:x val="-7.3059360730593631E-2"/>
                  <c:y val="-3.3613445378151259E-2"/>
                </c:manualLayout>
              </c:layout>
              <c:dLblPos val="r"/>
              <c:showLegendKey val="0"/>
              <c:showVal val="1"/>
              <c:showCatName val="0"/>
              <c:showSerName val="0"/>
              <c:showPercent val="0"/>
              <c:showBubbleSize val="0"/>
            </c:dLbl>
            <c:dLbl>
              <c:idx val="2"/>
              <c:layout>
                <c:manualLayout>
                  <c:x val="-3.1311154598825879E-2"/>
                  <c:y val="2.2408963585434174E-2"/>
                </c:manualLayout>
              </c:layout>
              <c:dLblPos val="r"/>
              <c:showLegendKey val="0"/>
              <c:showVal val="1"/>
              <c:showCatName val="0"/>
              <c:showSerName val="0"/>
              <c:showPercent val="0"/>
              <c:showBubbleSize val="0"/>
            </c:dLbl>
            <c:dLbl>
              <c:idx val="3"/>
              <c:layout>
                <c:manualLayout>
                  <c:x val="-7.827788649706463E-2"/>
                  <c:y val="-4.1083099906629318E-2"/>
                </c:manualLayout>
              </c:layout>
              <c:dLblPos val="r"/>
              <c:showLegendKey val="0"/>
              <c:showVal val="1"/>
              <c:showCatName val="0"/>
              <c:showSerName val="0"/>
              <c:showPercent val="0"/>
              <c:showBubbleSize val="0"/>
            </c:dLbl>
            <c:dLbl>
              <c:idx val="4"/>
              <c:layout>
                <c:manualLayout>
                  <c:x val="-5.4794520547945251E-2"/>
                  <c:y val="-3.3613445378151328E-2"/>
                </c:manualLayout>
              </c:layout>
              <c:dLblPos val="r"/>
              <c:showLegendKey val="0"/>
              <c:showVal val="1"/>
              <c:showCatName val="0"/>
              <c:showSerName val="0"/>
              <c:showPercent val="0"/>
              <c:showBubbleSize val="0"/>
            </c:dLbl>
            <c:dLbl>
              <c:idx val="5"/>
              <c:layout>
                <c:manualLayout>
                  <c:x val="-4.6966731898238745E-2"/>
                  <c:y val="3.361344537815119E-2"/>
                </c:manualLayout>
              </c:layout>
              <c:dLblPos val="r"/>
              <c:showLegendKey val="0"/>
              <c:showVal val="1"/>
              <c:showCatName val="0"/>
              <c:showSerName val="0"/>
              <c:showPercent val="0"/>
              <c:showBubbleSize val="0"/>
            </c:dLbl>
            <c:dLbl>
              <c:idx val="6"/>
              <c:layout>
                <c:manualLayout>
                  <c:x val="-5.47945205479453E-2"/>
                  <c:y val="-3.7348272642390289E-2"/>
                </c:manualLayout>
              </c:layout>
              <c:dLblPos val="r"/>
              <c:showLegendKey val="0"/>
              <c:showVal val="1"/>
              <c:showCatName val="0"/>
              <c:showSerName val="0"/>
              <c:showPercent val="0"/>
              <c:showBubbleSize val="0"/>
            </c:dLbl>
            <c:dLbl>
              <c:idx val="7"/>
              <c:layout>
                <c:manualLayout>
                  <c:x val="-1.5655577299413012E-2"/>
                  <c:y val="2.2408963585434174E-2"/>
                </c:manualLayout>
              </c:layout>
              <c:dLblPos val="r"/>
              <c:showLegendKey val="0"/>
              <c:showVal val="1"/>
              <c:showCatName val="0"/>
              <c:showSerName val="0"/>
              <c:showPercent val="0"/>
              <c:showBubbleSize val="0"/>
            </c:dLbl>
            <c:dLbl>
              <c:idx val="8"/>
              <c:layout>
                <c:manualLayout>
                  <c:x val="-4.9575994781474231E-2"/>
                  <c:y val="-3.3613445378151259E-2"/>
                </c:manualLayout>
              </c:layout>
              <c:dLblPos val="r"/>
              <c:showLegendKey val="0"/>
              <c:showVal val="1"/>
              <c:showCatName val="0"/>
              <c:showSerName val="0"/>
              <c:showPercent val="0"/>
              <c:showBubbleSize val="0"/>
            </c:dLbl>
            <c:dLbl>
              <c:idx val="9"/>
              <c:layout>
                <c:manualLayout>
                  <c:x val="-2.3483365949119372E-2"/>
                  <c:y val="-2.6143790849673169E-2"/>
                </c:manualLayout>
              </c:layout>
              <c:dLblPos val="r"/>
              <c:showLegendKey val="0"/>
              <c:showVal val="1"/>
              <c:showCatName val="0"/>
              <c:showSerName val="0"/>
              <c:showPercent val="0"/>
              <c:showBubbleSize val="0"/>
            </c:dLbl>
            <c:dLbl>
              <c:idx val="10"/>
              <c:layout>
                <c:manualLayout>
                  <c:x val="-2.0874103065883887E-2"/>
                  <c:y val="3.3613445378151259E-2"/>
                </c:manualLayout>
              </c:layout>
              <c:dLblPos val="r"/>
              <c:showLegendKey val="0"/>
              <c:showVal val="1"/>
              <c:showCatName val="0"/>
              <c:showSerName val="0"/>
              <c:showPercent val="0"/>
              <c:showBubbleSize val="0"/>
            </c:dLbl>
            <c:numFmt formatCode="#,##0" sourceLinked="0"/>
            <c:txPr>
              <a:bodyPr/>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jueces!$K$3:$U$3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jueces!$K$22:$U$22</c:f>
              <c:numCache>
                <c:formatCode>General</c:formatCode>
                <c:ptCount val="11"/>
                <c:pt idx="0">
                  <c:v>4544</c:v>
                </c:pt>
                <c:pt idx="1">
                  <c:v>4674</c:v>
                </c:pt>
                <c:pt idx="2">
                  <c:v>4836</c:v>
                </c:pt>
                <c:pt idx="3">
                  <c:v>4986</c:v>
                </c:pt>
                <c:pt idx="4">
                  <c:v>5171</c:v>
                </c:pt>
                <c:pt idx="5" formatCode="#,##0">
                  <c:v>5171</c:v>
                </c:pt>
                <c:pt idx="6" formatCode="#,##0">
                  <c:v>5211</c:v>
                </c:pt>
                <c:pt idx="7">
                  <c:v>5362</c:v>
                </c:pt>
                <c:pt idx="8" formatCode="#,##0">
                  <c:v>5847</c:v>
                </c:pt>
                <c:pt idx="9" formatCode="#,##0">
                  <c:v>5692</c:v>
                </c:pt>
                <c:pt idx="10" formatCode="#,##0">
                  <c:v>5507</c:v>
                </c:pt>
              </c:numCache>
            </c:numRef>
          </c:val>
          <c:smooth val="0"/>
        </c:ser>
        <c:dLbls>
          <c:showLegendKey val="0"/>
          <c:showVal val="0"/>
          <c:showCatName val="0"/>
          <c:showSerName val="0"/>
          <c:showPercent val="0"/>
          <c:showBubbleSize val="0"/>
        </c:dLbls>
        <c:marker val="1"/>
        <c:smooth val="0"/>
        <c:axId val="296215040"/>
        <c:axId val="274209536"/>
      </c:lineChart>
      <c:catAx>
        <c:axId val="296215040"/>
        <c:scaling>
          <c:orientation val="minMax"/>
        </c:scaling>
        <c:delete val="0"/>
        <c:axPos val="b"/>
        <c:numFmt formatCode="0" sourceLinked="0"/>
        <c:majorTickMark val="none"/>
        <c:minorTickMark val="none"/>
        <c:tickLblPos val="nextTo"/>
        <c:txPr>
          <a:bodyPr rot="0" vert="horz"/>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crossAx val="274209536"/>
        <c:crosses val="autoZero"/>
        <c:auto val="1"/>
        <c:lblAlgn val="ctr"/>
        <c:lblOffset val="100"/>
        <c:tickLblSkip val="1"/>
        <c:tickMarkSkip val="1"/>
        <c:noMultiLvlLbl val="0"/>
      </c:catAx>
      <c:valAx>
        <c:axId val="274209536"/>
        <c:scaling>
          <c:orientation val="minMax"/>
          <c:min val="4000"/>
        </c:scaling>
        <c:delete val="0"/>
        <c:axPos val="l"/>
        <c:majorGridlines/>
        <c:numFmt formatCode="#,##0" sourceLinked="0"/>
        <c:majorTickMark val="none"/>
        <c:minorTickMark val="none"/>
        <c:tickLblPos val="nextTo"/>
        <c:txPr>
          <a:bodyPr rot="0" vert="horz"/>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crossAx val="296215040"/>
        <c:crosses val="autoZero"/>
        <c:crossBetween val="between"/>
        <c:majorUnit val="500"/>
        <c:minorUnit val="500"/>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a:ea typeface="Verdana"/>
                <a:cs typeface="Verdana"/>
              </a:defRPr>
            </a:pPr>
            <a:r>
              <a:rPr lang="es-ES"/>
              <a:t>Nº de jueces por 100.000 habitantes</a:t>
            </a:r>
          </a:p>
        </c:rich>
      </c:tx>
      <c:layout/>
      <c:overlay val="0"/>
    </c:title>
    <c:autoTitleDeleted val="0"/>
    <c:plotArea>
      <c:layout/>
      <c:lineChart>
        <c:grouping val="standard"/>
        <c:varyColors val="0"/>
        <c:ser>
          <c:idx val="0"/>
          <c:order val="0"/>
          <c:dLbls>
            <c:dLbl>
              <c:idx val="0"/>
              <c:layout>
                <c:manualLayout>
                  <c:x val="-4.1263700838168944E-2"/>
                  <c:y val="3.3426183844011005E-2"/>
                </c:manualLayout>
              </c:layout>
              <c:dLblPos val="r"/>
              <c:showLegendKey val="0"/>
              <c:showVal val="1"/>
              <c:showCatName val="0"/>
              <c:showSerName val="0"/>
              <c:showPercent val="0"/>
              <c:showBubbleSize val="0"/>
            </c:dLbl>
            <c:dLbl>
              <c:idx val="1"/>
              <c:layout>
                <c:manualLayout>
                  <c:x val="-3.8684719535783389E-2"/>
                  <c:y val="3.3426183844011144E-2"/>
                </c:manualLayout>
              </c:layout>
              <c:dLblPos val="r"/>
              <c:showLegendKey val="0"/>
              <c:showVal val="1"/>
              <c:showCatName val="0"/>
              <c:showSerName val="0"/>
              <c:showPercent val="0"/>
              <c:showBubbleSize val="0"/>
            </c:dLbl>
            <c:dLbl>
              <c:idx val="2"/>
              <c:layout>
                <c:manualLayout>
                  <c:x val="-4.6421663442940041E-2"/>
                  <c:y val="3.3426183844011144E-2"/>
                </c:manualLayout>
              </c:layout>
              <c:dLblPos val="r"/>
              <c:showLegendKey val="0"/>
              <c:showVal val="1"/>
              <c:showCatName val="0"/>
              <c:showSerName val="0"/>
              <c:showPercent val="0"/>
              <c:showBubbleSize val="0"/>
            </c:dLbl>
            <c:dLbl>
              <c:idx val="3"/>
              <c:layout>
                <c:manualLayout>
                  <c:x val="-4.1263700838168972E-2"/>
                  <c:y val="2.5998142989786442E-2"/>
                </c:manualLayout>
              </c:layout>
              <c:dLblPos val="r"/>
              <c:showLegendKey val="0"/>
              <c:showVal val="1"/>
              <c:showCatName val="0"/>
              <c:showSerName val="0"/>
              <c:showPercent val="0"/>
              <c:showBubbleSize val="0"/>
            </c:dLbl>
            <c:dLbl>
              <c:idx val="4"/>
              <c:layout>
                <c:manualLayout>
                  <c:x val="-4.3842682140554479E-2"/>
                  <c:y val="3.7140204271123488E-2"/>
                </c:manualLayout>
              </c:layout>
              <c:dLblPos val="r"/>
              <c:showLegendKey val="0"/>
              <c:showVal val="1"/>
              <c:showCatName val="0"/>
              <c:showSerName val="0"/>
              <c:showPercent val="0"/>
              <c:showBubbleSize val="0"/>
            </c:dLbl>
            <c:dLbl>
              <c:idx val="5"/>
              <c:layout>
                <c:manualLayout>
                  <c:x val="-3.8684719535783459E-2"/>
                  <c:y val="3.3426183844011075E-2"/>
                </c:manualLayout>
              </c:layout>
              <c:dLblPos val="r"/>
              <c:showLegendKey val="0"/>
              <c:showVal val="1"/>
              <c:showCatName val="0"/>
              <c:showSerName val="0"/>
              <c:showPercent val="0"/>
              <c:showBubbleSize val="0"/>
            </c:dLbl>
            <c:dLbl>
              <c:idx val="6"/>
              <c:layout>
                <c:manualLayout>
                  <c:x val="-1.547388781431344E-2"/>
                  <c:y val="1.8570102135561678E-2"/>
                </c:manualLayout>
              </c:layout>
              <c:dLblPos val="r"/>
              <c:showLegendKey val="0"/>
              <c:showVal val="1"/>
              <c:showCatName val="0"/>
              <c:showSerName val="0"/>
              <c:showPercent val="0"/>
              <c:showBubbleSize val="0"/>
            </c:dLbl>
            <c:dLbl>
              <c:idx val="7"/>
              <c:layout>
                <c:manualLayout>
                  <c:x val="-7.7369439071567677E-3"/>
                  <c:y val="3.714020427112281E-3"/>
                </c:manualLayout>
              </c:layout>
              <c:dLblPos val="r"/>
              <c:showLegendKey val="0"/>
              <c:showVal val="1"/>
              <c:showCatName val="0"/>
              <c:showSerName val="0"/>
              <c:showPercent val="0"/>
              <c:showBubbleSize val="0"/>
            </c:dLbl>
            <c:dLbl>
              <c:idx val="8"/>
              <c:layout>
                <c:manualLayout>
                  <c:x val="-9.0264345583494526E-2"/>
                  <c:y val="-3.714020427112366E-3"/>
                </c:manualLayout>
              </c:layout>
              <c:dLblPos val="r"/>
              <c:showLegendKey val="0"/>
              <c:showVal val="1"/>
              <c:showCatName val="0"/>
              <c:showSerName val="0"/>
              <c:showPercent val="0"/>
              <c:showBubbleSize val="0"/>
            </c:dLbl>
            <c:dLbl>
              <c:idx val="9"/>
              <c:layout>
                <c:manualLayout>
                  <c:x val="-7.7369439071566732E-3"/>
                  <c:y val="-1.4856081708449397E-2"/>
                </c:manualLayout>
              </c:layout>
              <c:dLblPos val="r"/>
              <c:showLegendKey val="0"/>
              <c:showVal val="1"/>
              <c:showCatName val="0"/>
              <c:showSerName val="0"/>
              <c:showPercent val="0"/>
              <c:showBubbleSize val="0"/>
            </c:dLbl>
            <c:dLbl>
              <c:idx val="10"/>
              <c:layout>
                <c:manualLayout>
                  <c:x val="-3.3526756931012251E-2"/>
                  <c:y val="3.3426183844011144E-2"/>
                </c:manualLayout>
              </c:layout>
              <c:dLblPos val="r"/>
              <c:showLegendKey val="0"/>
              <c:showVal val="1"/>
              <c:showCatName val="0"/>
              <c:showSerName val="0"/>
              <c:showPercent val="0"/>
              <c:showBubbleSize val="0"/>
            </c:dLbl>
            <c:txPr>
              <a:bodyPr/>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Jueceshabitante!$K$3:$U$3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Jueceshabitante!$K$21:$U$21</c:f>
              <c:numCache>
                <c:formatCode>0.0</c:formatCode>
                <c:ptCount val="11"/>
                <c:pt idx="0">
                  <c:v>10.052933428939443</c:v>
                </c:pt>
                <c:pt idx="1">
                  <c:v>10.146860060232925</c:v>
                </c:pt>
                <c:pt idx="2">
                  <c:v>10.345312896191951</c:v>
                </c:pt>
                <c:pt idx="3">
                  <c:v>10.603765791524223</c:v>
                </c:pt>
                <c:pt idx="4">
                  <c:v>10.957715572075079</c:v>
                </c:pt>
                <c:pt idx="5">
                  <c:v>10.940367886214082</c:v>
                </c:pt>
                <c:pt idx="6">
                  <c:v>11.05670272235287</c:v>
                </c:pt>
                <c:pt idx="7">
                  <c:v>11.464285362269173</c:v>
                </c:pt>
                <c:pt idx="8">
                  <c:v>12.540648796159916</c:v>
                </c:pt>
                <c:pt idx="9">
                  <c:v>12.234297632562386</c:v>
                </c:pt>
                <c:pt idx="10">
                  <c:v>11.824668022498949</c:v>
                </c:pt>
              </c:numCache>
            </c:numRef>
          </c:val>
          <c:smooth val="0"/>
        </c:ser>
        <c:dLbls>
          <c:showLegendKey val="0"/>
          <c:showVal val="0"/>
          <c:showCatName val="0"/>
          <c:showSerName val="0"/>
          <c:showPercent val="0"/>
          <c:showBubbleSize val="0"/>
        </c:dLbls>
        <c:marker val="1"/>
        <c:smooth val="0"/>
        <c:axId val="296216064"/>
        <c:axId val="295707200"/>
      </c:lineChart>
      <c:catAx>
        <c:axId val="296216064"/>
        <c:scaling>
          <c:orientation val="minMax"/>
        </c:scaling>
        <c:delete val="0"/>
        <c:axPos val="b"/>
        <c:numFmt formatCode="0" sourceLinked="0"/>
        <c:majorTickMark val="none"/>
        <c:minorTickMark val="none"/>
        <c:tickLblPos val="nextTo"/>
        <c:txPr>
          <a:bodyPr rot="0" vert="horz"/>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crossAx val="295707200"/>
        <c:crosses val="autoZero"/>
        <c:auto val="1"/>
        <c:lblAlgn val="ctr"/>
        <c:lblOffset val="100"/>
        <c:tickLblSkip val="1"/>
        <c:tickMarkSkip val="1"/>
        <c:noMultiLvlLbl val="0"/>
      </c:catAx>
      <c:valAx>
        <c:axId val="295707200"/>
        <c:scaling>
          <c:orientation val="minMax"/>
          <c:max val="12.7"/>
          <c:min val="9.4"/>
        </c:scaling>
        <c:delete val="0"/>
        <c:axPos val="l"/>
        <c:majorGridlines/>
        <c:numFmt formatCode="0.0" sourceLinked="0"/>
        <c:majorTickMark val="none"/>
        <c:minorTickMark val="none"/>
        <c:tickLblPos val="nextTo"/>
        <c:txPr>
          <a:bodyPr rot="0" vert="horz"/>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crossAx val="296216064"/>
        <c:crosses val="autoZero"/>
        <c:crossBetween val="between"/>
        <c:majorUnit val="0.30000000000000004"/>
        <c:minorUnit val="0.30000000000000004"/>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a:t>Asuntos ingresados en la Jurisdicción Civil</a:t>
            </a:r>
          </a:p>
        </c:rich>
      </c:tx>
      <c:layout>
        <c:manualLayout>
          <c:xMode val="edge"/>
          <c:yMode val="edge"/>
          <c:x val="0.22999300087489064"/>
          <c:y val="2.3557126030624265E-2"/>
        </c:manualLayout>
      </c:layout>
      <c:overlay val="0"/>
    </c:title>
    <c:autoTitleDeleted val="0"/>
    <c:plotArea>
      <c:layout/>
      <c:lineChart>
        <c:grouping val="stacked"/>
        <c:varyColors val="0"/>
        <c:ser>
          <c:idx val="0"/>
          <c:order val="0"/>
          <c:dLbls>
            <c:dLbl>
              <c:idx val="0"/>
              <c:layout>
                <c:manualLayout>
                  <c:x val="-4.2835249042145619E-2"/>
                  <c:y val="6.4367816091953939E-2"/>
                </c:manualLayout>
              </c:layout>
              <c:dLblPos val="r"/>
              <c:showLegendKey val="0"/>
              <c:showVal val="1"/>
              <c:showCatName val="0"/>
              <c:showSerName val="0"/>
              <c:showPercent val="0"/>
              <c:showBubbleSize val="0"/>
            </c:dLbl>
            <c:dLbl>
              <c:idx val="1"/>
              <c:layout>
                <c:manualLayout>
                  <c:x val="-0.1092464878671775"/>
                  <c:y val="-4.1379672368540142E-2"/>
                </c:manualLayout>
              </c:layout>
              <c:dLblPos val="r"/>
              <c:showLegendKey val="0"/>
              <c:showVal val="1"/>
              <c:showCatName val="0"/>
              <c:showSerName val="0"/>
              <c:showPercent val="0"/>
              <c:showBubbleSize val="0"/>
            </c:dLbl>
            <c:dLbl>
              <c:idx val="2"/>
              <c:layout>
                <c:manualLayout>
                  <c:x val="-8.2362808097263707E-2"/>
                  <c:y val="-5.5172413793103406E-2"/>
                </c:manualLayout>
              </c:layout>
              <c:dLblPos val="r"/>
              <c:showLegendKey val="0"/>
              <c:showVal val="1"/>
              <c:showCatName val="0"/>
              <c:showSerName val="0"/>
              <c:showPercent val="0"/>
              <c:showBubbleSize val="0"/>
            </c:dLbl>
            <c:dLbl>
              <c:idx val="3"/>
              <c:layout>
                <c:manualLayout>
                  <c:x val="-3.1277239770316018E-2"/>
                  <c:y val="-5.9770476966241333E-2"/>
                </c:manualLayout>
              </c:layout>
              <c:dLblPos val="r"/>
              <c:showLegendKey val="0"/>
              <c:showVal val="1"/>
              <c:showCatName val="0"/>
              <c:showSerName val="0"/>
              <c:showPercent val="0"/>
              <c:showBubbleSize val="0"/>
            </c:dLbl>
            <c:dLbl>
              <c:idx val="4"/>
              <c:layout>
                <c:manualLayout>
                  <c:x val="-9.2579921762653325E-2"/>
                  <c:y val="4.5977011494252831E-2"/>
                </c:manualLayout>
              </c:layout>
              <c:dLblPos val="r"/>
              <c:showLegendKey val="0"/>
              <c:showVal val="1"/>
              <c:showCatName val="0"/>
              <c:showSerName val="0"/>
              <c:showPercent val="0"/>
              <c:showBubbleSize val="0"/>
            </c:dLbl>
            <c:dLbl>
              <c:idx val="5"/>
              <c:layout>
                <c:manualLayout>
                  <c:x val="-7.2048688411102318E-2"/>
                  <c:y val="-4.1379310344827627E-2"/>
                </c:manualLayout>
              </c:layout>
              <c:dLblPos val="r"/>
              <c:showLegendKey val="0"/>
              <c:showVal val="1"/>
              <c:showCatName val="0"/>
              <c:showSerName val="0"/>
              <c:showPercent val="0"/>
              <c:showBubbleSize val="0"/>
            </c:dLbl>
            <c:dLbl>
              <c:idx val="6"/>
              <c:layout>
                <c:manualLayout>
                  <c:x val="-6.4482859182832031E-2"/>
                  <c:y val="5.5172413793103448E-2"/>
                </c:manualLayout>
              </c:layout>
              <c:dLblPos val="r"/>
              <c:showLegendKey val="0"/>
              <c:showVal val="1"/>
              <c:showCatName val="0"/>
              <c:showSerName val="0"/>
              <c:showPercent val="0"/>
              <c:showBubbleSize val="0"/>
            </c:dLbl>
            <c:dLbl>
              <c:idx val="7"/>
              <c:layout>
                <c:manualLayout>
                  <c:x val="-9.0025643346305848E-2"/>
                  <c:y val="-5.5172413793103448E-2"/>
                </c:manualLayout>
              </c:layout>
              <c:dLblPos val="r"/>
              <c:showLegendKey val="0"/>
              <c:showVal val="1"/>
              <c:showCatName val="0"/>
              <c:showSerName val="0"/>
              <c:showPercent val="0"/>
              <c:showBubbleSize val="0"/>
            </c:dLbl>
            <c:dLbl>
              <c:idx val="8"/>
              <c:layout>
                <c:manualLayout>
                  <c:x val="-6.6867675696135706E-2"/>
                  <c:y val="-6.4367816091954008E-2"/>
                </c:manualLayout>
              </c:layout>
              <c:dLblPos val="r"/>
              <c:showLegendKey val="0"/>
              <c:showVal val="1"/>
              <c:showCatName val="0"/>
              <c:showSerName val="0"/>
              <c:showPercent val="0"/>
              <c:showBubbleSize val="0"/>
            </c:dLbl>
            <c:dLbl>
              <c:idx val="9"/>
              <c:layout>
                <c:manualLayout>
                  <c:x val="-6.9591416015526791E-2"/>
                  <c:y val="5.9770114942528735E-2"/>
                </c:manualLayout>
              </c:layout>
              <c:dLblPos val="r"/>
              <c:showLegendKey val="0"/>
              <c:showVal val="1"/>
              <c:showCatName val="0"/>
              <c:showSerName val="0"/>
              <c:showPercent val="0"/>
              <c:showBubbleSize val="0"/>
            </c:dLbl>
            <c:dLbl>
              <c:idx val="10"/>
              <c:layout>
                <c:manualLayout>
                  <c:x val="-5.0848241670940555E-3"/>
                  <c:y val="-4.5977011494252915E-2"/>
                </c:manualLayout>
              </c:layout>
              <c:dLblPos val="r"/>
              <c:showLegendKey val="0"/>
              <c:showVal val="1"/>
              <c:showCatName val="0"/>
              <c:showSerName val="0"/>
              <c:showPercent val="0"/>
              <c:showBubbleSize val="0"/>
            </c:dLbl>
            <c:numFmt formatCode="#,##0" sourceLinked="0"/>
            <c:dLblPos val="ctr"/>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'ingresados '!$Q$13:$AA$13</c:f>
              <c:numCache>
                <c:formatCode>#,##0</c:formatCode>
                <c:ptCount val="11"/>
                <c:pt idx="0">
                  <c:v>1450504</c:v>
                </c:pt>
                <c:pt idx="1">
                  <c:v>1707071</c:v>
                </c:pt>
                <c:pt idx="2" formatCode="General">
                  <c:v>2025568</c:v>
                </c:pt>
                <c:pt idx="3" formatCode="General">
                  <c:v>1984098</c:v>
                </c:pt>
                <c:pt idx="4" formatCode="General">
                  <c:v>1770947</c:v>
                </c:pt>
                <c:pt idx="5" formatCode="General">
                  <c:v>1839800</c:v>
                </c:pt>
                <c:pt idx="6" formatCode="General">
                  <c:v>1670305</c:v>
                </c:pt>
                <c:pt idx="7" formatCode="General">
                  <c:v>1845173</c:v>
                </c:pt>
                <c:pt idx="8" formatCode="General">
                  <c:v>2074048</c:v>
                </c:pt>
                <c:pt idx="9" formatCode="General">
                  <c:v>1868228</c:v>
                </c:pt>
                <c:pt idx="10" formatCode="General">
                  <c:v>2040018</c:v>
                </c:pt>
              </c:numCache>
            </c:numRef>
          </c:val>
          <c:smooth val="0"/>
        </c:ser>
        <c:dLbls>
          <c:showLegendKey val="0"/>
          <c:showVal val="0"/>
          <c:showCatName val="0"/>
          <c:showSerName val="0"/>
          <c:showPercent val="0"/>
          <c:showBubbleSize val="0"/>
        </c:dLbls>
        <c:marker val="1"/>
        <c:smooth val="0"/>
        <c:axId val="296216576"/>
        <c:axId val="295708928"/>
      </c:lineChart>
      <c:catAx>
        <c:axId val="296216576"/>
        <c:scaling>
          <c:orientation val="minMax"/>
        </c:scaling>
        <c:delete val="0"/>
        <c:axPos val="b"/>
        <c:numFmt formatCode="0" sourceLinked="0"/>
        <c:majorTickMark val="none"/>
        <c:minorTickMark val="none"/>
        <c:tickLblPos val="nextTo"/>
        <c:txPr>
          <a:bodyPr rot="0" vert="horz"/>
          <a:lstStyle/>
          <a:p>
            <a:pPr>
              <a:defRPr/>
            </a:pPr>
            <a:endParaRPr lang="es-ES"/>
          </a:p>
        </c:txPr>
        <c:crossAx val="295708928"/>
        <c:crosses val="autoZero"/>
        <c:auto val="1"/>
        <c:lblAlgn val="ctr"/>
        <c:lblOffset val="100"/>
        <c:tickLblSkip val="1"/>
        <c:tickMarkSkip val="1"/>
        <c:noMultiLvlLbl val="0"/>
      </c:catAx>
      <c:valAx>
        <c:axId val="295708928"/>
        <c:scaling>
          <c:orientation val="minMax"/>
        </c:scaling>
        <c:delete val="0"/>
        <c:axPos val="l"/>
        <c:majorGridlines/>
        <c:numFmt formatCode="#,##0" sourceLinked="0"/>
        <c:majorTickMark val="none"/>
        <c:minorTickMark val="none"/>
        <c:tickLblPos val="nextTo"/>
        <c:txPr>
          <a:bodyPr rot="0" vert="horz"/>
          <a:lstStyle/>
          <a:p>
            <a:pPr>
              <a:defRPr/>
            </a:pPr>
            <a:endParaRPr lang="es-ES"/>
          </a:p>
        </c:txPr>
        <c:crossAx val="296216576"/>
        <c:crosses val="autoZero"/>
        <c:crossBetween val="between"/>
      </c:valAx>
    </c:plotArea>
    <c:plotVisOnly val="1"/>
    <c:dispBlanksAs val="zero"/>
    <c:showDLblsOverMax val="0"/>
  </c:chart>
  <c:txPr>
    <a:bodyPr/>
    <a:lstStyle/>
    <a:p>
      <a:pPr>
        <a:defRPr sz="800" b="1" i="0" baseline="0">
          <a:latin typeface="Verdana" panose="020B0604030504040204" pitchFamily="34" charset="0"/>
        </a:defRPr>
      </a:pPr>
      <a:endParaRPr lang="es-E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resueltos en la Jurisdicción Civil</a:t>
            </a:r>
          </a:p>
        </c:rich>
      </c:tx>
      <c:layout/>
      <c:overlay val="0"/>
    </c:title>
    <c:autoTitleDeleted val="0"/>
    <c:plotArea>
      <c:layout/>
      <c:lineChart>
        <c:grouping val="stacked"/>
        <c:varyColors val="0"/>
        <c:ser>
          <c:idx val="0"/>
          <c:order val="0"/>
          <c:dLbls>
            <c:dLbl>
              <c:idx val="0"/>
              <c:layout>
                <c:manualLayout>
                  <c:x val="-4.3758043758043756E-2"/>
                  <c:y val="6.0150375939849621E-2"/>
                </c:manualLayout>
              </c:layout>
              <c:showLegendKey val="0"/>
              <c:showVal val="1"/>
              <c:showCatName val="0"/>
              <c:showSerName val="0"/>
              <c:showPercent val="0"/>
              <c:showBubbleSize val="0"/>
            </c:dLbl>
            <c:dLbl>
              <c:idx val="1"/>
              <c:layout>
                <c:manualLayout>
                  <c:x val="-0.11325611325611326"/>
                  <c:y val="-7.0175438596491321E-2"/>
                </c:manualLayout>
              </c:layout>
              <c:showLegendKey val="0"/>
              <c:showVal val="1"/>
              <c:showCatName val="0"/>
              <c:showSerName val="0"/>
              <c:showPercent val="0"/>
              <c:showBubbleSize val="0"/>
            </c:dLbl>
            <c:dLbl>
              <c:idx val="2"/>
              <c:layout>
                <c:manualLayout>
                  <c:x val="-2.3166023166023213E-2"/>
                  <c:y val="4.5112781954887216E-2"/>
                </c:manualLayout>
              </c:layout>
              <c:showLegendKey val="0"/>
              <c:showVal val="1"/>
              <c:showCatName val="0"/>
              <c:showSerName val="0"/>
              <c:showPercent val="0"/>
              <c:showBubbleSize val="0"/>
            </c:dLbl>
            <c:dLbl>
              <c:idx val="3"/>
              <c:layout>
                <c:manualLayout>
                  <c:x val="-0.12097832365548897"/>
                  <c:y val="-4.0100250626566414E-2"/>
                </c:manualLayout>
              </c:layout>
              <c:showLegendKey val="0"/>
              <c:showVal val="1"/>
              <c:showCatName val="0"/>
              <c:showSerName val="0"/>
              <c:showPercent val="0"/>
              <c:showBubbleSize val="0"/>
            </c:dLbl>
            <c:dLbl>
              <c:idx val="4"/>
              <c:layout>
                <c:manualLayout>
                  <c:x val="-5.4054054054054147E-2"/>
                  <c:y val="-4.5112781954887264E-2"/>
                </c:manualLayout>
              </c:layout>
              <c:showLegendKey val="0"/>
              <c:showVal val="1"/>
              <c:showCatName val="0"/>
              <c:showSerName val="0"/>
              <c:showPercent val="0"/>
              <c:showBubbleSize val="0"/>
            </c:dLbl>
            <c:dLbl>
              <c:idx val="5"/>
              <c:layout>
                <c:manualLayout>
                  <c:x val="-7.7220077220077218E-2"/>
                  <c:y val="6.0150375939849579E-2"/>
                </c:manualLayout>
              </c:layout>
              <c:showLegendKey val="0"/>
              <c:showVal val="1"/>
              <c:showCatName val="0"/>
              <c:showSerName val="0"/>
              <c:showPercent val="0"/>
              <c:showBubbleSize val="0"/>
            </c:dLbl>
            <c:dLbl>
              <c:idx val="6"/>
              <c:layout>
                <c:manualLayout>
                  <c:x val="-2.3166023166023262E-2"/>
                  <c:y val="4.5112781954887264E-2"/>
                </c:manualLayout>
              </c:layout>
              <c:showLegendKey val="0"/>
              <c:showVal val="1"/>
              <c:showCatName val="0"/>
              <c:showSerName val="0"/>
              <c:showPercent val="0"/>
              <c:showBubbleSize val="0"/>
            </c:dLbl>
            <c:dLbl>
              <c:idx val="7"/>
              <c:layout>
                <c:manualLayout>
                  <c:x val="-9.2664092664092756E-2"/>
                  <c:y val="-6.0150375939849621E-2"/>
                </c:manualLayout>
              </c:layout>
              <c:showLegendKey val="0"/>
              <c:showVal val="1"/>
              <c:showCatName val="0"/>
              <c:showSerName val="0"/>
              <c:showPercent val="0"/>
              <c:showBubbleSize val="0"/>
            </c:dLbl>
            <c:dLbl>
              <c:idx val="8"/>
              <c:layout>
                <c:manualLayout>
                  <c:x val="-7.4646074646074645E-2"/>
                  <c:y val="-4.0100645314072585E-2"/>
                </c:manualLayout>
              </c:layout>
              <c:showLegendKey val="0"/>
              <c:showVal val="1"/>
              <c:showCatName val="0"/>
              <c:showSerName val="0"/>
              <c:showPercent val="0"/>
              <c:showBubbleSize val="0"/>
            </c:dLbl>
            <c:dLbl>
              <c:idx val="9"/>
              <c:layout>
                <c:manualLayout>
                  <c:x val="-2.1461982775309175E-2"/>
                  <c:y val="-4.5113011952642654E-2"/>
                </c:manualLayout>
              </c:layout>
              <c:showLegendKey val="0"/>
              <c:showVal val="1"/>
              <c:showCatName val="0"/>
              <c:showSerName val="0"/>
              <c:showPercent val="0"/>
              <c:showBubbleSize val="0"/>
            </c:dLbl>
            <c:dLbl>
              <c:idx val="10"/>
              <c:layout>
                <c:manualLayout>
                  <c:x val="-2.5740025740025739E-3"/>
                  <c:y val="4.5112781954887264E-2"/>
                </c:manualLayout>
              </c:layout>
              <c:showLegendKey val="0"/>
              <c:showVal val="1"/>
              <c:showCatName val="0"/>
              <c:showSerName val="0"/>
              <c:showPercent val="0"/>
              <c:showBubbleSize val="0"/>
            </c:dLbl>
            <c:numFmt formatCode="#,##0" sourceLinked="0"/>
            <c:txPr>
              <a:bodyPr/>
              <a:lstStyle/>
              <a:p>
                <a:pPr>
                  <a:defRPr sz="800" b="1" i="0" baseline="0">
                    <a:latin typeface="Verdana" panose="020B0604030504040204" pitchFamily="34" charset="0"/>
                  </a:defRPr>
                </a:pPr>
                <a:endParaRPr lang="es-ES"/>
              </a:p>
            </c:txPr>
            <c:showLegendKey val="0"/>
            <c:showVal val="1"/>
            <c:showCatName val="0"/>
            <c:showSerName val="0"/>
            <c:showPercent val="0"/>
            <c:showBubbleSize val="0"/>
            <c:showLeaderLines val="0"/>
          </c:dLbls>
          <c:cat>
            <c:numRef>
              <c:f>resueltos!$Q$10:$AA$10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resueltos!$Q$11:$AA$11</c:f>
              <c:numCache>
                <c:formatCode>General</c:formatCode>
                <c:ptCount val="11"/>
                <c:pt idx="0">
                  <c:v>1401975</c:v>
                </c:pt>
                <c:pt idx="1">
                  <c:v>1485035</c:v>
                </c:pt>
                <c:pt idx="2">
                  <c:v>1746326</c:v>
                </c:pt>
                <c:pt idx="3">
                  <c:v>1901040</c:v>
                </c:pt>
                <c:pt idx="4">
                  <c:v>1899990</c:v>
                </c:pt>
                <c:pt idx="5">
                  <c:v>1873320</c:v>
                </c:pt>
                <c:pt idx="6">
                  <c:v>1814394</c:v>
                </c:pt>
                <c:pt idx="7">
                  <c:v>1858579</c:v>
                </c:pt>
                <c:pt idx="8">
                  <c:v>2071443</c:v>
                </c:pt>
                <c:pt idx="9">
                  <c:v>1906257</c:v>
                </c:pt>
                <c:pt idx="10">
                  <c:v>1873998</c:v>
                </c:pt>
              </c:numCache>
            </c:numRef>
          </c:val>
          <c:smooth val="0"/>
        </c:ser>
        <c:dLbls>
          <c:showLegendKey val="0"/>
          <c:showVal val="0"/>
          <c:showCatName val="0"/>
          <c:showSerName val="0"/>
          <c:showPercent val="0"/>
          <c:showBubbleSize val="0"/>
        </c:dLbls>
        <c:marker val="1"/>
        <c:smooth val="0"/>
        <c:axId val="296217088"/>
        <c:axId val="295710656"/>
      </c:lineChart>
      <c:catAx>
        <c:axId val="296217088"/>
        <c:scaling>
          <c:orientation val="minMax"/>
        </c:scaling>
        <c:delete val="0"/>
        <c:axPos val="b"/>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295710656"/>
        <c:crosses val="autoZero"/>
        <c:auto val="1"/>
        <c:lblAlgn val="ctr"/>
        <c:lblOffset val="100"/>
        <c:tickLblSkip val="1"/>
        <c:tickMarkSkip val="1"/>
        <c:noMultiLvlLbl val="0"/>
      </c:catAx>
      <c:valAx>
        <c:axId val="295710656"/>
        <c:scaling>
          <c:orientation val="minMax"/>
          <c:max val="2150000"/>
          <c:min val="1100000"/>
        </c:scaling>
        <c:delete val="0"/>
        <c:axPos val="l"/>
        <c:majorGridlines/>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296217088"/>
        <c:crosses val="autoZero"/>
        <c:crossBetween val="between"/>
        <c:majorUnit val="200000"/>
      </c:valAx>
    </c:plotArea>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a:ea typeface="Verdana"/>
                <a:cs typeface="Verdana"/>
              </a:defRPr>
            </a:pPr>
            <a:r>
              <a:rPr lang="es-ES"/>
              <a:t>Tasa de congestión</a:t>
            </a:r>
          </a:p>
        </c:rich>
      </c:tx>
      <c:layout>
        <c:manualLayout>
          <c:xMode val="edge"/>
          <c:yMode val="edge"/>
          <c:x val="0.36614907592509482"/>
          <c:y val="3.519061583577713E-2"/>
        </c:manualLayout>
      </c:layout>
      <c:overlay val="0"/>
      <c:spPr>
        <a:noFill/>
        <a:ln w="25400">
          <a:noFill/>
        </a:ln>
      </c:spPr>
    </c:title>
    <c:autoTitleDeleted val="0"/>
    <c:plotArea>
      <c:layout>
        <c:manualLayout>
          <c:layoutTarget val="inner"/>
          <c:xMode val="edge"/>
          <c:yMode val="edge"/>
          <c:x val="9.6718643267357629E-2"/>
          <c:y val="0.19941348973607037"/>
          <c:w val="0.69084745190969732"/>
          <c:h val="0.49266862170087977"/>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TC!$B$31:$B$48</c:f>
              <c:numCache>
                <c:formatCode>0.00</c:formatCode>
                <c:ptCount val="18"/>
                <c:pt idx="0">
                  <c:v>1.6747489890875209</c:v>
                </c:pt>
                <c:pt idx="1">
                  <c:v>1.3863392101712744</c:v>
                </c:pt>
                <c:pt idx="2">
                  <c:v>1.3393224780086095</c:v>
                </c:pt>
                <c:pt idx="3">
                  <c:v>1.5168429786351378</c:v>
                </c:pt>
                <c:pt idx="4">
                  <c:v>1.5756135661089292</c:v>
                </c:pt>
                <c:pt idx="5">
                  <c:v>1.3588419509594882</c:v>
                </c:pt>
                <c:pt idx="6">
                  <c:v>1.3885206907195904</c:v>
                </c:pt>
                <c:pt idx="7">
                  <c:v>1.704898074745187</c:v>
                </c:pt>
                <c:pt idx="8">
                  <c:v>1.5896477929414476</c:v>
                </c:pt>
                <c:pt idx="9">
                  <c:v>1.5482056493179805</c:v>
                </c:pt>
                <c:pt idx="10">
                  <c:v>1.4687162956903252</c:v>
                </c:pt>
                <c:pt idx="11">
                  <c:v>1.4628884237642892</c:v>
                </c:pt>
                <c:pt idx="12">
                  <c:v>1.485678563309843</c:v>
                </c:pt>
                <c:pt idx="13">
                  <c:v>1.5344581683236866</c:v>
                </c:pt>
                <c:pt idx="14">
                  <c:v>1.8019030060621211</c:v>
                </c:pt>
                <c:pt idx="15">
                  <c:v>1.3555626462454797</c:v>
                </c:pt>
                <c:pt idx="16">
                  <c:v>1.4353074311580536</c:v>
                </c:pt>
                <c:pt idx="17">
                  <c:v>1.4447030497592295</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1"/>
              <c:layout>
                <c:manualLayout>
                  <c:x val="6.6930493791902959E-3"/>
                  <c:y val="-3.2593653066094012E-2"/>
                </c:manualLayout>
              </c:layout>
              <c:dLblPos val="outEnd"/>
              <c:showLegendKey val="0"/>
              <c:showVal val="1"/>
              <c:showCatName val="0"/>
              <c:showSerName val="0"/>
              <c:showPercent val="0"/>
              <c:showBubbleSize val="0"/>
            </c:dLbl>
            <c:dLbl>
              <c:idx val="3"/>
              <c:layout>
                <c:manualLayout>
                  <c:x val="4.1982057942239089E-3"/>
                  <c:y val="-1.523356501258457E-2"/>
                </c:manualLayout>
              </c:layout>
              <c:dLblPos val="outEnd"/>
              <c:showLegendKey val="0"/>
              <c:showVal val="1"/>
              <c:showCatName val="0"/>
              <c:showSerName val="0"/>
              <c:showPercent val="0"/>
              <c:showBubbleSize val="0"/>
            </c:dLbl>
            <c:dLbl>
              <c:idx val="4"/>
              <c:layout>
                <c:manualLayout>
                  <c:x val="3.8145887497520099E-3"/>
                  <c:y val="-2.4971174790834459E-2"/>
                </c:manualLayout>
              </c:layout>
              <c:dLblPos val="outEnd"/>
              <c:showLegendKey val="0"/>
              <c:showVal val="1"/>
              <c:showCatName val="0"/>
              <c:showSerName val="0"/>
              <c:showPercent val="0"/>
              <c:showBubbleSize val="0"/>
            </c:dLbl>
            <c:dLbl>
              <c:idx val="6"/>
              <c:layout>
                <c:manualLayout>
                  <c:x val="-4.2217896482553343E-17"/>
                  <c:y val="-1.9550342130987327E-2"/>
                </c:manualLayout>
              </c:layout>
              <c:dLblPos val="outEnd"/>
              <c:showLegendKey val="0"/>
              <c:showVal val="1"/>
              <c:showCatName val="0"/>
              <c:showSerName val="0"/>
              <c:showPercent val="0"/>
              <c:showBubbleSize val="0"/>
            </c:dLbl>
            <c:dLbl>
              <c:idx val="7"/>
              <c:layout>
                <c:manualLayout>
                  <c:x val="4.3902284235195566E-3"/>
                  <c:y val="-1.8491544861877603E-2"/>
                </c:manualLayout>
              </c:layout>
              <c:dLblPos val="outEnd"/>
              <c:showLegendKey val="0"/>
              <c:showVal val="1"/>
              <c:showCatName val="0"/>
              <c:showSerName val="0"/>
              <c:showPercent val="0"/>
              <c:showBubbleSize val="0"/>
            </c:dLbl>
            <c:dLbl>
              <c:idx val="8"/>
              <c:layout>
                <c:manualLayout>
                  <c:x val="4.0065079889669668E-3"/>
                  <c:y val="1.3426620792635542E-3"/>
                </c:manualLayout>
              </c:layout>
              <c:dLblPos val="outEnd"/>
              <c:showLegendKey val="0"/>
              <c:showVal val="1"/>
              <c:showCatName val="0"/>
              <c:showSerName val="0"/>
              <c:showPercent val="0"/>
              <c:showBubbleSize val="0"/>
            </c:dLbl>
            <c:dLbl>
              <c:idx val="9"/>
              <c:layout>
                <c:manualLayout>
                  <c:x val="2.3028209556706968E-3"/>
                  <c:y val="1.1730205278592339E-2"/>
                </c:manualLayout>
              </c:layout>
              <c:dLblPos val="outEnd"/>
              <c:showLegendKey val="0"/>
              <c:showVal val="1"/>
              <c:showCatName val="0"/>
              <c:showSerName val="0"/>
              <c:showPercent val="0"/>
              <c:showBubbleSize val="0"/>
            </c:dLbl>
            <c:dLbl>
              <c:idx val="10"/>
              <c:layout>
                <c:manualLayout>
                  <c:x val="3.2389082936873422E-3"/>
                  <c:y val="-2.8161729050730853E-2"/>
                </c:manualLayout>
              </c:layout>
              <c:dLblPos val="outEnd"/>
              <c:showLegendKey val="0"/>
              <c:showVal val="1"/>
              <c:showCatName val="0"/>
              <c:showSerName val="0"/>
              <c:showPercent val="0"/>
              <c:showBubbleSize val="0"/>
            </c:dLbl>
            <c:dLbl>
              <c:idx val="11"/>
              <c:layout>
                <c:manualLayout>
                  <c:x val="9.7632355541049601E-3"/>
                  <c:y val="-3.0407709300267087E-2"/>
                </c:manualLayout>
              </c:layout>
              <c:dLblPos val="outEnd"/>
              <c:showLegendKey val="0"/>
              <c:showVal val="1"/>
              <c:showCatName val="0"/>
              <c:showSerName val="0"/>
              <c:showPercent val="0"/>
              <c:showBubbleSize val="0"/>
            </c:dLbl>
            <c:dLbl>
              <c:idx val="12"/>
              <c:layout>
                <c:manualLayout>
                  <c:x val="6.9082815425274757E-3"/>
                  <c:y val="-7.8204447317985187E-3"/>
                </c:manualLayout>
              </c:layout>
              <c:dLblPos val="outEnd"/>
              <c:showLegendKey val="0"/>
              <c:showVal val="1"/>
              <c:showCatName val="0"/>
              <c:showSerName val="0"/>
              <c:showPercent val="0"/>
              <c:showBubbleSize val="0"/>
            </c:dLbl>
            <c:dLbl>
              <c:idx val="13"/>
              <c:layout>
                <c:manualLayout>
                  <c:x val="-8.4435792965106686E-17"/>
                  <c:y val="-2.3460410557184785E-2"/>
                </c:manualLayout>
              </c:layout>
              <c:showLegendKey val="0"/>
              <c:showVal val="1"/>
              <c:showCatName val="0"/>
              <c:showSerName val="0"/>
              <c:showPercent val="0"/>
              <c:showBubbleSize val="0"/>
            </c:dLbl>
            <c:dLbl>
              <c:idx val="14"/>
              <c:layout>
                <c:manualLayout>
                  <c:x val="3.4308275329022436E-3"/>
                  <c:y val="2.1942565097251548E-3"/>
                </c:manualLayout>
              </c:layout>
              <c:dLblPos val="outEnd"/>
              <c:showLegendKey val="0"/>
              <c:showVal val="1"/>
              <c:showCatName val="0"/>
              <c:showSerName val="0"/>
              <c:showPercent val="0"/>
              <c:showBubbleSize val="0"/>
            </c:dLbl>
            <c:dLbl>
              <c:idx val="15"/>
              <c:layout>
                <c:manualLayout>
                  <c:x val="3.0470276852623485E-3"/>
                  <c:y val="1.1785623571247297E-3"/>
                </c:manualLayout>
              </c:layout>
              <c:dLblPos val="outEnd"/>
              <c:showLegendKey val="0"/>
              <c:showVal val="1"/>
              <c:showCatName val="0"/>
              <c:showSerName val="0"/>
              <c:showPercent val="0"/>
              <c:showBubbleSize val="0"/>
            </c:dLbl>
            <c:dLbl>
              <c:idx val="16"/>
              <c:layout>
                <c:manualLayout>
                  <c:x val="2.3028209556706968E-3"/>
                  <c:y val="-1.955065001039093E-2"/>
                </c:manualLayout>
              </c:layout>
              <c:showLegendKey val="0"/>
              <c:showVal val="1"/>
              <c:showCatName val="0"/>
              <c:showSerName val="0"/>
              <c:showPercent val="0"/>
              <c:showBubbleSize val="0"/>
            </c:dLbl>
            <c:dLbl>
              <c:idx val="17"/>
              <c:layout>
                <c:manualLayout>
                  <c:x val="4.0065466197570397E-3"/>
                  <c:y val="-5.3326252107049645E-2"/>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TC!$C$31:$C$48</c:f>
              <c:numCache>
                <c:formatCode>0.00</c:formatCode>
                <c:ptCount val="18"/>
                <c:pt idx="0">
                  <c:v>1.76</c:v>
                </c:pt>
                <c:pt idx="1">
                  <c:v>1.5</c:v>
                </c:pt>
                <c:pt idx="2">
                  <c:v>1.38</c:v>
                </c:pt>
                <c:pt idx="3">
                  <c:v>1.57</c:v>
                </c:pt>
                <c:pt idx="4">
                  <c:v>1.73</c:v>
                </c:pt>
                <c:pt idx="5">
                  <c:v>1.46</c:v>
                </c:pt>
                <c:pt idx="6">
                  <c:v>1.52</c:v>
                </c:pt>
                <c:pt idx="7">
                  <c:v>1.8</c:v>
                </c:pt>
                <c:pt idx="8">
                  <c:v>1.68</c:v>
                </c:pt>
                <c:pt idx="9">
                  <c:v>1.64</c:v>
                </c:pt>
                <c:pt idx="10">
                  <c:v>1.61</c:v>
                </c:pt>
                <c:pt idx="11">
                  <c:v>1.65</c:v>
                </c:pt>
                <c:pt idx="12">
                  <c:v>1.55</c:v>
                </c:pt>
                <c:pt idx="13">
                  <c:v>1.58</c:v>
                </c:pt>
                <c:pt idx="14">
                  <c:v>1.86</c:v>
                </c:pt>
                <c:pt idx="15">
                  <c:v>1.43</c:v>
                </c:pt>
                <c:pt idx="16">
                  <c:v>1.47</c:v>
                </c:pt>
                <c:pt idx="17">
                  <c:v>1.5</c:v>
                </c:pt>
              </c:numCache>
            </c:numRef>
          </c:val>
        </c:ser>
        <c:dLbls>
          <c:showLegendKey val="0"/>
          <c:showVal val="0"/>
          <c:showCatName val="0"/>
          <c:showSerName val="0"/>
          <c:showPercent val="0"/>
          <c:showBubbleSize val="0"/>
        </c:dLbls>
        <c:gapWidth val="150"/>
        <c:axId val="296058880"/>
        <c:axId val="295712384"/>
      </c:barChart>
      <c:lineChart>
        <c:grouping val="standard"/>
        <c:varyColors val="0"/>
        <c:ser>
          <c:idx val="2"/>
          <c:order val="2"/>
          <c:tx>
            <c:v>España 2017</c:v>
          </c:tx>
          <c:spPr>
            <a:ln w="25400">
              <a:solidFill>
                <a:srgbClr val="000000"/>
              </a:solidFill>
              <a:prstDash val="solid"/>
            </a:ln>
          </c:spPr>
          <c:marker>
            <c:symbol val="none"/>
          </c:marker>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TC!$D$31:$D$48</c:f>
              <c:numCache>
                <c:formatCode>0.00</c:formatCode>
                <c:ptCount val="18"/>
                <c:pt idx="0">
                  <c:v>1.64</c:v>
                </c:pt>
                <c:pt idx="1">
                  <c:v>1.64</c:v>
                </c:pt>
                <c:pt idx="2">
                  <c:v>1.64</c:v>
                </c:pt>
                <c:pt idx="3">
                  <c:v>1.64</c:v>
                </c:pt>
                <c:pt idx="4">
                  <c:v>1.64</c:v>
                </c:pt>
                <c:pt idx="5">
                  <c:v>1.64</c:v>
                </c:pt>
                <c:pt idx="6">
                  <c:v>1.64</c:v>
                </c:pt>
                <c:pt idx="7">
                  <c:v>1.64</c:v>
                </c:pt>
                <c:pt idx="8">
                  <c:v>1.64</c:v>
                </c:pt>
                <c:pt idx="9">
                  <c:v>1.64</c:v>
                </c:pt>
                <c:pt idx="10">
                  <c:v>1.64</c:v>
                </c:pt>
                <c:pt idx="11">
                  <c:v>1.64</c:v>
                </c:pt>
                <c:pt idx="12">
                  <c:v>1.64</c:v>
                </c:pt>
                <c:pt idx="13">
                  <c:v>1.64</c:v>
                </c:pt>
                <c:pt idx="14">
                  <c:v>1.64</c:v>
                </c:pt>
                <c:pt idx="15">
                  <c:v>1.64</c:v>
                </c:pt>
                <c:pt idx="16">
                  <c:v>1.64</c:v>
                </c:pt>
                <c:pt idx="17">
                  <c:v>1.64</c:v>
                </c:pt>
              </c:numCache>
            </c:numRef>
          </c:val>
          <c:smooth val="0"/>
        </c:ser>
        <c:dLbls>
          <c:showLegendKey val="0"/>
          <c:showVal val="0"/>
          <c:showCatName val="0"/>
          <c:showSerName val="0"/>
          <c:showPercent val="0"/>
          <c:showBubbleSize val="0"/>
        </c:dLbls>
        <c:marker val="1"/>
        <c:smooth val="0"/>
        <c:axId val="296215552"/>
        <c:axId val="295712960"/>
      </c:lineChart>
      <c:catAx>
        <c:axId val="29605888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295712384"/>
        <c:crosses val="autoZero"/>
        <c:auto val="0"/>
        <c:lblAlgn val="ctr"/>
        <c:lblOffset val="100"/>
        <c:tickLblSkip val="1"/>
        <c:tickMarkSkip val="1"/>
        <c:noMultiLvlLbl val="0"/>
      </c:catAx>
      <c:valAx>
        <c:axId val="295712384"/>
        <c:scaling>
          <c:orientation val="minMax"/>
          <c:max val="2"/>
          <c:min val="0"/>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296058880"/>
        <c:crosses val="autoZero"/>
        <c:crossBetween val="between"/>
      </c:valAx>
      <c:catAx>
        <c:axId val="296215552"/>
        <c:scaling>
          <c:orientation val="minMax"/>
        </c:scaling>
        <c:delete val="1"/>
        <c:axPos val="b"/>
        <c:majorTickMark val="out"/>
        <c:minorTickMark val="none"/>
        <c:tickLblPos val="nextTo"/>
        <c:crossAx val="295712960"/>
        <c:crosses val="autoZero"/>
        <c:auto val="0"/>
        <c:lblAlgn val="ctr"/>
        <c:lblOffset val="100"/>
        <c:noMultiLvlLbl val="0"/>
      </c:catAx>
      <c:valAx>
        <c:axId val="295712960"/>
        <c:scaling>
          <c:orientation val="minMax"/>
        </c:scaling>
        <c:delete val="1"/>
        <c:axPos val="l"/>
        <c:numFmt formatCode="0.00" sourceLinked="1"/>
        <c:majorTickMark val="out"/>
        <c:minorTickMark val="none"/>
        <c:tickLblPos val="nextTo"/>
        <c:crossAx val="296215552"/>
        <c:crosses val="autoZero"/>
        <c:crossBetween val="between"/>
      </c:valAx>
      <c:spPr>
        <a:solidFill>
          <a:srgbClr val="99CCFF"/>
        </a:solidFill>
        <a:ln w="12700">
          <a:solidFill>
            <a:srgbClr val="808080"/>
          </a:solidFill>
          <a:prstDash val="solid"/>
        </a:ln>
      </c:spPr>
    </c:plotArea>
    <c:legend>
      <c:legendPos val="r"/>
      <c:layout>
        <c:manualLayout>
          <c:xMode val="edge"/>
          <c:yMode val="edge"/>
          <c:x val="0.80656449031953903"/>
          <c:y val="0.36070381231671556"/>
          <c:w val="0.17962039719128375"/>
          <c:h val="0.23655913978494625"/>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750" b="0" i="0" u="none" strike="noStrike" baseline="0">
          <a:solidFill>
            <a:srgbClr val="000000"/>
          </a:solidFill>
          <a:latin typeface="Verdana"/>
          <a:ea typeface="Verdana"/>
          <a:cs typeface="Verdana"/>
        </a:defRPr>
      </a:pPr>
      <a:endParaRPr lang="es-E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Tasa de resolución</a:t>
            </a:r>
          </a:p>
        </c:rich>
      </c:tx>
      <c:layout>
        <c:manualLayout>
          <c:xMode val="edge"/>
          <c:yMode val="edge"/>
          <c:x val="0.37024221453287198"/>
          <c:y val="3.3742331288343558E-2"/>
        </c:manualLayout>
      </c:layout>
      <c:overlay val="0"/>
      <c:spPr>
        <a:noFill/>
        <a:ln w="25400">
          <a:noFill/>
        </a:ln>
      </c:spPr>
    </c:title>
    <c:autoTitleDeleted val="0"/>
    <c:plotArea>
      <c:layout>
        <c:manualLayout>
          <c:layoutTarget val="inner"/>
          <c:xMode val="edge"/>
          <c:yMode val="edge"/>
          <c:x val="9.6885813148788927E-2"/>
          <c:y val="0.20858895705521471"/>
          <c:w val="0.69031141868512114"/>
          <c:h val="0.46932515337423314"/>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TR!$B$30:$B$47</c:f>
              <c:numCache>
                <c:formatCode>0.00</c:formatCode>
                <c:ptCount val="18"/>
                <c:pt idx="0">
                  <c:v>1.0060873745568175</c:v>
                </c:pt>
                <c:pt idx="1">
                  <c:v>0.98524309466949034</c:v>
                </c:pt>
                <c:pt idx="2">
                  <c:v>1.0239555385205059</c:v>
                </c:pt>
                <c:pt idx="3">
                  <c:v>1.0017454182770229</c:v>
                </c:pt>
                <c:pt idx="4">
                  <c:v>0.98613597162104993</c:v>
                </c:pt>
                <c:pt idx="5">
                  <c:v>1.0533777855764168</c:v>
                </c:pt>
                <c:pt idx="6">
                  <c:v>1.0598298822261565</c:v>
                </c:pt>
                <c:pt idx="7">
                  <c:v>1.0174715888631225</c:v>
                </c:pt>
                <c:pt idx="8">
                  <c:v>0.97497953893223088</c:v>
                </c:pt>
                <c:pt idx="9">
                  <c:v>1.0203128311961924</c:v>
                </c:pt>
                <c:pt idx="10">
                  <c:v>1.1155819796864495</c:v>
                </c:pt>
                <c:pt idx="11">
                  <c:v>1.0434393193013882</c:v>
                </c:pt>
                <c:pt idx="12">
                  <c:v>1.0327578498469581</c:v>
                </c:pt>
                <c:pt idx="13">
                  <c:v>1.0803657611058306</c:v>
                </c:pt>
                <c:pt idx="14">
                  <c:v>1.0816201683919056</c:v>
                </c:pt>
                <c:pt idx="15">
                  <c:v>1.0403794037940379</c:v>
                </c:pt>
                <c:pt idx="16">
                  <c:v>0.99135540213607132</c:v>
                </c:pt>
                <c:pt idx="17">
                  <c:v>1.1216861081654295</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0"/>
              <c:layout>
                <c:manualLayout>
                  <c:x val="3.6907064817589632E-3"/>
                  <c:y val="-2.6332383298713426E-2"/>
                </c:manualLayout>
              </c:layout>
              <c:dLblPos val="outEnd"/>
              <c:showLegendKey val="0"/>
              <c:showVal val="1"/>
              <c:showCatName val="0"/>
              <c:showSerName val="0"/>
              <c:showPercent val="0"/>
              <c:showBubbleSize val="0"/>
            </c:dLbl>
            <c:dLbl>
              <c:idx val="1"/>
              <c:layout>
                <c:manualLayout>
                  <c:x val="1.2629848604564568E-2"/>
                  <c:y val="-1.0176642030175676E-2"/>
                </c:manualLayout>
              </c:layout>
              <c:dLblPos val="outEnd"/>
              <c:showLegendKey val="0"/>
              <c:showVal val="1"/>
              <c:showCatName val="0"/>
              <c:showSerName val="0"/>
              <c:showPercent val="0"/>
              <c:showBubbleSize val="0"/>
            </c:dLbl>
            <c:dLbl>
              <c:idx val="2"/>
              <c:layout>
                <c:manualLayout>
                  <c:x val="0"/>
                  <c:y val="-3.2719836400817999E-2"/>
                </c:manualLayout>
              </c:layout>
              <c:showLegendKey val="0"/>
              <c:showVal val="1"/>
              <c:showCatName val="0"/>
              <c:showSerName val="0"/>
              <c:showPercent val="0"/>
              <c:showBubbleSize val="0"/>
            </c:dLbl>
            <c:dLbl>
              <c:idx val="3"/>
              <c:layout>
                <c:manualLayout>
                  <c:x val="6.920415224913495E-3"/>
                  <c:y val="-2.8629856850715747E-2"/>
                </c:manualLayout>
              </c:layout>
              <c:dLblPos val="outEnd"/>
              <c:showLegendKey val="0"/>
              <c:showVal val="1"/>
              <c:showCatName val="0"/>
              <c:showSerName val="0"/>
              <c:showPercent val="0"/>
              <c:showBubbleSize val="0"/>
            </c:dLbl>
            <c:dLbl>
              <c:idx val="5"/>
              <c:layout>
                <c:manualLayout>
                  <c:x val="-4.2290937825948762E-17"/>
                  <c:y val="-2.8629856850715747E-2"/>
                </c:manualLayout>
              </c:layout>
              <c:showLegendKey val="0"/>
              <c:showVal val="1"/>
              <c:showCatName val="0"/>
              <c:showSerName val="0"/>
              <c:showPercent val="0"/>
              <c:showBubbleSize val="0"/>
            </c:dLbl>
            <c:dLbl>
              <c:idx val="6"/>
              <c:layout>
                <c:manualLayout>
                  <c:x val="3.6908881199538713E-3"/>
                  <c:y val="5.3011931790734722E-3"/>
                </c:manualLayout>
              </c:layout>
              <c:dLblPos val="outEnd"/>
              <c:showLegendKey val="0"/>
              <c:showVal val="1"/>
              <c:showCatName val="0"/>
              <c:showSerName val="0"/>
              <c:showPercent val="0"/>
              <c:showBubbleSize val="0"/>
            </c:dLbl>
            <c:dLbl>
              <c:idx val="7"/>
              <c:layout>
                <c:manualLayout>
                  <c:x val="5.1327321109082879E-3"/>
                  <c:y val="1.36901598956572E-2"/>
                </c:manualLayout>
              </c:layout>
              <c:dLblPos val="outEnd"/>
              <c:showLegendKey val="0"/>
              <c:showVal val="1"/>
              <c:showCatName val="0"/>
              <c:showSerName val="0"/>
              <c:showPercent val="0"/>
              <c:showBubbleSize val="0"/>
            </c:dLbl>
            <c:dLbl>
              <c:idx val="8"/>
              <c:layout>
                <c:manualLayout>
                  <c:x val="3.1141868512110805E-3"/>
                  <c:y val="-7.4418305073828961E-3"/>
                </c:manualLayout>
              </c:layout>
              <c:dLblPos val="outEnd"/>
              <c:showLegendKey val="0"/>
              <c:showVal val="1"/>
              <c:showCatName val="0"/>
              <c:showSerName val="0"/>
              <c:showPercent val="0"/>
              <c:showBubbleSize val="0"/>
            </c:dLbl>
            <c:dLbl>
              <c:idx val="9"/>
              <c:layout>
                <c:manualLayout>
                  <c:x val="2.306805074971165E-3"/>
                  <c:y val="-1.6359918200408999E-2"/>
                </c:manualLayout>
              </c:layout>
              <c:dLblPos val="outEnd"/>
              <c:showLegendKey val="0"/>
              <c:showVal val="1"/>
              <c:showCatName val="0"/>
              <c:showSerName val="0"/>
              <c:showPercent val="0"/>
              <c:showBubbleSize val="0"/>
            </c:dLbl>
            <c:dLbl>
              <c:idx val="10"/>
              <c:layout>
                <c:manualLayout>
                  <c:x val="1.9607843137254902E-3"/>
                  <c:y val="-4.6434149719015182E-2"/>
                </c:manualLayout>
              </c:layout>
              <c:dLblPos val="outEnd"/>
              <c:showLegendKey val="0"/>
              <c:showVal val="1"/>
              <c:showCatName val="0"/>
              <c:showSerName val="0"/>
              <c:showPercent val="0"/>
              <c:showBubbleSize val="0"/>
            </c:dLbl>
            <c:dLbl>
              <c:idx val="11"/>
              <c:layout>
                <c:manualLayout>
                  <c:x val="3.9793295734226993E-3"/>
                  <c:y val="2.0446355248538717E-2"/>
                </c:manualLayout>
              </c:layout>
              <c:dLblPos val="outEnd"/>
              <c:showLegendKey val="0"/>
              <c:showVal val="1"/>
              <c:showCatName val="0"/>
              <c:showSerName val="0"/>
              <c:showPercent val="0"/>
              <c:showBubbleSize val="0"/>
            </c:dLbl>
            <c:dLbl>
              <c:idx val="12"/>
              <c:layout>
                <c:manualLayout>
                  <c:x val="3.690888119953955E-3"/>
                  <c:y val="3.625911791700874E-3"/>
                </c:manualLayout>
              </c:layout>
              <c:dLblPos val="outEnd"/>
              <c:showLegendKey val="0"/>
              <c:showVal val="1"/>
              <c:showCatName val="0"/>
              <c:showSerName val="0"/>
              <c:showPercent val="0"/>
              <c:showBubbleSize val="0"/>
            </c:dLbl>
            <c:dLbl>
              <c:idx val="13"/>
              <c:layout>
                <c:manualLayout>
                  <c:x val="-2.306805074971165E-3"/>
                  <c:y val="-2.0449897750511249E-2"/>
                </c:manualLayout>
              </c:layout>
              <c:showLegendKey val="0"/>
              <c:showVal val="1"/>
              <c:showCatName val="0"/>
              <c:showSerName val="0"/>
              <c:showPercent val="0"/>
              <c:showBubbleSize val="0"/>
            </c:dLbl>
            <c:dLbl>
              <c:idx val="14"/>
              <c:layout>
                <c:manualLayout>
                  <c:x val="1.9607843137254902E-3"/>
                  <c:y val="-2.9291982673944898E-2"/>
                </c:manualLayout>
              </c:layout>
              <c:dLblPos val="outEnd"/>
              <c:showLegendKey val="0"/>
              <c:showVal val="1"/>
              <c:showCatName val="0"/>
              <c:showSerName val="0"/>
              <c:showPercent val="0"/>
              <c:showBubbleSize val="0"/>
            </c:dLbl>
            <c:dLbl>
              <c:idx val="15"/>
              <c:layout>
                <c:manualLayout>
                  <c:x val="4.556030842165406E-3"/>
                  <c:y val="1.3202260760349704E-2"/>
                </c:manualLayout>
              </c:layout>
              <c:dLblPos val="outEnd"/>
              <c:showLegendKey val="0"/>
              <c:showVal val="1"/>
              <c:showCatName val="0"/>
              <c:showSerName val="0"/>
              <c:showPercent val="0"/>
              <c:showBubbleSize val="0"/>
            </c:dLbl>
            <c:dLbl>
              <c:idx val="16"/>
              <c:layout>
                <c:manualLayout>
                  <c:x val="2.3068050749712496E-3"/>
                  <c:y val="-1.6359918200408999E-2"/>
                </c:manualLayout>
              </c:layout>
              <c:dLblPos val="outEnd"/>
              <c:showLegendKey val="0"/>
              <c:showVal val="1"/>
              <c:showCatName val="0"/>
              <c:showSerName val="0"/>
              <c:showPercent val="0"/>
              <c:showBubbleSize val="0"/>
            </c:dLbl>
            <c:dLbl>
              <c:idx val="17"/>
              <c:layout>
                <c:manualLayout>
                  <c:x val="1.6147453886603276E-2"/>
                  <c:y val="0"/>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TR!$C$30:$C$47</c:f>
              <c:numCache>
                <c:formatCode>0.00</c:formatCode>
                <c:ptCount val="18"/>
                <c:pt idx="0">
                  <c:v>0.91</c:v>
                </c:pt>
                <c:pt idx="1">
                  <c:v>0.88</c:v>
                </c:pt>
                <c:pt idx="2">
                  <c:v>0.94</c:v>
                </c:pt>
                <c:pt idx="3">
                  <c:v>0.92</c:v>
                </c:pt>
                <c:pt idx="4">
                  <c:v>0.86</c:v>
                </c:pt>
                <c:pt idx="5">
                  <c:v>0.93</c:v>
                </c:pt>
                <c:pt idx="6">
                  <c:v>0.92</c:v>
                </c:pt>
                <c:pt idx="7">
                  <c:v>0.89</c:v>
                </c:pt>
                <c:pt idx="8">
                  <c:v>0.89</c:v>
                </c:pt>
                <c:pt idx="9">
                  <c:v>0.92</c:v>
                </c:pt>
                <c:pt idx="10">
                  <c:v>0.93</c:v>
                </c:pt>
                <c:pt idx="11">
                  <c:v>0.84</c:v>
                </c:pt>
                <c:pt idx="12">
                  <c:v>0.93</c:v>
                </c:pt>
                <c:pt idx="13">
                  <c:v>0.97</c:v>
                </c:pt>
                <c:pt idx="14">
                  <c:v>0.97</c:v>
                </c:pt>
                <c:pt idx="15">
                  <c:v>0.94</c:v>
                </c:pt>
                <c:pt idx="16">
                  <c:v>0.94</c:v>
                </c:pt>
                <c:pt idx="17">
                  <c:v>0.94</c:v>
                </c:pt>
              </c:numCache>
            </c:numRef>
          </c:val>
        </c:ser>
        <c:dLbls>
          <c:showLegendKey val="0"/>
          <c:showVal val="0"/>
          <c:showCatName val="0"/>
          <c:showSerName val="0"/>
          <c:showPercent val="0"/>
          <c:showBubbleSize val="0"/>
        </c:dLbls>
        <c:gapWidth val="150"/>
        <c:axId val="296059392"/>
        <c:axId val="296501248"/>
      </c:barChart>
      <c:lineChart>
        <c:grouping val="standard"/>
        <c:varyColors val="0"/>
        <c:ser>
          <c:idx val="2"/>
          <c:order val="2"/>
          <c:tx>
            <c:v>España 2017</c:v>
          </c:tx>
          <c:spPr>
            <a:ln w="25400">
              <a:solidFill>
                <a:srgbClr val="000000"/>
              </a:solidFill>
              <a:prstDash val="solid"/>
            </a:ln>
          </c:spPr>
          <c:marker>
            <c:symbol val="none"/>
          </c:marker>
          <c:val>
            <c:numRef>
              <c:f>TR!$D$30:$D$47</c:f>
              <c:numCache>
                <c:formatCode>0.00</c:formatCode>
                <c:ptCount val="18"/>
                <c:pt idx="0">
                  <c:v>0.92</c:v>
                </c:pt>
                <c:pt idx="1">
                  <c:v>0.92</c:v>
                </c:pt>
                <c:pt idx="2">
                  <c:v>0.92</c:v>
                </c:pt>
                <c:pt idx="3">
                  <c:v>0.92</c:v>
                </c:pt>
                <c:pt idx="4">
                  <c:v>0.92</c:v>
                </c:pt>
                <c:pt idx="5">
                  <c:v>0.92</c:v>
                </c:pt>
                <c:pt idx="6">
                  <c:v>0.92</c:v>
                </c:pt>
                <c:pt idx="7">
                  <c:v>0.92</c:v>
                </c:pt>
                <c:pt idx="8">
                  <c:v>0.92</c:v>
                </c:pt>
                <c:pt idx="9">
                  <c:v>0.92</c:v>
                </c:pt>
                <c:pt idx="10">
                  <c:v>0.92</c:v>
                </c:pt>
                <c:pt idx="11">
                  <c:v>0.92</c:v>
                </c:pt>
                <c:pt idx="12">
                  <c:v>0.92</c:v>
                </c:pt>
                <c:pt idx="13">
                  <c:v>0.92</c:v>
                </c:pt>
                <c:pt idx="14">
                  <c:v>0.92</c:v>
                </c:pt>
                <c:pt idx="15">
                  <c:v>0.92</c:v>
                </c:pt>
                <c:pt idx="16">
                  <c:v>0.92</c:v>
                </c:pt>
                <c:pt idx="17">
                  <c:v>0.92</c:v>
                </c:pt>
              </c:numCache>
            </c:numRef>
          </c:val>
          <c:smooth val="0"/>
        </c:ser>
        <c:dLbls>
          <c:showLegendKey val="0"/>
          <c:showVal val="0"/>
          <c:showCatName val="0"/>
          <c:showSerName val="0"/>
          <c:showPercent val="0"/>
          <c:showBubbleSize val="0"/>
        </c:dLbls>
        <c:marker val="1"/>
        <c:smooth val="0"/>
        <c:axId val="296060928"/>
        <c:axId val="296501824"/>
      </c:lineChart>
      <c:catAx>
        <c:axId val="2960593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296501248"/>
        <c:crosses val="autoZero"/>
        <c:auto val="0"/>
        <c:lblAlgn val="ctr"/>
        <c:lblOffset val="100"/>
        <c:tickLblSkip val="1"/>
        <c:tickMarkSkip val="1"/>
        <c:noMultiLvlLbl val="0"/>
      </c:catAx>
      <c:valAx>
        <c:axId val="296501248"/>
        <c:scaling>
          <c:orientation val="minMax"/>
          <c:max val="1.2"/>
          <c:min val="0"/>
        </c:scaling>
        <c:delete val="0"/>
        <c:axPos val="l"/>
        <c:numFmt formatCode="0.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296059392"/>
        <c:crosses val="autoZero"/>
        <c:crossBetween val="between"/>
        <c:majorUnit val="0.5"/>
        <c:minorUnit val="0.5"/>
      </c:valAx>
      <c:catAx>
        <c:axId val="296060928"/>
        <c:scaling>
          <c:orientation val="minMax"/>
        </c:scaling>
        <c:delete val="1"/>
        <c:axPos val="b"/>
        <c:majorTickMark val="out"/>
        <c:minorTickMark val="none"/>
        <c:tickLblPos val="nextTo"/>
        <c:crossAx val="296501824"/>
        <c:crosses val="autoZero"/>
        <c:auto val="0"/>
        <c:lblAlgn val="ctr"/>
        <c:lblOffset val="100"/>
        <c:noMultiLvlLbl val="0"/>
      </c:catAx>
      <c:valAx>
        <c:axId val="296501824"/>
        <c:scaling>
          <c:orientation val="minMax"/>
        </c:scaling>
        <c:delete val="1"/>
        <c:axPos val="l"/>
        <c:numFmt formatCode="0.00" sourceLinked="1"/>
        <c:majorTickMark val="out"/>
        <c:minorTickMark val="none"/>
        <c:tickLblPos val="nextTo"/>
        <c:crossAx val="296060928"/>
        <c:crosses val="autoZero"/>
        <c:crossBetween val="between"/>
      </c:valAx>
      <c:spPr>
        <a:solidFill>
          <a:srgbClr val="99CCFF"/>
        </a:solidFill>
        <a:ln w="12700">
          <a:solidFill>
            <a:srgbClr val="808080"/>
          </a:solidFill>
          <a:prstDash val="solid"/>
        </a:ln>
      </c:spPr>
    </c:plotArea>
    <c:legend>
      <c:legendPos val="r"/>
      <c:layout>
        <c:manualLayout>
          <c:xMode val="edge"/>
          <c:yMode val="edge"/>
          <c:x val="0.80622837370242217"/>
          <c:y val="0.35582822085889571"/>
          <c:w val="0.17993079584775085"/>
          <c:h val="0.17791411042944788"/>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00" baseline="0"/>
          </a:pPr>
          <a:endParaRPr lang="es-ES"/>
        </a:p>
      </c:txPr>
    </c:title>
    <c:autoTitleDeleted val="0"/>
    <c:plotArea>
      <c:layout/>
      <c:lineChart>
        <c:grouping val="standard"/>
        <c:varyColors val="0"/>
        <c:ser>
          <c:idx val="0"/>
          <c:order val="0"/>
          <c:tx>
            <c:v>Concursos presentados</c:v>
          </c:tx>
          <c:spPr>
            <a:ln>
              <a:solidFill>
                <a:schemeClr val="tx2">
                  <a:lumMod val="60000"/>
                  <a:lumOff val="40000"/>
                </a:schemeClr>
              </a:solidFill>
            </a:ln>
          </c:spPr>
          <c:dLbls>
            <c:dLbl>
              <c:idx val="1"/>
              <c:layout>
                <c:manualLayout>
                  <c:x val="-7.2727272727272724E-2"/>
                  <c:y val="-3.2407407407407447E-2"/>
                </c:manualLayout>
              </c:layout>
              <c:showLegendKey val="0"/>
              <c:showVal val="1"/>
              <c:showCatName val="0"/>
              <c:showSerName val="0"/>
              <c:showPercent val="0"/>
              <c:showBubbleSize val="0"/>
            </c:dLbl>
            <c:dLbl>
              <c:idx val="2"/>
              <c:layout>
                <c:manualLayout>
                  <c:x val="-4.343426389883083E-2"/>
                  <c:y val="5.0925925925925923E-2"/>
                </c:manualLayout>
              </c:layout>
              <c:showLegendKey val="0"/>
              <c:showVal val="1"/>
              <c:showCatName val="0"/>
              <c:showSerName val="0"/>
              <c:showPercent val="0"/>
              <c:showBubbleSize val="0"/>
            </c:dLbl>
            <c:dLbl>
              <c:idx val="3"/>
              <c:layout>
                <c:manualLayout>
                  <c:x val="-3.0555555555555555E-2"/>
                  <c:y val="3.7037037037037035E-2"/>
                </c:manualLayout>
              </c:layout>
              <c:showLegendKey val="0"/>
              <c:showVal val="1"/>
              <c:showCatName val="0"/>
              <c:showSerName val="0"/>
              <c:showPercent val="0"/>
              <c:showBubbleSize val="0"/>
            </c:dLbl>
            <c:dLbl>
              <c:idx val="4"/>
              <c:layout>
                <c:manualLayout>
                  <c:x val="-0.16060606060606061"/>
                  <c:y val="9.2592592592592587E-3"/>
                </c:manualLayout>
              </c:layout>
              <c:showLegendKey val="0"/>
              <c:showVal val="1"/>
              <c:showCatName val="0"/>
              <c:showSerName val="0"/>
              <c:showPercent val="0"/>
              <c:showBubbleSize val="0"/>
            </c:dLbl>
            <c:dLbl>
              <c:idx val="5"/>
              <c:layout>
                <c:manualLayout>
                  <c:x val="-2.9797900262467193E-2"/>
                  <c:y val="-3.2407771945173518E-2"/>
                </c:manualLayout>
              </c:layout>
              <c:showLegendKey val="0"/>
              <c:showVal val="1"/>
              <c:showCatName val="0"/>
              <c:showSerName val="0"/>
              <c:showPercent val="0"/>
              <c:showBubbleSize val="0"/>
            </c:dLbl>
            <c:dLbl>
              <c:idx val="7"/>
              <c:layout>
                <c:manualLayout>
                  <c:x val="-8.1818181818181929E-2"/>
                  <c:y val="4.629629629629621E-2"/>
                </c:manualLayout>
              </c:layout>
              <c:showLegendKey val="0"/>
              <c:showVal val="1"/>
              <c:showCatName val="0"/>
              <c:showSerName val="0"/>
              <c:showPercent val="0"/>
              <c:showBubbleSize val="0"/>
            </c:dLbl>
            <c:dLbl>
              <c:idx val="8"/>
              <c:layout>
                <c:manualLayout>
                  <c:x val="-3.484848484848474E-2"/>
                  <c:y val="4.1666666666666664E-2"/>
                </c:manualLayout>
              </c:layout>
              <c:showLegendKey val="0"/>
              <c:showVal val="1"/>
              <c:showCatName val="0"/>
              <c:showSerName val="0"/>
              <c:showPercent val="0"/>
              <c:showBubbleSize val="0"/>
            </c:dLbl>
            <c:dLbl>
              <c:idx val="9"/>
              <c:layout>
                <c:manualLayout>
                  <c:x val="-5.5555555555556572E-3"/>
                  <c:y val="-4.1666666666666664E-2"/>
                </c:manualLayout>
              </c:layout>
              <c:showLegendKey val="0"/>
              <c:showVal val="1"/>
              <c:showCatName val="0"/>
              <c:showSerName val="0"/>
              <c:showPercent val="0"/>
              <c:showBubbleSize val="0"/>
            </c:dLbl>
            <c:txPr>
              <a:bodyPr/>
              <a:lstStyle/>
              <a:p>
                <a:pPr>
                  <a:defRPr baseline="0"/>
                </a:pPr>
                <a:endParaRPr lang="es-ES"/>
              </a:p>
            </c:txPr>
            <c:showLegendKey val="0"/>
            <c:showVal val="1"/>
            <c:showCatName val="0"/>
            <c:showSerName val="0"/>
            <c:showPercent val="0"/>
            <c:showBubbleSize val="0"/>
            <c:showLeaderLines val="0"/>
          </c:dLbls>
          <c:cat>
            <c:numRef>
              <c:f>'K:\Justicia Dato a Dato 2016\[concursos.xlsx]Hoja1'!$C$6:$L$6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'K:\Justicia Dato a Dato 2016\[concursos.xlsx]Hoja1'!$C$9:$L$9</c:f>
              <c:numCache>
                <c:formatCode>General</c:formatCode>
                <c:ptCount val="10"/>
                <c:pt idx="0">
                  <c:v>4813</c:v>
                </c:pt>
                <c:pt idx="1">
                  <c:v>7768</c:v>
                </c:pt>
                <c:pt idx="2">
                  <c:v>7136</c:v>
                </c:pt>
                <c:pt idx="3">
                  <c:v>8027</c:v>
                </c:pt>
                <c:pt idx="4">
                  <c:v>10290</c:v>
                </c:pt>
                <c:pt idx="5">
                  <c:v>10949</c:v>
                </c:pt>
                <c:pt idx="6">
                  <c:v>8132</c:v>
                </c:pt>
                <c:pt idx="7">
                  <c:v>6288</c:v>
                </c:pt>
                <c:pt idx="8">
                  <c:v>7040</c:v>
                </c:pt>
                <c:pt idx="9">
                  <c:v>7594</c:v>
                </c:pt>
              </c:numCache>
            </c:numRef>
          </c:val>
          <c:smooth val="0"/>
        </c:ser>
        <c:dLbls>
          <c:showLegendKey val="0"/>
          <c:showVal val="0"/>
          <c:showCatName val="0"/>
          <c:showSerName val="0"/>
          <c:showPercent val="0"/>
          <c:showBubbleSize val="0"/>
        </c:dLbls>
        <c:marker val="1"/>
        <c:smooth val="0"/>
        <c:axId val="296061440"/>
        <c:axId val="296504128"/>
      </c:lineChart>
      <c:catAx>
        <c:axId val="296061440"/>
        <c:scaling>
          <c:orientation val="minMax"/>
        </c:scaling>
        <c:delete val="0"/>
        <c:axPos val="b"/>
        <c:numFmt formatCode="General" sourceLinked="1"/>
        <c:majorTickMark val="out"/>
        <c:minorTickMark val="none"/>
        <c:tickLblPos val="nextTo"/>
        <c:crossAx val="296504128"/>
        <c:crosses val="autoZero"/>
        <c:auto val="1"/>
        <c:lblAlgn val="ctr"/>
        <c:lblOffset val="100"/>
        <c:noMultiLvlLbl val="0"/>
      </c:catAx>
      <c:valAx>
        <c:axId val="296504128"/>
        <c:scaling>
          <c:orientation val="minMax"/>
        </c:scaling>
        <c:delete val="0"/>
        <c:axPos val="l"/>
        <c:majorGridlines/>
        <c:numFmt formatCode="General" sourceLinked="1"/>
        <c:majorTickMark val="out"/>
        <c:minorTickMark val="none"/>
        <c:tickLblPos val="nextTo"/>
        <c:crossAx val="296061440"/>
        <c:crosses val="autoZero"/>
        <c:crossBetween val="between"/>
      </c:valAx>
      <c:spPr>
        <a:noFill/>
      </c:spPr>
    </c:plotArea>
    <c:plotVisOnly val="1"/>
    <c:dispBlanksAs val="gap"/>
    <c:showDLblsOverMax val="0"/>
  </c:chart>
  <c:txPr>
    <a:bodyPr/>
    <a:lstStyle/>
    <a:p>
      <a:pPr>
        <a:defRPr sz="800" b="1" i="0" baseline="0">
          <a:latin typeface="Verdana" panose="020B0604030504040204" pitchFamily="34" charset="0"/>
        </a:defRPr>
      </a:pPr>
      <a:endParaRPr lang="es-E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panose="020B0604030504040204" pitchFamily="34" charset="0"/>
                <a:ea typeface="Arial"/>
                <a:cs typeface="Arial"/>
              </a:defRPr>
            </a:pPr>
            <a:r>
              <a:rPr lang="en-US" sz="1000" baseline="0">
                <a:latin typeface="Verdana" panose="020B0604030504040204" pitchFamily="34" charset="0"/>
              </a:rPr>
              <a:t>Ejecuciones hipotecarias ingresadas </a:t>
            </a:r>
          </a:p>
        </c:rich>
      </c:tx>
      <c:layout>
        <c:manualLayout>
          <c:xMode val="edge"/>
          <c:yMode val="edge"/>
          <c:x val="0.30919794711459903"/>
          <c:y val="3.4482855386963975E-2"/>
        </c:manualLayout>
      </c:layout>
      <c:overlay val="0"/>
      <c:spPr>
        <a:noFill/>
        <a:ln w="25400">
          <a:noFill/>
        </a:ln>
      </c:spPr>
    </c:title>
    <c:autoTitleDeleted val="0"/>
    <c:plotArea>
      <c:layout>
        <c:manualLayout>
          <c:layoutTarget val="inner"/>
          <c:xMode val="edge"/>
          <c:yMode val="edge"/>
          <c:x val="0.13829529057644305"/>
          <c:y val="0.15717615298087739"/>
          <c:w val="0.8473589310165911"/>
          <c:h val="0.70977210671500857"/>
        </c:manualLayout>
      </c:layout>
      <c:lineChart>
        <c:grouping val="stacked"/>
        <c:varyColors val="0"/>
        <c:ser>
          <c:idx val="0"/>
          <c:order val="0"/>
          <c:tx>
            <c:v>Ejecuciones hipotecarias ingresadas</c:v>
          </c:tx>
          <c:spPr>
            <a:ln w="44450">
              <a:solidFill>
                <a:schemeClr val="tx2">
                  <a:lumMod val="60000"/>
                  <a:lumOff val="40000"/>
                </a:schemeClr>
              </a:solidFill>
              <a:prstDash val="solid"/>
            </a:ln>
          </c:spPr>
          <c:marker>
            <c:symbol val="diamond"/>
            <c:size val="7"/>
            <c:spPr>
              <a:solidFill>
                <a:schemeClr val="tx2">
                  <a:lumMod val="40000"/>
                  <a:lumOff val="60000"/>
                </a:schemeClr>
              </a:solidFill>
              <a:ln>
                <a:solidFill>
                  <a:srgbClr val="000080"/>
                </a:solidFill>
                <a:prstDash val="solid"/>
              </a:ln>
            </c:spPr>
          </c:marker>
          <c:dLbls>
            <c:dLbl>
              <c:idx val="0"/>
              <c:layout>
                <c:manualLayout>
                  <c:x val="-2.6288442225682971E-2"/>
                  <c:y val="2.1321634795650544E-2"/>
                </c:manualLayout>
              </c:layout>
              <c:dLblPos val="r"/>
              <c:showLegendKey val="0"/>
              <c:showVal val="1"/>
              <c:showCatName val="0"/>
              <c:showSerName val="0"/>
              <c:showPercent val="0"/>
              <c:showBubbleSize val="0"/>
            </c:dLbl>
            <c:dLbl>
              <c:idx val="1"/>
              <c:layout>
                <c:manualLayout>
                  <c:x val="-1.7252002464571779E-2"/>
                  <c:y val="-6.3400074990626176E-3"/>
                </c:manualLayout>
              </c:layout>
              <c:showLegendKey val="0"/>
              <c:showVal val="1"/>
              <c:showCatName val="0"/>
              <c:showSerName val="0"/>
              <c:showPercent val="0"/>
              <c:showBubbleSize val="0"/>
            </c:dLbl>
            <c:dLbl>
              <c:idx val="2"/>
              <c:layout>
                <c:manualLayout>
                  <c:x val="-0.12757884931666352"/>
                  <c:y val="2.6666666666666668E-2"/>
                </c:manualLayout>
              </c:layout>
              <c:showLegendKey val="0"/>
              <c:showVal val="1"/>
              <c:showCatName val="0"/>
              <c:showSerName val="0"/>
              <c:showPercent val="0"/>
              <c:showBubbleSize val="0"/>
            </c:dLbl>
            <c:dLbl>
              <c:idx val="3"/>
              <c:layout>
                <c:manualLayout>
                  <c:x val="-2.910368181796134E-2"/>
                  <c:y val="-3.406074240719912E-2"/>
                </c:manualLayout>
              </c:layout>
              <c:dLblPos val="r"/>
              <c:showLegendKey val="0"/>
              <c:showVal val="1"/>
              <c:showCatName val="0"/>
              <c:showSerName val="0"/>
              <c:showPercent val="0"/>
              <c:showBubbleSize val="0"/>
            </c:dLbl>
            <c:dLbl>
              <c:idx val="4"/>
              <c:layout>
                <c:manualLayout>
                  <c:x val="-0.11125639794101523"/>
                  <c:y val="3.6697112860892389E-2"/>
                </c:manualLayout>
              </c:layout>
              <c:dLblPos val="r"/>
              <c:showLegendKey val="0"/>
              <c:showVal val="1"/>
              <c:showCatName val="0"/>
              <c:showSerName val="0"/>
              <c:showPercent val="0"/>
              <c:showBubbleSize val="0"/>
            </c:dLbl>
            <c:dLbl>
              <c:idx val="5"/>
              <c:layout>
                <c:manualLayout>
                  <c:x val="-3.0835674191373029E-2"/>
                  <c:y val="-3.1151406074240721E-2"/>
                </c:manualLayout>
              </c:layout>
              <c:dLblPos val="r"/>
              <c:showLegendKey val="0"/>
              <c:showVal val="1"/>
              <c:showCatName val="0"/>
              <c:showSerName val="0"/>
              <c:showPercent val="0"/>
              <c:showBubbleSize val="0"/>
            </c:dLbl>
            <c:dLbl>
              <c:idx val="6"/>
              <c:layout>
                <c:manualLayout>
                  <c:x val="-7.302273907074E-2"/>
                  <c:y val="3.5653543307086616E-2"/>
                </c:manualLayout>
              </c:layout>
              <c:dLblPos val="r"/>
              <c:showLegendKey val="0"/>
              <c:showVal val="1"/>
              <c:showCatName val="0"/>
              <c:showSerName val="0"/>
              <c:showPercent val="0"/>
              <c:showBubbleSize val="0"/>
            </c:dLbl>
            <c:dLbl>
              <c:idx val="7"/>
              <c:layout>
                <c:manualLayout>
                  <c:x val="-7.9588591167324044E-2"/>
                  <c:y val="-3.8287214098237723E-2"/>
                </c:manualLayout>
              </c:layout>
              <c:dLblPos val="r"/>
              <c:showLegendKey val="0"/>
              <c:showVal val="1"/>
              <c:showCatName val="0"/>
              <c:showSerName val="0"/>
              <c:showPercent val="0"/>
              <c:showBubbleSize val="0"/>
            </c:dLbl>
            <c:dLbl>
              <c:idx val="8"/>
              <c:layout>
                <c:manualLayout>
                  <c:x val="-3.0530804721498536E-2"/>
                  <c:y val="-2.9960554930633671E-2"/>
                </c:manualLayout>
              </c:layout>
              <c:dLblPos val="r"/>
              <c:showLegendKey val="0"/>
              <c:showVal val="1"/>
              <c:showCatName val="0"/>
              <c:showSerName val="0"/>
              <c:showPercent val="0"/>
              <c:showBubbleSize val="0"/>
            </c:dLbl>
            <c:dLbl>
              <c:idx val="9"/>
              <c:layout>
                <c:manualLayout>
                  <c:x val="-0.10535054652364396"/>
                  <c:y val="9.1065616797900255E-3"/>
                </c:manualLayout>
              </c:layout>
              <c:dLblPos val="r"/>
              <c:showLegendKey val="0"/>
              <c:showVal val="1"/>
              <c:showCatName val="0"/>
              <c:showSerName val="0"/>
              <c:showPercent val="0"/>
              <c:showBubbleSize val="0"/>
            </c:dLbl>
            <c:dLbl>
              <c:idx val="10"/>
              <c:layout>
                <c:manualLayout>
                  <c:x val="-1.120545698885606E-2"/>
                  <c:y val="6.7226996625421823E-2"/>
                </c:manualLayout>
              </c:layout>
              <c:dLblPos val="r"/>
              <c:showLegendKey val="0"/>
              <c:showVal val="1"/>
              <c:showCatName val="0"/>
              <c:showSerName val="0"/>
              <c:showPercent val="0"/>
              <c:showBubbleSize val="0"/>
            </c:dLbl>
            <c:dLbl>
              <c:idx val="11"/>
              <c:layout>
                <c:manualLayout>
                  <c:x val="-1.5078647192366805E-2"/>
                  <c:y val="-3.7031299090568695E-2"/>
                </c:manualLayout>
              </c:layout>
              <c:dLblPos val="r"/>
              <c:showLegendKey val="0"/>
              <c:showVal val="1"/>
              <c:showCatName val="0"/>
              <c:showSerName val="0"/>
              <c:showPercent val="0"/>
              <c:showBubbleSize val="0"/>
            </c:dLbl>
            <c:dLbl>
              <c:idx val="12"/>
              <c:layout>
                <c:manualLayout>
                  <c:x val="-1.0631785217881556E-2"/>
                  <c:y val="6.3645938199679744E-2"/>
                </c:manualLayout>
              </c:layout>
              <c:dLblPos val="r"/>
              <c:showLegendKey val="0"/>
              <c:showVal val="1"/>
              <c:showCatName val="0"/>
              <c:showSerName val="0"/>
              <c:showPercent val="0"/>
              <c:showBubbleSize val="0"/>
            </c:dLbl>
            <c:numFmt formatCode="#,##0" sourceLinked="0"/>
            <c:spPr>
              <a:noFill/>
              <a:ln w="25400">
                <a:noFill/>
              </a:ln>
            </c:spPr>
            <c:txPr>
              <a:bodyPr/>
              <a:lstStyle/>
              <a:p>
                <a:pPr>
                  <a:defRPr sz="700" b="1" i="0" u="none" strike="noStrike" baseline="0">
                    <a:solidFill>
                      <a:srgbClr val="000000"/>
                    </a:solidFill>
                    <a:latin typeface="Verdana" panose="020B0604030504040204" pitchFamily="34" charset="0"/>
                    <a:ea typeface="Arial"/>
                    <a:cs typeface="Arial"/>
                  </a:defRPr>
                </a:pPr>
                <a:endParaRPr lang="es-ES"/>
              </a:p>
            </c:txPr>
            <c:showLegendKey val="0"/>
            <c:showVal val="1"/>
            <c:showCatName val="0"/>
            <c:showSerName val="0"/>
            <c:showPercent val="0"/>
            <c:showBubbleSize val="0"/>
            <c:showLeaderLines val="0"/>
          </c:dLbls>
          <c:cat>
            <c:numRef>
              <c:f>'Ej. hipotecarias'!$B$7:$L$7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'Ej. hipotecarias'!$B$8:$L$8</c:f>
              <c:numCache>
                <c:formatCode>#,##0</c:formatCode>
                <c:ptCount val="11"/>
                <c:pt idx="0">
                  <c:v>25943</c:v>
                </c:pt>
                <c:pt idx="1">
                  <c:v>58686</c:v>
                </c:pt>
                <c:pt idx="2">
                  <c:v>93319</c:v>
                </c:pt>
                <c:pt idx="3">
                  <c:v>93636</c:v>
                </c:pt>
                <c:pt idx="4">
                  <c:v>77854</c:v>
                </c:pt>
                <c:pt idx="5">
                  <c:v>91622</c:v>
                </c:pt>
                <c:pt idx="6">
                  <c:v>82688</c:v>
                </c:pt>
                <c:pt idx="7">
                  <c:v>80785</c:v>
                </c:pt>
                <c:pt idx="8">
                  <c:v>68165</c:v>
                </c:pt>
                <c:pt idx="9">
                  <c:v>48410</c:v>
                </c:pt>
                <c:pt idx="10">
                  <c:v>30094</c:v>
                </c:pt>
              </c:numCache>
            </c:numRef>
          </c:val>
          <c:smooth val="0"/>
        </c:ser>
        <c:dLbls>
          <c:showLegendKey val="0"/>
          <c:showVal val="0"/>
          <c:showCatName val="0"/>
          <c:showSerName val="0"/>
          <c:showPercent val="0"/>
          <c:showBubbleSize val="0"/>
        </c:dLbls>
        <c:marker val="1"/>
        <c:smooth val="0"/>
        <c:axId val="296061952"/>
        <c:axId val="296505280"/>
      </c:lineChart>
      <c:catAx>
        <c:axId val="29606195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296505280"/>
        <c:crosses val="autoZero"/>
        <c:auto val="1"/>
        <c:lblAlgn val="ctr"/>
        <c:lblOffset val="100"/>
        <c:tickLblSkip val="1"/>
        <c:tickMarkSkip val="1"/>
        <c:noMultiLvlLbl val="0"/>
      </c:catAx>
      <c:valAx>
        <c:axId val="296505280"/>
        <c:scaling>
          <c:orientation val="minMax"/>
          <c:max val="100000"/>
          <c:min val="2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296061952"/>
        <c:crosses val="autoZero"/>
        <c:crossBetween val="between"/>
        <c:majorUnit val="20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s-ES" sz="1100"/>
              <a:t>Tasa de litigiosidad</a:t>
            </a:r>
          </a:p>
        </c:rich>
      </c:tx>
      <c:layout>
        <c:manualLayout>
          <c:xMode val="edge"/>
          <c:yMode val="edge"/>
          <c:x val="0.38240228270221416"/>
          <c:y val="7.7921817980633329E-2"/>
        </c:manualLayout>
      </c:layout>
      <c:overlay val="0"/>
      <c:spPr>
        <a:noFill/>
        <a:ln w="25400">
          <a:noFill/>
        </a:ln>
      </c:spPr>
    </c:title>
    <c:autoTitleDeleted val="0"/>
    <c:plotArea>
      <c:layout>
        <c:manualLayout>
          <c:layoutTarget val="inner"/>
          <c:xMode val="edge"/>
          <c:yMode val="edge"/>
          <c:x val="0.14734774066797643"/>
          <c:y val="0.24221494210731731"/>
          <c:w val="0.79371320286209035"/>
          <c:h val="0.63996512017414231"/>
        </c:manualLayout>
      </c:layout>
      <c:lineChart>
        <c:grouping val="stacked"/>
        <c:varyColors val="0"/>
        <c:ser>
          <c:idx val="0"/>
          <c:order val="0"/>
          <c:spPr>
            <a:ln w="44450">
              <a:solidFill>
                <a:schemeClr val="tx2">
                  <a:lumMod val="60000"/>
                  <a:lumOff val="40000"/>
                </a:schemeClr>
              </a:solidFill>
              <a:prstDash val="solid"/>
            </a:ln>
          </c:spPr>
          <c:marker>
            <c:symbol val="diamond"/>
            <c:size val="7"/>
            <c:spPr>
              <a:solidFill>
                <a:schemeClr val="tx2">
                  <a:lumMod val="40000"/>
                  <a:lumOff val="60000"/>
                </a:schemeClr>
              </a:solidFill>
              <a:ln>
                <a:solidFill>
                  <a:srgbClr val="000080"/>
                </a:solidFill>
                <a:prstDash val="solid"/>
              </a:ln>
            </c:spPr>
          </c:marker>
          <c:dLbls>
            <c:dLbl>
              <c:idx val="0"/>
              <c:layout>
                <c:manualLayout>
                  <c:x val="-1.3171932346630945E-2"/>
                  <c:y val="3.5394941518888771E-2"/>
                </c:manualLayout>
              </c:layout>
              <c:dLblPos val="r"/>
              <c:showLegendKey val="0"/>
              <c:showVal val="1"/>
              <c:showCatName val="0"/>
              <c:showSerName val="0"/>
              <c:showPercent val="0"/>
              <c:showBubbleSize val="0"/>
            </c:dLbl>
            <c:dLbl>
              <c:idx val="1"/>
              <c:layout>
                <c:manualLayout>
                  <c:x val="-8.7128216856710346E-3"/>
                  <c:y val="3.7178963794242258E-2"/>
                </c:manualLayout>
              </c:layout>
              <c:dLblPos val="r"/>
              <c:showLegendKey val="0"/>
              <c:showVal val="1"/>
              <c:showCatName val="0"/>
              <c:showSerName val="0"/>
              <c:showPercent val="0"/>
              <c:showBubbleSize val="0"/>
            </c:dLbl>
            <c:dLbl>
              <c:idx val="2"/>
              <c:layout>
                <c:manualLayout>
                  <c:x val="-7.9070582982106494E-2"/>
                  <c:y val="-3.3524059564591313E-2"/>
                </c:manualLayout>
              </c:layout>
              <c:dLblPos val="r"/>
              <c:showLegendKey val="0"/>
              <c:showVal val="1"/>
              <c:showCatName val="0"/>
              <c:showSerName val="0"/>
              <c:showPercent val="0"/>
              <c:showBubbleSize val="0"/>
            </c:dLbl>
            <c:dLbl>
              <c:idx val="3"/>
              <c:layout>
                <c:manualLayout>
                  <c:x val="-6.332690778797874E-2"/>
                  <c:y val="-3.8367053141884572E-2"/>
                </c:manualLayout>
              </c:layout>
              <c:dLblPos val="r"/>
              <c:showLegendKey val="0"/>
              <c:showVal val="1"/>
              <c:showCatName val="0"/>
              <c:showSerName val="0"/>
              <c:showPercent val="0"/>
              <c:showBubbleSize val="0"/>
            </c:dLbl>
            <c:dLbl>
              <c:idx val="4"/>
              <c:layout>
                <c:manualLayout>
                  <c:x val="-4.8143670837825767E-2"/>
                  <c:y val="-4.5772407248024789E-2"/>
                </c:manualLayout>
              </c:layout>
              <c:dLblPos val="r"/>
              <c:showLegendKey val="0"/>
              <c:showVal val="1"/>
              <c:showCatName val="0"/>
              <c:showSerName val="0"/>
              <c:showPercent val="0"/>
              <c:showBubbleSize val="0"/>
            </c:dLbl>
            <c:dLbl>
              <c:idx val="5"/>
              <c:layout>
                <c:manualLayout>
                  <c:x val="-1.7154245760773679E-2"/>
                  <c:y val="-4.5491435069179957E-2"/>
                </c:manualLayout>
              </c:layout>
              <c:dLblPos val="r"/>
              <c:showLegendKey val="0"/>
              <c:showVal val="1"/>
              <c:showCatName val="0"/>
              <c:showSerName val="0"/>
              <c:showPercent val="0"/>
              <c:showBubbleSize val="0"/>
            </c:dLbl>
            <c:dLbl>
              <c:idx val="6"/>
              <c:layout>
                <c:manualLayout>
                  <c:x val="-8.4291610851548127E-2"/>
                  <c:y val="5.1913764200141314E-2"/>
                </c:manualLayout>
              </c:layout>
              <c:dLblPos val="r"/>
              <c:showLegendKey val="0"/>
              <c:showVal val="1"/>
              <c:showCatName val="0"/>
              <c:showSerName val="0"/>
              <c:showPercent val="0"/>
              <c:showBubbleSize val="0"/>
            </c:dLbl>
            <c:dLbl>
              <c:idx val="7"/>
              <c:layout>
                <c:manualLayout>
                  <c:x val="-5.7595321331721502E-2"/>
                  <c:y val="-6.5284867646620087E-2"/>
                </c:manualLayout>
              </c:layout>
              <c:dLblPos val="r"/>
              <c:showLegendKey val="0"/>
              <c:showVal val="1"/>
              <c:showCatName val="0"/>
              <c:showSerName val="0"/>
              <c:showPercent val="0"/>
              <c:showBubbleSize val="0"/>
            </c:dLbl>
            <c:dLbl>
              <c:idx val="8"/>
              <c:layout>
                <c:manualLayout>
                  <c:x val="-3.1103778002853379E-2"/>
                  <c:y val="-5.0082157926757652E-2"/>
                </c:manualLayout>
              </c:layout>
              <c:dLblPos val="r"/>
              <c:showLegendKey val="0"/>
              <c:showVal val="1"/>
              <c:showCatName val="0"/>
              <c:showSerName val="0"/>
              <c:showPercent val="0"/>
              <c:showBubbleSize val="0"/>
            </c:dLbl>
            <c:dLbl>
              <c:idx val="9"/>
              <c:layout>
                <c:manualLayout>
                  <c:x val="-0.1098221539734919"/>
                  <c:y val="-2.180593357349405E-2"/>
                </c:manualLayout>
              </c:layout>
              <c:dLblPos val="r"/>
              <c:showLegendKey val="0"/>
              <c:showVal val="1"/>
              <c:showCatName val="0"/>
              <c:showSerName val="0"/>
              <c:showPercent val="0"/>
              <c:showBubbleSize val="0"/>
            </c:dLbl>
            <c:dLbl>
              <c:idx val="10"/>
              <c:layout>
                <c:manualLayout>
                  <c:x val="-1.4188976377952654E-2"/>
                  <c:y val="-3.7928670680870774E-2"/>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numFmt formatCode="#,##0.0" sourceLinked="0"/>
            <c:spPr>
              <a:noFill/>
              <a:ln w="25400">
                <a:noFill/>
              </a:ln>
            </c:spPr>
            <c:txPr>
              <a:bodyPr/>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'tasa litigiosidad'!$M$21:$W$21</c:f>
              <c:numCache>
                <c:formatCode>#,##0.0</c:formatCode>
                <c:ptCount val="11"/>
                <c:pt idx="0">
                  <c:v>185.00997008079759</c:v>
                </c:pt>
                <c:pt idx="1">
                  <c:v>195.95801119038936</c:v>
                </c:pt>
                <c:pt idx="2">
                  <c:v>204.66605700057761</c:v>
                </c:pt>
                <c:pt idx="3">
                  <c:v>198.96471432113006</c:v>
                </c:pt>
                <c:pt idx="4">
                  <c:v>191.59456545622442</c:v>
                </c:pt>
                <c:pt idx="5">
                  <c:v>189.83563022876751</c:v>
                </c:pt>
                <c:pt idx="6">
                  <c:v>183.23903591917662</c:v>
                </c:pt>
                <c:pt idx="7">
                  <c:v>185.00987602643252</c:v>
                </c:pt>
                <c:pt idx="8">
                  <c:v>179.65840276445917</c:v>
                </c:pt>
                <c:pt idx="9">
                  <c:v>124.84706921028946</c:v>
                </c:pt>
                <c:pt idx="10">
                  <c:v>126.12025148429967</c:v>
                </c:pt>
              </c:numCache>
            </c:numRef>
          </c:val>
          <c:smooth val="0"/>
        </c:ser>
        <c:dLbls>
          <c:showLegendKey val="0"/>
          <c:showVal val="0"/>
          <c:showCatName val="0"/>
          <c:showSerName val="0"/>
          <c:showPercent val="0"/>
          <c:showBubbleSize val="0"/>
        </c:dLbls>
        <c:marker val="1"/>
        <c:smooth val="0"/>
        <c:axId val="149651456"/>
        <c:axId val="245266048"/>
      </c:lineChart>
      <c:catAx>
        <c:axId val="149651456"/>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Verdana" panose="020B0604030504040204" pitchFamily="34" charset="0"/>
                <a:ea typeface="Arial"/>
                <a:cs typeface="Arial"/>
              </a:defRPr>
            </a:pPr>
            <a:endParaRPr lang="es-ES"/>
          </a:p>
        </c:txPr>
        <c:crossAx val="245266048"/>
        <c:crosses val="autoZero"/>
        <c:auto val="1"/>
        <c:lblAlgn val="ctr"/>
        <c:lblOffset val="100"/>
        <c:tickLblSkip val="1"/>
        <c:tickMarkSkip val="1"/>
        <c:noMultiLvlLbl val="0"/>
      </c:catAx>
      <c:valAx>
        <c:axId val="245266048"/>
        <c:scaling>
          <c:orientation val="minMax"/>
          <c:max val="210"/>
          <c:min val="12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es-ES"/>
          </a:p>
        </c:txPr>
        <c:crossAx val="149651456"/>
        <c:crosses val="autoZero"/>
        <c:crossBetween val="between"/>
        <c:majorUnit val="20"/>
      </c:valAx>
      <c:spPr>
        <a:noFill/>
        <a:ln w="12700">
          <a:solidFill>
            <a:srgbClr val="666699"/>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panose="020B0604030504040204" pitchFamily="34" charset="0"/>
                <a:ea typeface="Arial"/>
                <a:cs typeface="Arial"/>
              </a:defRPr>
            </a:pPr>
            <a:r>
              <a:rPr lang="es-ES" sz="1000" baseline="0">
                <a:latin typeface="Verdana" panose="020B0604030504040204" pitchFamily="34" charset="0"/>
              </a:rPr>
              <a:t>Sentencias en la jurisdicción Civil</a:t>
            </a:r>
          </a:p>
        </c:rich>
      </c:tx>
      <c:layout>
        <c:manualLayout>
          <c:xMode val="edge"/>
          <c:yMode val="edge"/>
          <c:x val="0.34107579462102688"/>
          <c:y val="2.8409143453227564E-2"/>
        </c:manualLayout>
      </c:layout>
      <c:overlay val="0"/>
      <c:spPr>
        <a:noFill/>
        <a:ln w="25400">
          <a:noFill/>
        </a:ln>
      </c:spPr>
    </c:title>
    <c:autoTitleDeleted val="0"/>
    <c:plotArea>
      <c:layout>
        <c:manualLayout>
          <c:layoutTarget val="inner"/>
          <c:xMode val="edge"/>
          <c:yMode val="edge"/>
          <c:x val="0.15771359772688964"/>
          <c:y val="0.22941208561400955"/>
          <c:w val="0.82151589242053791"/>
          <c:h val="0.65909212811487949"/>
        </c:manualLayout>
      </c:layout>
      <c:lineChart>
        <c:grouping val="stacked"/>
        <c:varyColors val="0"/>
        <c:ser>
          <c:idx val="0"/>
          <c:order val="0"/>
          <c:spPr>
            <a:ln w="44450">
              <a:solidFill>
                <a:schemeClr val="tx2">
                  <a:lumMod val="60000"/>
                  <a:lumOff val="40000"/>
                </a:schemeClr>
              </a:solidFill>
              <a:prstDash val="solid"/>
            </a:ln>
          </c:spPr>
          <c:marker>
            <c:symbol val="diamond"/>
            <c:size val="7"/>
            <c:spPr>
              <a:solidFill>
                <a:schemeClr val="tx2">
                  <a:lumMod val="60000"/>
                  <a:lumOff val="40000"/>
                </a:schemeClr>
              </a:solidFill>
              <a:ln>
                <a:solidFill>
                  <a:srgbClr val="000080"/>
                </a:solidFill>
                <a:prstDash val="solid"/>
              </a:ln>
            </c:spPr>
          </c:marker>
          <c:dPt>
            <c:idx val="7"/>
            <c:marker>
              <c:spPr>
                <a:solidFill>
                  <a:schemeClr val="tx2">
                    <a:lumMod val="60000"/>
                    <a:lumOff val="40000"/>
                  </a:schemeClr>
                </a:solidFill>
                <a:ln>
                  <a:solidFill>
                    <a:schemeClr val="tx2">
                      <a:lumMod val="40000"/>
                      <a:lumOff val="60000"/>
                    </a:schemeClr>
                  </a:solidFill>
                  <a:prstDash val="solid"/>
                </a:ln>
              </c:spPr>
            </c:marker>
            <c:bubble3D val="0"/>
          </c:dPt>
          <c:dLbls>
            <c:dLbl>
              <c:idx val="0"/>
              <c:layout>
                <c:manualLayout>
                  <c:x val="-5.3672951431529753E-2"/>
                  <c:y val="-2.1210743576221564E-2"/>
                </c:manualLayout>
              </c:layout>
              <c:dLblPos val="r"/>
              <c:showLegendKey val="0"/>
              <c:showVal val="1"/>
              <c:showCatName val="0"/>
              <c:showSerName val="0"/>
              <c:showPercent val="0"/>
              <c:showBubbleSize val="0"/>
            </c:dLbl>
            <c:dLbl>
              <c:idx val="1"/>
              <c:layout>
                <c:manualLayout>
                  <c:x val="-4.4132437573743646E-2"/>
                  <c:y val="5.9522952240669683E-2"/>
                </c:manualLayout>
              </c:layout>
              <c:showLegendKey val="0"/>
              <c:showVal val="1"/>
              <c:showCatName val="0"/>
              <c:showSerName val="0"/>
              <c:showPercent val="0"/>
              <c:showBubbleSize val="0"/>
            </c:dLbl>
            <c:dLbl>
              <c:idx val="2"/>
              <c:layout>
                <c:manualLayout>
                  <c:x val="-3.4610446789775227E-2"/>
                  <c:y val="3.678298873148951E-2"/>
                </c:manualLayout>
              </c:layout>
              <c:showLegendKey val="0"/>
              <c:showVal val="1"/>
              <c:showCatName val="0"/>
              <c:showSerName val="0"/>
              <c:showPercent val="0"/>
              <c:showBubbleSize val="0"/>
            </c:dLbl>
            <c:dLbl>
              <c:idx val="3"/>
              <c:layout>
                <c:manualLayout>
                  <c:x val="1.6449228250138457E-3"/>
                  <c:y val="1.0651197468676692E-2"/>
                </c:manualLayout>
              </c:layout>
              <c:showLegendKey val="0"/>
              <c:showVal val="1"/>
              <c:showCatName val="0"/>
              <c:showSerName val="0"/>
              <c:showPercent val="0"/>
              <c:showBubbleSize val="0"/>
            </c:dLbl>
            <c:dLbl>
              <c:idx val="4"/>
              <c:layout>
                <c:manualLayout>
                  <c:x val="-6.1837462977678247E-2"/>
                  <c:y val="-2.5940729695162239E-2"/>
                </c:manualLayout>
              </c:layout>
              <c:dLblPos val="r"/>
              <c:showLegendKey val="0"/>
              <c:showVal val="1"/>
              <c:showCatName val="0"/>
              <c:showSerName val="0"/>
              <c:showPercent val="0"/>
              <c:showBubbleSize val="0"/>
            </c:dLbl>
            <c:dLbl>
              <c:idx val="5"/>
              <c:layout>
                <c:manualLayout>
                  <c:x val="-5.9871415155665381E-4"/>
                  <c:y val="4.9123189855309092E-3"/>
                </c:manualLayout>
              </c:layout>
              <c:dLblPos val="r"/>
              <c:showLegendKey val="0"/>
              <c:showVal val="1"/>
              <c:showCatName val="0"/>
              <c:showSerName val="0"/>
              <c:showPercent val="0"/>
              <c:showBubbleSize val="0"/>
            </c:dLbl>
            <c:dLbl>
              <c:idx val="6"/>
              <c:layout>
                <c:manualLayout>
                  <c:x val="-5.9748127814298349E-2"/>
                  <c:y val="5.4768719729895193E-2"/>
                </c:manualLayout>
              </c:layout>
              <c:dLblPos val="r"/>
              <c:showLegendKey val="0"/>
              <c:showVal val="1"/>
              <c:showCatName val="0"/>
              <c:showSerName val="0"/>
              <c:showPercent val="0"/>
              <c:showBubbleSize val="0"/>
            </c:dLbl>
            <c:dLbl>
              <c:idx val="7"/>
              <c:layout>
                <c:manualLayout>
                  <c:x val="-2.9211201810782825E-2"/>
                  <c:y val="2.0930697750540999E-2"/>
                </c:manualLayout>
              </c:layout>
              <c:dLblPos val="r"/>
              <c:showLegendKey val="0"/>
              <c:showVal val="1"/>
              <c:showCatName val="0"/>
              <c:showSerName val="0"/>
              <c:showPercent val="0"/>
              <c:showBubbleSize val="0"/>
            </c:dLbl>
            <c:dLbl>
              <c:idx val="8"/>
              <c:layout>
                <c:manualLayout>
                  <c:x val="-3.2472934400217798E-2"/>
                  <c:y val="3.4110308959647943E-2"/>
                </c:manualLayout>
              </c:layout>
              <c:dLblPos val="r"/>
              <c:showLegendKey val="0"/>
              <c:showVal val="1"/>
              <c:showCatName val="0"/>
              <c:showSerName val="0"/>
              <c:showPercent val="0"/>
              <c:showBubbleSize val="0"/>
            </c:dLbl>
            <c:dLbl>
              <c:idx val="9"/>
              <c:layout>
                <c:manualLayout>
                  <c:x val="-7.7678730525656773E-3"/>
                  <c:y val="2.8933704303128392E-2"/>
                </c:manualLayout>
              </c:layout>
              <c:dLblPos val="r"/>
              <c:showLegendKey val="0"/>
              <c:showVal val="1"/>
              <c:showCatName val="0"/>
              <c:showSerName val="0"/>
              <c:showPercent val="0"/>
              <c:showBubbleSize val="0"/>
            </c:dLbl>
            <c:dLbl>
              <c:idx val="10"/>
              <c:layout>
                <c:manualLayout>
                  <c:x val="-2.8737508728840087E-2"/>
                  <c:y val="-4.0922090281439991E-2"/>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numFmt formatCode="#,##0" sourceLinked="0"/>
            <c:spPr>
              <a:noFill/>
              <a:ln w="25400">
                <a:noFill/>
              </a:ln>
            </c:spPr>
            <c:txPr>
              <a:bodyPr/>
              <a:lstStyle/>
              <a:p>
                <a:pPr>
                  <a:defRPr sz="700" b="1" i="0" u="none" strike="noStrike" baseline="0">
                    <a:solidFill>
                      <a:srgbClr val="000000"/>
                    </a:solidFill>
                    <a:latin typeface="Verdana" panose="020B0604030504040204" pitchFamily="34" charset="0"/>
                    <a:ea typeface="Arial"/>
                    <a:cs typeface="Arial"/>
                  </a:defRPr>
                </a:pPr>
                <a:endParaRPr lang="es-ES"/>
              </a:p>
            </c:txPr>
            <c:showLegendKey val="0"/>
            <c:showVal val="1"/>
            <c:showCatName val="0"/>
            <c:showSerName val="0"/>
            <c:showPercent val="0"/>
            <c:showBubbleSize val="0"/>
            <c:showLeaderLines val="0"/>
          </c:dLbls>
          <c:cat>
            <c:numRef>
              <c:f>sentencias!$Q$2:$AA$2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sentencias!$Q$3:$AA$3</c:f>
              <c:numCache>
                <c:formatCode>#,##0</c:formatCode>
                <c:ptCount val="11"/>
                <c:pt idx="0" formatCode="General">
                  <c:v>446243</c:v>
                </c:pt>
                <c:pt idx="1">
                  <c:v>440958</c:v>
                </c:pt>
                <c:pt idx="2" formatCode="General">
                  <c:v>464415</c:v>
                </c:pt>
                <c:pt idx="3" formatCode="General">
                  <c:v>498857</c:v>
                </c:pt>
                <c:pt idx="4" formatCode="General">
                  <c:v>519773</c:v>
                </c:pt>
                <c:pt idx="5" formatCode="General">
                  <c:v>508966</c:v>
                </c:pt>
                <c:pt idx="6" formatCode="General">
                  <c:v>477705</c:v>
                </c:pt>
                <c:pt idx="7" formatCode="General">
                  <c:v>484751</c:v>
                </c:pt>
                <c:pt idx="8" formatCode="General">
                  <c:v>504580</c:v>
                </c:pt>
                <c:pt idx="9" formatCode="General">
                  <c:v>518534</c:v>
                </c:pt>
                <c:pt idx="10" formatCode="General">
                  <c:v>526551</c:v>
                </c:pt>
              </c:numCache>
            </c:numRef>
          </c:val>
          <c:smooth val="0"/>
        </c:ser>
        <c:dLbls>
          <c:showLegendKey val="0"/>
          <c:showVal val="0"/>
          <c:showCatName val="0"/>
          <c:showSerName val="0"/>
          <c:showPercent val="0"/>
          <c:showBubbleSize val="0"/>
        </c:dLbls>
        <c:marker val="1"/>
        <c:smooth val="0"/>
        <c:axId val="296062464"/>
        <c:axId val="296507008"/>
      </c:lineChart>
      <c:catAx>
        <c:axId val="296062464"/>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296507008"/>
        <c:crosses val="autoZero"/>
        <c:auto val="1"/>
        <c:lblAlgn val="ctr"/>
        <c:lblOffset val="100"/>
        <c:tickLblSkip val="1"/>
        <c:tickMarkSkip val="1"/>
        <c:noMultiLvlLbl val="0"/>
      </c:catAx>
      <c:valAx>
        <c:axId val="296507008"/>
        <c:scaling>
          <c:orientation val="minMax"/>
          <c:max val="550000"/>
          <c:min val="40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296062464"/>
        <c:crosses val="autoZero"/>
        <c:crossBetween val="between"/>
        <c:majorUnit val="50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2175" b="0" i="0" u="none" strike="noStrike" baseline="0">
          <a:solidFill>
            <a:srgbClr val="000000"/>
          </a:solidFill>
          <a:latin typeface="Arial"/>
          <a:ea typeface="Arial"/>
          <a:cs typeface="Arial"/>
        </a:defRPr>
      </a:pPr>
      <a:endParaRPr lang="es-E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Verdana" panose="020B0604030504040204" pitchFamily="34" charset="0"/>
              </a:defRPr>
            </a:pPr>
            <a:r>
              <a:rPr lang="en-US" sz="1100" b="1" i="0" baseline="0">
                <a:effectLst/>
              </a:rPr>
              <a:t>Duración media estima de los asuntos civiles terminados en primera instancia en 2017</a:t>
            </a:r>
            <a:endParaRPr lang="es-ES" sz="1100">
              <a:effectLst/>
            </a:endParaRPr>
          </a:p>
        </c:rich>
      </c:tx>
      <c:layout/>
      <c:overlay val="0"/>
    </c:title>
    <c:autoTitleDeleted val="0"/>
    <c:plotArea>
      <c:layout/>
      <c:barChart>
        <c:barDir val="col"/>
        <c:grouping val="clustered"/>
        <c:varyColors val="0"/>
        <c:ser>
          <c:idx val="1"/>
          <c:order val="0"/>
          <c:spPr>
            <a:solidFill>
              <a:schemeClr val="tx2">
                <a:lumMod val="60000"/>
                <a:lumOff val="40000"/>
              </a:schemeClr>
            </a:solidFill>
          </c:spPr>
          <c:invertIfNegative val="0"/>
          <c:dLbls>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'duraciones civiles 1ªi'!$A$6:$A$22</c:f>
              <c:strCache>
                <c:ptCount val="17"/>
                <c:pt idx="0">
                  <c:v>  Andalucía</c:v>
                </c:pt>
                <c:pt idx="1">
                  <c:v>  Aragón</c:v>
                </c:pt>
                <c:pt idx="2">
                  <c:v>  Asturias</c:v>
                </c:pt>
                <c:pt idx="3">
                  <c:v>  Illes Balears</c:v>
                </c:pt>
                <c:pt idx="4">
                  <c:v>  Canarias</c:v>
                </c:pt>
                <c:pt idx="5">
                  <c:v>  Cantabria</c:v>
                </c:pt>
                <c:pt idx="6">
                  <c:v>  Castilla y León</c:v>
                </c:pt>
                <c:pt idx="7">
                  <c:v>  Castilla-La Mancha</c:v>
                </c:pt>
                <c:pt idx="8">
                  <c:v>  Cataluña</c:v>
                </c:pt>
                <c:pt idx="9">
                  <c:v>  Comunitat Valenciana</c:v>
                </c:pt>
                <c:pt idx="10">
                  <c:v>  Extremadura</c:v>
                </c:pt>
                <c:pt idx="11">
                  <c:v>  Galicia</c:v>
                </c:pt>
                <c:pt idx="12">
                  <c:v>  Madrid</c:v>
                </c:pt>
                <c:pt idx="13">
                  <c:v>  Murcia</c:v>
                </c:pt>
                <c:pt idx="14">
                  <c:v>  Navarra</c:v>
                </c:pt>
                <c:pt idx="15">
                  <c:v>  País Vasco</c:v>
                </c:pt>
                <c:pt idx="16">
                  <c:v>  La Rioja</c:v>
                </c:pt>
              </c:strCache>
            </c:strRef>
          </c:cat>
          <c:val>
            <c:numRef>
              <c:f>'duraciones civiles 1ªi'!$B$6:$B$22</c:f>
              <c:numCache>
                <c:formatCode>0.0</c:formatCode>
                <c:ptCount val="17"/>
                <c:pt idx="0">
                  <c:v>7.7599974728698324</c:v>
                </c:pt>
                <c:pt idx="1">
                  <c:v>4.5999453455160015</c:v>
                </c:pt>
                <c:pt idx="2">
                  <c:v>4.0800814476910006</c:v>
                </c:pt>
                <c:pt idx="3">
                  <c:v>5.9003661913764054</c:v>
                </c:pt>
                <c:pt idx="4">
                  <c:v>6.7229886250752617</c:v>
                </c:pt>
                <c:pt idx="5">
                  <c:v>4.8912948444795905</c:v>
                </c:pt>
                <c:pt idx="6">
                  <c:v>5.2937685222189046</c:v>
                </c:pt>
                <c:pt idx="7">
                  <c:v>8.2942176951634394</c:v>
                </c:pt>
                <c:pt idx="8">
                  <c:v>6.5517857599240816</c:v>
                </c:pt>
                <c:pt idx="9">
                  <c:v>6.5187723221054625</c:v>
                </c:pt>
                <c:pt idx="10">
                  <c:v>5.873735352575272</c:v>
                </c:pt>
                <c:pt idx="11">
                  <c:v>5.8866973057347209</c:v>
                </c:pt>
                <c:pt idx="12">
                  <c:v>6.3091062710941905</c:v>
                </c:pt>
                <c:pt idx="13">
                  <c:v>10.229781472884969</c:v>
                </c:pt>
                <c:pt idx="14">
                  <c:v>4.0254212402552625</c:v>
                </c:pt>
                <c:pt idx="15">
                  <c:v>5.0150153658229906</c:v>
                </c:pt>
                <c:pt idx="16">
                  <c:v>5.0583365596983709</c:v>
                </c:pt>
              </c:numCache>
            </c:numRef>
          </c:val>
        </c:ser>
        <c:dLbls>
          <c:showLegendKey val="0"/>
          <c:showVal val="0"/>
          <c:showCatName val="0"/>
          <c:showSerName val="0"/>
          <c:showPercent val="0"/>
          <c:showBubbleSize val="0"/>
        </c:dLbls>
        <c:gapWidth val="150"/>
        <c:axId val="305352704"/>
        <c:axId val="296508736"/>
      </c:barChart>
      <c:catAx>
        <c:axId val="305352704"/>
        <c:scaling>
          <c:orientation val="minMax"/>
        </c:scaling>
        <c:delete val="0"/>
        <c:axPos val="b"/>
        <c:majorTickMark val="out"/>
        <c:minorTickMark val="none"/>
        <c:tickLblPos val="nextTo"/>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296508736"/>
        <c:crosses val="autoZero"/>
        <c:auto val="1"/>
        <c:lblAlgn val="ctr"/>
        <c:lblOffset val="100"/>
        <c:noMultiLvlLbl val="0"/>
      </c:catAx>
      <c:valAx>
        <c:axId val="296508736"/>
        <c:scaling>
          <c:orientation val="minMax"/>
        </c:scaling>
        <c:delete val="0"/>
        <c:axPos val="l"/>
        <c:majorGridlines/>
        <c:numFmt formatCode="0" sourceLinked="0"/>
        <c:majorTickMark val="out"/>
        <c:minorTickMark val="none"/>
        <c:tickLblPos val="nextTo"/>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5352704"/>
        <c:crosses val="autoZero"/>
        <c:crossBetween val="between"/>
      </c:valAx>
      <c:spPr>
        <a:solidFill>
          <a:schemeClr val="tx2">
            <a:lumMod val="20000"/>
            <a:lumOff val="80000"/>
          </a:schemeClr>
        </a:solidFill>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Verdana" panose="020B0604030504040204" pitchFamily="34" charset="0"/>
              </a:defRPr>
            </a:pPr>
            <a:r>
              <a:rPr lang="en-US" sz="1200" baseline="0">
                <a:latin typeface="Verdana" panose="020B0604030504040204" pitchFamily="34" charset="0"/>
              </a:rPr>
              <a:t>Duraciones estimadas de las ejecuciones hipotecarias </a:t>
            </a:r>
            <a:r>
              <a:rPr lang="en-US" sz="1100" baseline="0">
                <a:latin typeface="Verdana" panose="020B0604030504040204" pitchFamily="34" charset="0"/>
              </a:rPr>
              <a:t>terminadas</a:t>
            </a:r>
            <a:r>
              <a:rPr lang="en-US" sz="1200" baseline="0">
                <a:latin typeface="Verdana" panose="020B0604030504040204" pitchFamily="34" charset="0"/>
              </a:rPr>
              <a:t> en 2017</a:t>
            </a:r>
          </a:p>
        </c:rich>
      </c:tx>
      <c:layout/>
      <c:overlay val="0"/>
    </c:title>
    <c:autoTitleDeleted val="0"/>
    <c:plotArea>
      <c:layout/>
      <c:barChart>
        <c:barDir val="col"/>
        <c:grouping val="clustered"/>
        <c:varyColors val="0"/>
        <c:ser>
          <c:idx val="0"/>
          <c:order val="0"/>
          <c:tx>
            <c:v>Duraciones estimadas de las ejecuiones hipotecarias terminadas en 2017</c:v>
          </c:tx>
          <c:spPr>
            <a:solidFill>
              <a:schemeClr val="tx2">
                <a:lumMod val="60000"/>
                <a:lumOff val="40000"/>
              </a:schemeClr>
            </a:solidFill>
          </c:spPr>
          <c:invertIfNegative val="0"/>
          <c:dLbls>
            <c:dLbl>
              <c:idx val="1"/>
              <c:layout>
                <c:manualLayout>
                  <c:x val="2.6666666666666423E-3"/>
                  <c:y val="1.3157894736842065E-2"/>
                </c:manualLayout>
              </c:layout>
              <c:showLegendKey val="0"/>
              <c:showVal val="1"/>
              <c:showCatName val="0"/>
              <c:showSerName val="0"/>
              <c:showPercent val="0"/>
              <c:showBubbleSize val="0"/>
            </c:dLbl>
            <c:dLbl>
              <c:idx val="11"/>
              <c:layout>
                <c:manualLayout>
                  <c:x val="5.3333333333333332E-3"/>
                  <c:y val="2.6315789473684209E-2"/>
                </c:manualLayout>
              </c:layout>
              <c:showLegendKey val="0"/>
              <c:showVal val="1"/>
              <c:showCatName val="0"/>
              <c:showSerName val="0"/>
              <c:showPercent val="0"/>
              <c:showBubbleSize val="0"/>
            </c:dLbl>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'Ej. hipotecarias'!$A$32:$A$48</c:f>
              <c:strCache>
                <c:ptCount val="17"/>
                <c:pt idx="0">
                  <c:v>  Andalucía</c:v>
                </c:pt>
                <c:pt idx="1">
                  <c:v>  Aragón</c:v>
                </c:pt>
                <c:pt idx="2">
                  <c:v>  Asturias</c:v>
                </c:pt>
                <c:pt idx="3">
                  <c:v>  Illes Balears</c:v>
                </c:pt>
                <c:pt idx="4">
                  <c:v>  Canarias</c:v>
                </c:pt>
                <c:pt idx="5">
                  <c:v>  Cantabria</c:v>
                </c:pt>
                <c:pt idx="6">
                  <c:v>  Castilla y León</c:v>
                </c:pt>
                <c:pt idx="7">
                  <c:v>  Castilla-La Mancha</c:v>
                </c:pt>
                <c:pt idx="8">
                  <c:v>  Cataluña</c:v>
                </c:pt>
                <c:pt idx="9">
                  <c:v>  Comunitat Valenciana</c:v>
                </c:pt>
                <c:pt idx="10">
                  <c:v>  Extremadura</c:v>
                </c:pt>
                <c:pt idx="11">
                  <c:v>  Galicia</c:v>
                </c:pt>
                <c:pt idx="12">
                  <c:v>  Madrid</c:v>
                </c:pt>
                <c:pt idx="13">
                  <c:v>  Murcia</c:v>
                </c:pt>
                <c:pt idx="14">
                  <c:v>  Navarra</c:v>
                </c:pt>
                <c:pt idx="15">
                  <c:v>  País Vasco</c:v>
                </c:pt>
                <c:pt idx="16">
                  <c:v>  La Rioja</c:v>
                </c:pt>
              </c:strCache>
            </c:strRef>
          </c:cat>
          <c:val>
            <c:numRef>
              <c:f>'Ej. hipotecarias'!$B$32:$B$48</c:f>
              <c:numCache>
                <c:formatCode>0.0</c:formatCode>
                <c:ptCount val="17"/>
                <c:pt idx="0">
                  <c:v>31.354426456355071</c:v>
                </c:pt>
                <c:pt idx="1">
                  <c:v>29.982170443837987</c:v>
                </c:pt>
                <c:pt idx="2">
                  <c:v>25.839847220631931</c:v>
                </c:pt>
                <c:pt idx="3">
                  <c:v>29.672522516149911</c:v>
                </c:pt>
                <c:pt idx="4">
                  <c:v>34.786653185035391</c:v>
                </c:pt>
                <c:pt idx="5">
                  <c:v>22.77683461117196</c:v>
                </c:pt>
                <c:pt idx="6">
                  <c:v>31.088405032197436</c:v>
                </c:pt>
                <c:pt idx="7">
                  <c:v>39.86147809610236</c:v>
                </c:pt>
                <c:pt idx="8">
                  <c:v>35.563234809361603</c:v>
                </c:pt>
                <c:pt idx="9">
                  <c:v>29.777195508928848</c:v>
                </c:pt>
                <c:pt idx="10">
                  <c:v>35.158462575859744</c:v>
                </c:pt>
                <c:pt idx="11">
                  <c:v>35.457687195392111</c:v>
                </c:pt>
                <c:pt idx="12">
                  <c:v>39.126720898995842</c:v>
                </c:pt>
                <c:pt idx="13">
                  <c:v>33.864480651123976</c:v>
                </c:pt>
                <c:pt idx="14">
                  <c:v>25.237012987012989</c:v>
                </c:pt>
                <c:pt idx="15">
                  <c:v>21.179958584992487</c:v>
                </c:pt>
                <c:pt idx="16">
                  <c:v>25.262530933986287</c:v>
                </c:pt>
              </c:numCache>
            </c:numRef>
          </c:val>
        </c:ser>
        <c:dLbls>
          <c:showLegendKey val="0"/>
          <c:showVal val="0"/>
          <c:showCatName val="0"/>
          <c:showSerName val="0"/>
          <c:showPercent val="0"/>
          <c:showBubbleSize val="0"/>
        </c:dLbls>
        <c:gapWidth val="150"/>
        <c:axId val="305353728"/>
        <c:axId val="306463872"/>
      </c:barChart>
      <c:catAx>
        <c:axId val="305353728"/>
        <c:scaling>
          <c:orientation val="minMax"/>
        </c:scaling>
        <c:delete val="0"/>
        <c:axPos val="b"/>
        <c:majorTickMark val="out"/>
        <c:minorTickMark val="none"/>
        <c:tickLblPos val="nextTo"/>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6463872"/>
        <c:crosses val="autoZero"/>
        <c:auto val="1"/>
        <c:lblAlgn val="ctr"/>
        <c:lblOffset val="100"/>
        <c:noMultiLvlLbl val="0"/>
      </c:catAx>
      <c:valAx>
        <c:axId val="306463872"/>
        <c:scaling>
          <c:orientation val="minMax"/>
        </c:scaling>
        <c:delete val="0"/>
        <c:axPos val="l"/>
        <c:majorGridlines/>
        <c:numFmt formatCode="0" sourceLinked="0"/>
        <c:majorTickMark val="out"/>
        <c:minorTickMark val="none"/>
        <c:tickLblPos val="nextTo"/>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5353728"/>
        <c:crosses val="autoZero"/>
        <c:crossBetween val="between"/>
      </c:valAx>
      <c:spPr>
        <a:solidFill>
          <a:schemeClr val="tx2">
            <a:lumMod val="20000"/>
            <a:lumOff val="80000"/>
          </a:schemeClr>
        </a:solidFill>
      </c:spPr>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a:t>Recursos de apelación civiles devueltos a los jdos. de primera instancia y primera instancia e instrucción en 2017</a:t>
            </a:r>
          </a:p>
        </c:rich>
      </c:tx>
      <c:layout/>
      <c:overlay val="0"/>
    </c:title>
    <c:autoTitleDeleted val="0"/>
    <c:view3D>
      <c:rotX val="30"/>
      <c:rotY val="150"/>
      <c:rAngAx val="0"/>
      <c:perspective val="30"/>
    </c:view3D>
    <c:floor>
      <c:thickness val="0"/>
    </c:floor>
    <c:sideWall>
      <c:thickness val="0"/>
    </c:sideWall>
    <c:backWall>
      <c:thickness val="0"/>
    </c:backWall>
    <c:plotArea>
      <c:layout/>
      <c:pie3DChart>
        <c:varyColors val="1"/>
        <c:ser>
          <c:idx val="0"/>
          <c:order val="0"/>
          <c:tx>
            <c:v>dddddd</c:v>
          </c:tx>
          <c:dLbls>
            <c:txPr>
              <a:bodyPr/>
              <a:lstStyle/>
              <a:p>
                <a:pPr>
                  <a:defRPr sz="800" b="1" i="0" baseline="0">
                    <a:latin typeface="Verdana" panose="020B0604030504040204" pitchFamily="34" charset="0"/>
                  </a:defRPr>
                </a:pPr>
                <a:endParaRPr lang="es-ES"/>
              </a:p>
            </c:txPr>
            <c:showLegendKey val="0"/>
            <c:showVal val="1"/>
            <c:showCatName val="1"/>
            <c:showSerName val="0"/>
            <c:showPercent val="0"/>
            <c:showBubbleSize val="0"/>
            <c:showLeaderLines val="1"/>
          </c:dLbls>
          <c:cat>
            <c:strRef>
              <c:f>'J1ii civiles'!$AD$5:$AG$5</c:f>
              <c:strCache>
                <c:ptCount val="4"/>
                <c:pt idx="0">
                  <c:v>Confirmando Totalmente</c:v>
                </c:pt>
                <c:pt idx="1">
                  <c:v>Revocando Totalmente</c:v>
                </c:pt>
                <c:pt idx="2">
                  <c:v>Revocando Parcialmente</c:v>
                </c:pt>
                <c:pt idx="3">
                  <c:v>Anulando</c:v>
                </c:pt>
              </c:strCache>
            </c:strRef>
          </c:cat>
          <c:val>
            <c:numRef>
              <c:f>'J1ii civiles'!$AV$23:$AY$23</c:f>
              <c:numCache>
                <c:formatCode>0.0%</c:formatCode>
                <c:ptCount val="4"/>
                <c:pt idx="0">
                  <c:v>0.61380000000000001</c:v>
                </c:pt>
                <c:pt idx="1">
                  <c:v>0.17449999999999999</c:v>
                </c:pt>
                <c:pt idx="2">
                  <c:v>0.2051</c:v>
                </c:pt>
                <c:pt idx="3">
                  <c:v>6.6E-3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ingresados en la Jurisdicción Penal</a:t>
            </a:r>
            <a:endParaRPr lang="es-ES"/>
          </a:p>
        </c:rich>
      </c:tx>
      <c:layout/>
      <c:overlay val="0"/>
    </c:title>
    <c:autoTitleDeleted val="0"/>
    <c:plotArea>
      <c:layout/>
      <c:lineChart>
        <c:grouping val="stacked"/>
        <c:varyColors val="0"/>
        <c:ser>
          <c:idx val="0"/>
          <c:order val="0"/>
          <c:dLbls>
            <c:dLbl>
              <c:idx val="0"/>
              <c:layout>
                <c:manualLayout>
                  <c:x val="-5.7624242424242425E-2"/>
                  <c:y val="6.3260340632603412E-2"/>
                </c:manualLayout>
              </c:layout>
              <c:dLblPos val="r"/>
              <c:showLegendKey val="0"/>
              <c:showVal val="1"/>
              <c:showCatName val="0"/>
              <c:showSerName val="0"/>
              <c:showPercent val="0"/>
              <c:showBubbleSize val="0"/>
            </c:dLbl>
            <c:dLbl>
              <c:idx val="1"/>
              <c:layout>
                <c:manualLayout>
                  <c:x val="-7.4593939393939393E-2"/>
                  <c:y val="-4.3795620437956206E-2"/>
                </c:manualLayout>
              </c:layout>
              <c:dLblPos val="r"/>
              <c:showLegendKey val="0"/>
              <c:showVal val="1"/>
              <c:showCatName val="0"/>
              <c:showSerName val="0"/>
              <c:showPercent val="0"/>
              <c:showBubbleSize val="0"/>
            </c:dLbl>
            <c:dLbl>
              <c:idx val="2"/>
              <c:layout>
                <c:manualLayout>
                  <c:x val="-6.9745454545454597E-2"/>
                  <c:y val="4.8661800486618008E-2"/>
                </c:manualLayout>
              </c:layout>
              <c:dLblPos val="r"/>
              <c:showLegendKey val="0"/>
              <c:showVal val="1"/>
              <c:showCatName val="0"/>
              <c:showSerName val="0"/>
              <c:showPercent val="0"/>
              <c:showBubbleSize val="0"/>
            </c:dLbl>
            <c:dLbl>
              <c:idx val="3"/>
              <c:layout>
                <c:manualLayout>
                  <c:x val="-7.2169696969696967E-2"/>
                  <c:y val="-5.3527980535279802E-2"/>
                </c:manualLayout>
              </c:layout>
              <c:dLblPos val="r"/>
              <c:showLegendKey val="0"/>
              <c:showVal val="1"/>
              <c:showCatName val="0"/>
              <c:showSerName val="0"/>
              <c:showPercent val="0"/>
              <c:showBubbleSize val="0"/>
            </c:dLbl>
            <c:dLbl>
              <c:idx val="4"/>
              <c:layout>
                <c:manualLayout>
                  <c:x val="-6.9745454545454541E-2"/>
                  <c:y val="5.3527980535279851E-2"/>
                </c:manualLayout>
              </c:layout>
              <c:dLblPos val="r"/>
              <c:showLegendKey val="0"/>
              <c:showVal val="1"/>
              <c:showCatName val="0"/>
              <c:showSerName val="0"/>
              <c:showPercent val="0"/>
              <c:showBubbleSize val="0"/>
            </c:dLbl>
            <c:dLbl>
              <c:idx val="5"/>
              <c:layout>
                <c:manualLayout>
                  <c:x val="-6.9745454545454541E-2"/>
                  <c:y val="-5.8394160583941604E-2"/>
                </c:manualLayout>
              </c:layout>
              <c:dLblPos val="r"/>
              <c:showLegendKey val="0"/>
              <c:showVal val="1"/>
              <c:showCatName val="0"/>
              <c:showSerName val="0"/>
              <c:showPercent val="0"/>
              <c:showBubbleSize val="0"/>
            </c:dLbl>
            <c:dLbl>
              <c:idx val="6"/>
              <c:layout>
                <c:manualLayout>
                  <c:x val="-7.2169696969696967E-2"/>
                  <c:y val="7.2992700729927001E-2"/>
                </c:manualLayout>
              </c:layout>
              <c:dLblPos val="r"/>
              <c:showLegendKey val="0"/>
              <c:showVal val="1"/>
              <c:showCatName val="0"/>
              <c:showSerName val="0"/>
              <c:showPercent val="0"/>
              <c:showBubbleSize val="0"/>
            </c:dLbl>
            <c:dLbl>
              <c:idx val="7"/>
              <c:layout>
                <c:manualLayout>
                  <c:x val="-6.9745454545454541E-2"/>
                  <c:y val="-4.8661800486618008E-2"/>
                </c:manualLayout>
              </c:layout>
              <c:dLblPos val="r"/>
              <c:showLegendKey val="0"/>
              <c:showVal val="1"/>
              <c:showCatName val="0"/>
              <c:showSerName val="0"/>
              <c:showPercent val="0"/>
              <c:showBubbleSize val="0"/>
            </c:dLbl>
            <c:dLbl>
              <c:idx val="8"/>
              <c:layout>
                <c:manualLayout>
                  <c:x val="-1.8666666666665777E-3"/>
                  <c:y val="-2.4330900243309046E-2"/>
                </c:manualLayout>
              </c:layout>
              <c:dLblPos val="r"/>
              <c:showLegendKey val="0"/>
              <c:showVal val="1"/>
              <c:showCatName val="0"/>
              <c:showSerName val="0"/>
              <c:showPercent val="0"/>
              <c:showBubbleSize val="0"/>
            </c:dLbl>
            <c:dLbl>
              <c:idx val="9"/>
              <c:layout>
                <c:manualLayout>
                  <c:x val="-0.157018181818182"/>
                  <c:y val="-1.4598540145985401E-2"/>
                </c:manualLayout>
              </c:layout>
              <c:dLblPos val="r"/>
              <c:showLegendKey val="0"/>
              <c:showVal val="1"/>
              <c:showCatName val="0"/>
              <c:showSerName val="0"/>
              <c:showPercent val="0"/>
              <c:showBubbleSize val="0"/>
            </c:dLbl>
            <c:dLbl>
              <c:idx val="10"/>
              <c:layout>
                <c:manualLayout>
                  <c:x val="-1.798826055833912E-2"/>
                  <c:y val="5.8394160583941604E-2"/>
                </c:manualLayout>
              </c:layout>
              <c:dLblPos val="r"/>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dLblPos val="ctr"/>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'ingresados '!$Q$14:$AA$14</c:f>
              <c:numCache>
                <c:formatCode>#,##0</c:formatCode>
                <c:ptCount val="11"/>
                <c:pt idx="0">
                  <c:v>6308445</c:v>
                </c:pt>
                <c:pt idx="1">
                  <c:v>6609657</c:v>
                </c:pt>
                <c:pt idx="2" formatCode="General">
                  <c:v>6739748</c:v>
                </c:pt>
                <c:pt idx="3" formatCode="General">
                  <c:v>6639356</c:v>
                </c:pt>
                <c:pt idx="4" formatCode="General">
                  <c:v>6542545</c:v>
                </c:pt>
                <c:pt idx="5" formatCode="General">
                  <c:v>6442718</c:v>
                </c:pt>
                <c:pt idx="6" formatCode="General">
                  <c:v>6304949</c:v>
                </c:pt>
                <c:pt idx="7" formatCode="General">
                  <c:v>6173019</c:v>
                </c:pt>
                <c:pt idx="8" formatCode="General">
                  <c:v>5806074</c:v>
                </c:pt>
                <c:pt idx="9" formatCode="General">
                  <c:v>3365927</c:v>
                </c:pt>
                <c:pt idx="10" formatCode="General">
                  <c:v>3232678</c:v>
                </c:pt>
              </c:numCache>
            </c:numRef>
          </c:val>
          <c:smooth val="0"/>
        </c:ser>
        <c:dLbls>
          <c:showLegendKey val="0"/>
          <c:showVal val="0"/>
          <c:showCatName val="0"/>
          <c:showSerName val="0"/>
          <c:showPercent val="0"/>
          <c:showBubbleSize val="0"/>
        </c:dLbls>
        <c:marker val="1"/>
        <c:smooth val="0"/>
        <c:axId val="305355264"/>
        <c:axId val="306466752"/>
      </c:lineChart>
      <c:catAx>
        <c:axId val="305355264"/>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6466752"/>
        <c:crosses val="autoZero"/>
        <c:auto val="1"/>
        <c:lblAlgn val="ctr"/>
        <c:lblOffset val="100"/>
        <c:tickLblSkip val="1"/>
        <c:tickMarkSkip val="1"/>
        <c:noMultiLvlLbl val="0"/>
      </c:catAx>
      <c:valAx>
        <c:axId val="306466752"/>
        <c:scaling>
          <c:orientation val="minMax"/>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5355264"/>
        <c:crosses val="autoZero"/>
        <c:crossBetween val="between"/>
      </c:valAx>
    </c:plotArea>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resueltos en la Jurisdicción Penal</a:t>
            </a:r>
          </a:p>
        </c:rich>
      </c:tx>
      <c:layout/>
      <c:overlay val="0"/>
    </c:title>
    <c:autoTitleDeleted val="0"/>
    <c:plotArea>
      <c:layout/>
      <c:lineChart>
        <c:grouping val="stacked"/>
        <c:varyColors val="0"/>
        <c:ser>
          <c:idx val="0"/>
          <c:order val="0"/>
          <c:dLbls>
            <c:dLbl>
              <c:idx val="0"/>
              <c:layout>
                <c:manualLayout>
                  <c:x val="-6.7685465815805923E-2"/>
                  <c:y val="5.0314445475384308E-2"/>
                </c:manualLayout>
              </c:layout>
              <c:dLblPos val="r"/>
              <c:showLegendKey val="0"/>
              <c:showVal val="1"/>
              <c:showCatName val="0"/>
              <c:showSerName val="0"/>
              <c:showPercent val="0"/>
              <c:showBubbleSize val="0"/>
            </c:dLbl>
            <c:dLbl>
              <c:idx val="1"/>
              <c:layout>
                <c:manualLayout>
                  <c:x val="-7.2843428420577019E-2"/>
                  <c:y val="-4.5283000927845915E-2"/>
                </c:manualLayout>
              </c:layout>
              <c:dLblPos val="r"/>
              <c:showLegendKey val="0"/>
              <c:showVal val="1"/>
              <c:showCatName val="0"/>
              <c:showSerName val="0"/>
              <c:showPercent val="0"/>
              <c:showBubbleSize val="0"/>
            </c:dLbl>
            <c:dLbl>
              <c:idx val="2"/>
              <c:layout>
                <c:manualLayout>
                  <c:x val="-7.0264447118191506E-2"/>
                  <c:y val="6.0377334570461218E-2"/>
                </c:manualLayout>
              </c:layout>
              <c:dLblPos val="r"/>
              <c:showLegendKey val="0"/>
              <c:showVal val="1"/>
              <c:showCatName val="0"/>
              <c:showSerName val="0"/>
              <c:showPercent val="0"/>
              <c:showBubbleSize val="0"/>
            </c:dLbl>
            <c:dLbl>
              <c:idx val="3"/>
              <c:layout>
                <c:manualLayout>
                  <c:x val="-6.2527706280428724E-2"/>
                  <c:y val="-4.5283000927845915E-2"/>
                </c:manualLayout>
              </c:layout>
              <c:dLblPos val="r"/>
              <c:showLegendKey val="0"/>
              <c:showVal val="1"/>
              <c:showCatName val="0"/>
              <c:showSerName val="0"/>
              <c:showPercent val="0"/>
              <c:showBubbleSize val="0"/>
            </c:dLbl>
            <c:dLbl>
              <c:idx val="4"/>
              <c:layout>
                <c:manualLayout>
                  <c:x val="-7.0264447118191464E-2"/>
                  <c:y val="5.0314445475384308E-2"/>
                </c:manualLayout>
              </c:layout>
              <c:dLblPos val="r"/>
              <c:showLegendKey val="0"/>
              <c:showVal val="1"/>
              <c:showCatName val="0"/>
              <c:showSerName val="0"/>
              <c:showPercent val="0"/>
              <c:showBubbleSize val="0"/>
            </c:dLbl>
            <c:dLbl>
              <c:idx val="5"/>
              <c:layout>
                <c:manualLayout>
                  <c:x val="-7.0264447118191464E-2"/>
                  <c:y val="-3.0188667285230609E-2"/>
                </c:manualLayout>
              </c:layout>
              <c:dLblPos val="r"/>
              <c:showLegendKey val="0"/>
              <c:showVal val="1"/>
              <c:showCatName val="0"/>
              <c:showSerName val="0"/>
              <c:showPercent val="0"/>
              <c:showBubbleSize val="0"/>
            </c:dLbl>
            <c:dLbl>
              <c:idx val="6"/>
              <c:layout>
                <c:manualLayout>
                  <c:x val="-7.0264447118191561E-2"/>
                  <c:y val="3.0188667285230609E-2"/>
                </c:manualLayout>
              </c:layout>
              <c:dLblPos val="r"/>
              <c:showLegendKey val="0"/>
              <c:showVal val="1"/>
              <c:showCatName val="0"/>
              <c:showSerName val="0"/>
              <c:showPercent val="0"/>
              <c:showBubbleSize val="0"/>
            </c:dLbl>
            <c:dLbl>
              <c:idx val="7"/>
              <c:layout>
                <c:manualLayout>
                  <c:x val="-3.9316671489564865E-2"/>
                  <c:y val="-5.0314445475384308E-2"/>
                </c:manualLayout>
              </c:layout>
              <c:dLblPos val="r"/>
              <c:showLegendKey val="0"/>
              <c:showVal val="1"/>
              <c:showCatName val="0"/>
              <c:showSerName val="0"/>
              <c:showPercent val="0"/>
              <c:showBubbleSize val="0"/>
            </c:dLbl>
            <c:dLbl>
              <c:idx val="8"/>
              <c:layout>
                <c:manualLayout>
                  <c:x val="-1.352685846570929E-2"/>
                  <c:y val="-1.5094333642615351E-2"/>
                </c:manualLayout>
              </c:layout>
              <c:dLblPos val="r"/>
              <c:showLegendKey val="0"/>
              <c:showVal val="1"/>
              <c:showCatName val="0"/>
              <c:showSerName val="0"/>
              <c:showPercent val="0"/>
              <c:showBubbleSize val="0"/>
            </c:dLbl>
            <c:dLbl>
              <c:idx val="9"/>
              <c:layout>
                <c:manualLayout>
                  <c:x val="-0.12958122014245319"/>
                  <c:y val="-1.006288909507687E-2"/>
                </c:manualLayout>
              </c:layout>
              <c:dLblPos val="r"/>
              <c:showLegendKey val="0"/>
              <c:showVal val="1"/>
              <c:showCatName val="0"/>
              <c:showSerName val="0"/>
              <c:showPercent val="0"/>
              <c:showBubbleSize val="0"/>
            </c:dLbl>
            <c:dLbl>
              <c:idx val="10"/>
              <c:layout>
                <c:manualLayout>
                  <c:x val="-1.5010280388065801E-2"/>
                  <c:y val="3.0188667285230703E-2"/>
                </c:manualLayout>
              </c:layout>
              <c:dLblPos val="r"/>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dLblPos val="ctr"/>
            <c:showLegendKey val="0"/>
            <c:showVal val="1"/>
            <c:showCatName val="0"/>
            <c:showSerName val="0"/>
            <c:showPercent val="0"/>
            <c:showBubbleSize val="0"/>
            <c:showLeaderLines val="0"/>
          </c:dLbls>
          <c:cat>
            <c:numRef>
              <c:f>resueltos!$Q$10:$AA$10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resueltos!$Q$12:$AA$12</c:f>
              <c:numCache>
                <c:formatCode>General</c:formatCode>
                <c:ptCount val="11"/>
                <c:pt idx="0">
                  <c:v>6291747</c:v>
                </c:pt>
                <c:pt idx="1">
                  <c:v>6535407</c:v>
                </c:pt>
                <c:pt idx="2">
                  <c:v>6711192</c:v>
                </c:pt>
                <c:pt idx="3">
                  <c:v>6614210</c:v>
                </c:pt>
                <c:pt idx="4">
                  <c:v>6563629</c:v>
                </c:pt>
                <c:pt idx="5">
                  <c:v>6533200</c:v>
                </c:pt>
                <c:pt idx="6">
                  <c:v>6392637</c:v>
                </c:pt>
                <c:pt idx="7">
                  <c:v>6281891</c:v>
                </c:pt>
                <c:pt idx="8">
                  <c:v>5998703</c:v>
                </c:pt>
                <c:pt idx="9">
                  <c:v>3489187</c:v>
                </c:pt>
                <c:pt idx="10">
                  <c:v>3275857</c:v>
                </c:pt>
              </c:numCache>
            </c:numRef>
          </c:val>
          <c:smooth val="0"/>
        </c:ser>
        <c:dLbls>
          <c:showLegendKey val="0"/>
          <c:showVal val="0"/>
          <c:showCatName val="0"/>
          <c:showSerName val="0"/>
          <c:showPercent val="0"/>
          <c:showBubbleSize val="0"/>
        </c:dLbls>
        <c:marker val="1"/>
        <c:smooth val="0"/>
        <c:axId val="305354752"/>
        <c:axId val="306468480"/>
      </c:lineChart>
      <c:catAx>
        <c:axId val="305354752"/>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6468480"/>
        <c:crosses val="autoZero"/>
        <c:auto val="1"/>
        <c:lblAlgn val="ctr"/>
        <c:lblOffset val="100"/>
        <c:tickLblSkip val="1"/>
        <c:tickMarkSkip val="1"/>
        <c:noMultiLvlLbl val="0"/>
      </c:catAx>
      <c:valAx>
        <c:axId val="306468480"/>
        <c:scaling>
          <c:orientation val="minMax"/>
          <c:max val="7800000"/>
          <c:min val="2400000"/>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5354752"/>
        <c:crosses val="autoZero"/>
        <c:crossBetween val="between"/>
      </c:valAx>
    </c:plotArea>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a:ea typeface="Verdana"/>
                <a:cs typeface="Verdana"/>
              </a:defRPr>
            </a:pPr>
            <a:r>
              <a:rPr lang="es-ES"/>
              <a:t>Tasa de congestión</a:t>
            </a:r>
          </a:p>
        </c:rich>
      </c:tx>
      <c:layout>
        <c:manualLayout>
          <c:xMode val="edge"/>
          <c:yMode val="edge"/>
          <c:x val="0.36614907592509482"/>
          <c:y val="3.519061583577713E-2"/>
        </c:manualLayout>
      </c:layout>
      <c:overlay val="0"/>
      <c:spPr>
        <a:noFill/>
        <a:ln w="25400">
          <a:noFill/>
        </a:ln>
      </c:spPr>
    </c:title>
    <c:autoTitleDeleted val="0"/>
    <c:plotArea>
      <c:layout>
        <c:manualLayout>
          <c:layoutTarget val="inner"/>
          <c:xMode val="edge"/>
          <c:yMode val="edge"/>
          <c:x val="9.6718643267357629E-2"/>
          <c:y val="0.19941348973607037"/>
          <c:w val="0.69084745190969732"/>
          <c:h val="0.49266862170087977"/>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TC!$B$54:$B$71</c:f>
              <c:numCache>
                <c:formatCode>0.00</c:formatCode>
                <c:ptCount val="18"/>
                <c:pt idx="0">
                  <c:v>1.171043149458056</c:v>
                </c:pt>
                <c:pt idx="1">
                  <c:v>1.1506716004118998</c:v>
                </c:pt>
                <c:pt idx="2">
                  <c:v>1.1537201788164475</c:v>
                </c:pt>
                <c:pt idx="3">
                  <c:v>1.229876316317585</c:v>
                </c:pt>
                <c:pt idx="4">
                  <c:v>1.1417481849707813</c:v>
                </c:pt>
                <c:pt idx="5">
                  <c:v>1.1646888865958105</c:v>
                </c:pt>
                <c:pt idx="6">
                  <c:v>1.2198030814863641</c:v>
                </c:pt>
                <c:pt idx="7">
                  <c:v>1.3439830295767921</c:v>
                </c:pt>
                <c:pt idx="8">
                  <c:v>1.2224890406789444</c:v>
                </c:pt>
                <c:pt idx="9">
                  <c:v>1.2019619470094323</c:v>
                </c:pt>
                <c:pt idx="10">
                  <c:v>1.2611787476808409</c:v>
                </c:pt>
                <c:pt idx="11">
                  <c:v>1.1892593685452937</c:v>
                </c:pt>
                <c:pt idx="12">
                  <c:v>1.2247567455849799</c:v>
                </c:pt>
                <c:pt idx="13">
                  <c:v>1.1749952235283743</c:v>
                </c:pt>
                <c:pt idx="14">
                  <c:v>1.2345332952667687</c:v>
                </c:pt>
                <c:pt idx="15">
                  <c:v>1.1415417847981639</c:v>
                </c:pt>
                <c:pt idx="16">
                  <c:v>1.1866237460394586</c:v>
                </c:pt>
                <c:pt idx="17">
                  <c:v>1.3320930232558139</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1"/>
              <c:layout>
                <c:manualLayout>
                  <c:x val="6.6930493791902959E-3"/>
                  <c:y val="-3.2593653066094012E-2"/>
                </c:manualLayout>
              </c:layout>
              <c:dLblPos val="outEnd"/>
              <c:showLegendKey val="0"/>
              <c:showVal val="1"/>
              <c:showCatName val="0"/>
              <c:showSerName val="0"/>
              <c:showPercent val="0"/>
              <c:showBubbleSize val="0"/>
            </c:dLbl>
            <c:dLbl>
              <c:idx val="3"/>
              <c:layout>
                <c:manualLayout>
                  <c:x val="4.1983885973918217E-3"/>
                  <c:y val="-2.6963770291176973E-2"/>
                </c:manualLayout>
              </c:layout>
              <c:dLblPos val="outEnd"/>
              <c:showLegendKey val="0"/>
              <c:showVal val="1"/>
              <c:showCatName val="0"/>
              <c:showSerName val="0"/>
              <c:showPercent val="0"/>
              <c:showBubbleSize val="0"/>
            </c:dLbl>
            <c:dLbl>
              <c:idx val="4"/>
              <c:layout>
                <c:manualLayout>
                  <c:x val="3.8145887497520099E-3"/>
                  <c:y val="-2.4971174790834459E-2"/>
                </c:manualLayout>
              </c:layout>
              <c:dLblPos val="outEnd"/>
              <c:showLegendKey val="0"/>
              <c:showVal val="1"/>
              <c:showCatName val="0"/>
              <c:showSerName val="0"/>
              <c:showPercent val="0"/>
              <c:showBubbleSize val="0"/>
            </c:dLbl>
            <c:dLbl>
              <c:idx val="7"/>
              <c:layout>
                <c:manualLayout>
                  <c:x val="4.3904891610915047E-3"/>
                  <c:y val="8.8789341215045996E-3"/>
                </c:manualLayout>
              </c:layout>
              <c:dLblPos val="outEnd"/>
              <c:showLegendKey val="0"/>
              <c:showVal val="1"/>
              <c:showCatName val="0"/>
              <c:showSerName val="0"/>
              <c:showPercent val="0"/>
              <c:showBubbleSize val="0"/>
            </c:dLbl>
            <c:dLbl>
              <c:idx val="8"/>
              <c:layout>
                <c:manualLayout>
                  <c:x val="4.0065079889669668E-3"/>
                  <c:y val="1.3426620792635542E-3"/>
                </c:manualLayout>
              </c:layout>
              <c:dLblPos val="outEnd"/>
              <c:showLegendKey val="0"/>
              <c:showVal val="1"/>
              <c:showCatName val="0"/>
              <c:showSerName val="0"/>
              <c:showPercent val="0"/>
              <c:showBubbleSize val="0"/>
            </c:dLbl>
            <c:dLbl>
              <c:idx val="9"/>
              <c:layout>
                <c:manualLayout>
                  <c:x val="2.3028209556706968E-3"/>
                  <c:y val="-2.3460410557184751E-2"/>
                </c:manualLayout>
              </c:layout>
              <c:dLblPos val="outEnd"/>
              <c:showLegendKey val="0"/>
              <c:showVal val="1"/>
              <c:showCatName val="0"/>
              <c:showSerName val="0"/>
              <c:showPercent val="0"/>
              <c:showBubbleSize val="0"/>
            </c:dLbl>
            <c:dLbl>
              <c:idx val="10"/>
              <c:layout>
                <c:manualLayout>
                  <c:x val="3.2389082936873422E-3"/>
                  <c:y val="-2.8161729050730853E-2"/>
                </c:manualLayout>
              </c:layout>
              <c:dLblPos val="outEnd"/>
              <c:showLegendKey val="0"/>
              <c:showVal val="1"/>
              <c:showCatName val="0"/>
              <c:showSerName val="0"/>
              <c:showPercent val="0"/>
              <c:showBubbleSize val="0"/>
            </c:dLbl>
            <c:dLbl>
              <c:idx val="11"/>
              <c:layout>
                <c:manualLayout>
                  <c:x val="2.8551084460474471E-3"/>
                  <c:y val="-1.867719614227106E-2"/>
                </c:manualLayout>
              </c:layout>
              <c:dLblPos val="outEnd"/>
              <c:showLegendKey val="0"/>
              <c:showVal val="1"/>
              <c:showCatName val="0"/>
              <c:showSerName val="0"/>
              <c:showPercent val="0"/>
              <c:showBubbleSize val="0"/>
            </c:dLbl>
            <c:dLbl>
              <c:idx val="14"/>
              <c:layout>
                <c:manualLayout>
                  <c:x val="3.4308275329022436E-3"/>
                  <c:y val="2.1942565097251548E-3"/>
                </c:manualLayout>
              </c:layout>
              <c:dLblPos val="outEnd"/>
              <c:showLegendKey val="0"/>
              <c:showVal val="1"/>
              <c:showCatName val="0"/>
              <c:showSerName val="0"/>
              <c:showPercent val="0"/>
              <c:showBubbleSize val="0"/>
            </c:dLbl>
            <c:dLbl>
              <c:idx val="15"/>
              <c:layout>
                <c:manualLayout>
                  <c:x val="3.0470276852623485E-3"/>
                  <c:y val="1.1785623571247297E-3"/>
                </c:manualLayout>
              </c:layout>
              <c:dLblPos val="outEnd"/>
              <c:showLegendKey val="0"/>
              <c:showVal val="1"/>
              <c:showCatName val="0"/>
              <c:showSerName val="0"/>
              <c:showPercent val="0"/>
              <c:showBubbleSize val="0"/>
            </c:dLbl>
            <c:dLbl>
              <c:idx val="17"/>
              <c:layout>
                <c:manualLayout>
                  <c:x val="4.0065458138975303E-3"/>
                  <c:y val="5.3244664065085706E-3"/>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TC!$C$54:$C$71</c:f>
              <c:numCache>
                <c:formatCode>0.00</c:formatCode>
                <c:ptCount val="18"/>
                <c:pt idx="0">
                  <c:v>1.18</c:v>
                </c:pt>
                <c:pt idx="1">
                  <c:v>1.1599999999999999</c:v>
                </c:pt>
                <c:pt idx="2">
                  <c:v>1.17</c:v>
                </c:pt>
                <c:pt idx="3">
                  <c:v>1.27</c:v>
                </c:pt>
                <c:pt idx="4">
                  <c:v>1.1399999999999999</c:v>
                </c:pt>
                <c:pt idx="5">
                  <c:v>1.17</c:v>
                </c:pt>
                <c:pt idx="6">
                  <c:v>1.22</c:v>
                </c:pt>
                <c:pt idx="7">
                  <c:v>1.35</c:v>
                </c:pt>
                <c:pt idx="8">
                  <c:v>1.22</c:v>
                </c:pt>
                <c:pt idx="9">
                  <c:v>1.21</c:v>
                </c:pt>
                <c:pt idx="10">
                  <c:v>1.26</c:v>
                </c:pt>
                <c:pt idx="11">
                  <c:v>1.21</c:v>
                </c:pt>
                <c:pt idx="12">
                  <c:v>1.23</c:v>
                </c:pt>
                <c:pt idx="13">
                  <c:v>1.17</c:v>
                </c:pt>
                <c:pt idx="14">
                  <c:v>1.27</c:v>
                </c:pt>
                <c:pt idx="15">
                  <c:v>1.1399999999999999</c:v>
                </c:pt>
                <c:pt idx="16">
                  <c:v>1.21</c:v>
                </c:pt>
                <c:pt idx="17">
                  <c:v>1.34</c:v>
                </c:pt>
              </c:numCache>
            </c:numRef>
          </c:val>
        </c:ser>
        <c:dLbls>
          <c:showLegendKey val="0"/>
          <c:showVal val="0"/>
          <c:showCatName val="0"/>
          <c:showSerName val="0"/>
          <c:showPercent val="0"/>
          <c:showBubbleSize val="0"/>
        </c:dLbls>
        <c:gapWidth val="150"/>
        <c:axId val="305356288"/>
        <c:axId val="306470208"/>
      </c:barChart>
      <c:lineChart>
        <c:grouping val="standard"/>
        <c:varyColors val="0"/>
        <c:ser>
          <c:idx val="2"/>
          <c:order val="2"/>
          <c:tx>
            <c:v>España 2017</c:v>
          </c:tx>
          <c:spPr>
            <a:ln w="25400">
              <a:solidFill>
                <a:srgbClr val="000000"/>
              </a:solidFill>
              <a:prstDash val="solid"/>
            </a:ln>
          </c:spPr>
          <c:marker>
            <c:symbol val="none"/>
          </c:marker>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TC!$D$54:$D$71</c:f>
              <c:numCache>
                <c:formatCode>0.00</c:formatCode>
                <c:ptCount val="18"/>
                <c:pt idx="0">
                  <c:v>1.21</c:v>
                </c:pt>
                <c:pt idx="1">
                  <c:v>1.21</c:v>
                </c:pt>
                <c:pt idx="2">
                  <c:v>1.21</c:v>
                </c:pt>
                <c:pt idx="3">
                  <c:v>1.21</c:v>
                </c:pt>
                <c:pt idx="4">
                  <c:v>1.21</c:v>
                </c:pt>
                <c:pt idx="5">
                  <c:v>1.21</c:v>
                </c:pt>
                <c:pt idx="6">
                  <c:v>1.21</c:v>
                </c:pt>
                <c:pt idx="7">
                  <c:v>1.21</c:v>
                </c:pt>
                <c:pt idx="8">
                  <c:v>1.21</c:v>
                </c:pt>
                <c:pt idx="9">
                  <c:v>1.21</c:v>
                </c:pt>
                <c:pt idx="10">
                  <c:v>1.21</c:v>
                </c:pt>
                <c:pt idx="11">
                  <c:v>1.21</c:v>
                </c:pt>
                <c:pt idx="12">
                  <c:v>1.21</c:v>
                </c:pt>
                <c:pt idx="13">
                  <c:v>1.21</c:v>
                </c:pt>
                <c:pt idx="14">
                  <c:v>1.21</c:v>
                </c:pt>
                <c:pt idx="15">
                  <c:v>1.21</c:v>
                </c:pt>
                <c:pt idx="16">
                  <c:v>1.21</c:v>
                </c:pt>
                <c:pt idx="17">
                  <c:v>1.21</c:v>
                </c:pt>
              </c:numCache>
            </c:numRef>
          </c:val>
          <c:smooth val="0"/>
        </c:ser>
        <c:dLbls>
          <c:showLegendKey val="0"/>
          <c:showVal val="0"/>
          <c:showCatName val="0"/>
          <c:showSerName val="0"/>
          <c:showPercent val="0"/>
          <c:showBubbleSize val="0"/>
        </c:dLbls>
        <c:marker val="1"/>
        <c:smooth val="0"/>
        <c:axId val="308208640"/>
        <c:axId val="307634176"/>
      </c:lineChart>
      <c:catAx>
        <c:axId val="3053562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306470208"/>
        <c:crosses val="autoZero"/>
        <c:auto val="0"/>
        <c:lblAlgn val="ctr"/>
        <c:lblOffset val="100"/>
        <c:tickLblSkip val="1"/>
        <c:tickMarkSkip val="1"/>
        <c:noMultiLvlLbl val="0"/>
      </c:catAx>
      <c:valAx>
        <c:axId val="306470208"/>
        <c:scaling>
          <c:orientation val="minMax"/>
          <c:max val="1.5"/>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05356288"/>
        <c:crosses val="autoZero"/>
        <c:crossBetween val="between"/>
      </c:valAx>
      <c:catAx>
        <c:axId val="308208640"/>
        <c:scaling>
          <c:orientation val="minMax"/>
        </c:scaling>
        <c:delete val="1"/>
        <c:axPos val="b"/>
        <c:majorTickMark val="out"/>
        <c:minorTickMark val="none"/>
        <c:tickLblPos val="nextTo"/>
        <c:crossAx val="307634176"/>
        <c:crosses val="autoZero"/>
        <c:auto val="0"/>
        <c:lblAlgn val="ctr"/>
        <c:lblOffset val="100"/>
        <c:noMultiLvlLbl val="0"/>
      </c:catAx>
      <c:valAx>
        <c:axId val="307634176"/>
        <c:scaling>
          <c:orientation val="minMax"/>
        </c:scaling>
        <c:delete val="1"/>
        <c:axPos val="l"/>
        <c:numFmt formatCode="0.00" sourceLinked="1"/>
        <c:majorTickMark val="out"/>
        <c:minorTickMark val="none"/>
        <c:tickLblPos val="nextTo"/>
        <c:crossAx val="308208640"/>
        <c:crosses val="autoZero"/>
        <c:crossBetween val="between"/>
      </c:valAx>
      <c:spPr>
        <a:solidFill>
          <a:srgbClr val="99CCFF"/>
        </a:solidFill>
        <a:ln w="12700">
          <a:solidFill>
            <a:srgbClr val="808080"/>
          </a:solidFill>
          <a:prstDash val="solid"/>
        </a:ln>
      </c:spPr>
    </c:plotArea>
    <c:legend>
      <c:legendPos val="r"/>
      <c:layout>
        <c:manualLayout>
          <c:xMode val="edge"/>
          <c:yMode val="edge"/>
          <c:x val="0.80656449031953903"/>
          <c:y val="0.36070381231671556"/>
          <c:w val="0.17962039719128375"/>
          <c:h val="0.23655913978494625"/>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750" b="0" i="0" u="none" strike="noStrike" baseline="0">
          <a:solidFill>
            <a:srgbClr val="000000"/>
          </a:solidFill>
          <a:latin typeface="Verdana"/>
          <a:ea typeface="Verdana"/>
          <a:cs typeface="Verdana"/>
        </a:defRPr>
      </a:pPr>
      <a:endParaRPr lang="es-E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90355617312544E-2"/>
          <c:y val="5.0925925925925923E-2"/>
          <c:w val="0.68437908496732036"/>
          <c:h val="0.85785542432195971"/>
        </c:manualLayout>
      </c:layout>
      <c:lineChart>
        <c:grouping val="standard"/>
        <c:varyColors val="0"/>
        <c:ser>
          <c:idx val="0"/>
          <c:order val="0"/>
          <c:tx>
            <c:v>Juicios de faltas</c:v>
          </c:tx>
          <c:spPr>
            <a:ln>
              <a:solidFill>
                <a:schemeClr val="tx2">
                  <a:lumMod val="75000"/>
                </a:schemeClr>
              </a:solidFill>
            </a:ln>
          </c:spPr>
          <c:marker>
            <c:spPr>
              <a:solidFill>
                <a:schemeClr val="tx2">
                  <a:lumMod val="75000"/>
                </a:schemeClr>
              </a:solidFill>
            </c:spPr>
          </c:marker>
          <c:dLbls>
            <c:dLbl>
              <c:idx val="1"/>
              <c:layout>
                <c:manualLayout>
                  <c:x val="-1.3071895424836602E-2"/>
                  <c:y val="4.6296296296296294E-2"/>
                </c:manualLayout>
              </c:layout>
              <c:showLegendKey val="0"/>
              <c:showVal val="1"/>
              <c:showCatName val="0"/>
              <c:showSerName val="0"/>
              <c:showPercent val="0"/>
              <c:showBubbleSize val="0"/>
            </c:dLbl>
            <c:dLbl>
              <c:idx val="2"/>
              <c:layout>
                <c:manualLayout>
                  <c:x val="-3.9215686274509783E-2"/>
                  <c:y val="-2.7777777777777776E-2"/>
                </c:manualLayout>
              </c:layout>
              <c:showLegendKey val="0"/>
              <c:showVal val="1"/>
              <c:showCatName val="0"/>
              <c:showSerName val="0"/>
              <c:showPercent val="0"/>
              <c:showBubbleSize val="0"/>
            </c:dLbl>
            <c:dLbl>
              <c:idx val="3"/>
              <c:layout>
                <c:manualLayout>
                  <c:x val="-2.6143790849673203E-2"/>
                  <c:y val="-4.6296296296296294E-2"/>
                </c:manualLayout>
              </c:layout>
              <c:showLegendKey val="0"/>
              <c:showVal val="1"/>
              <c:showCatName val="0"/>
              <c:showSerName val="0"/>
              <c:showPercent val="0"/>
              <c:showBubbleSize val="0"/>
            </c:dLbl>
            <c:dLbl>
              <c:idx val="4"/>
              <c:layout>
                <c:manualLayout>
                  <c:x val="-3.7037037037037035E-2"/>
                  <c:y val="4.6296296296296294E-2"/>
                </c:manualLayout>
              </c:layout>
              <c:showLegendKey val="0"/>
              <c:showVal val="1"/>
              <c:showCatName val="0"/>
              <c:showSerName val="0"/>
              <c:showPercent val="0"/>
              <c:showBubbleSize val="0"/>
            </c:dLbl>
            <c:dLbl>
              <c:idx val="5"/>
              <c:layout>
                <c:manualLayout>
                  <c:x val="-2.3965141612200477E-2"/>
                  <c:y val="-3.2407407407407406E-2"/>
                </c:manualLayout>
              </c:layout>
              <c:showLegendKey val="0"/>
              <c:showVal val="1"/>
              <c:showCatName val="0"/>
              <c:showSerName val="0"/>
              <c:showPercent val="0"/>
              <c:showBubbleSize val="0"/>
            </c:dLbl>
            <c:dLbl>
              <c:idx val="6"/>
              <c:layout>
                <c:manualLayout>
                  <c:x val="-2.6143790849673203E-2"/>
                  <c:y val="3.2407407407407406E-2"/>
                </c:manualLayout>
              </c:layout>
              <c:showLegendKey val="0"/>
              <c:showVal val="1"/>
              <c:showCatName val="0"/>
              <c:showSerName val="0"/>
              <c:showPercent val="0"/>
              <c:showBubbleSize val="0"/>
            </c:dLbl>
            <c:dLbl>
              <c:idx val="7"/>
              <c:layout>
                <c:manualLayout>
                  <c:x val="-6.5359477124183009E-3"/>
                  <c:y val="-1.8518518518518517E-2"/>
                </c:manualLayout>
              </c:layout>
              <c:showLegendKey val="0"/>
              <c:showVal val="1"/>
              <c:showCatName val="0"/>
              <c:showSerName val="0"/>
              <c:showPercent val="0"/>
              <c:showBubbleSize val="0"/>
            </c:dLbl>
            <c:txPr>
              <a:bodyPr/>
              <a:lstStyle/>
              <a:p>
                <a:pPr>
                  <a:defRPr sz="700" b="1" i="0" baseline="0">
                    <a:latin typeface="Verdana" panose="020B0604030504040204" pitchFamily="34" charset="0"/>
                  </a:defRPr>
                </a:pPr>
                <a:endParaRPr lang="es-ES"/>
              </a:p>
            </c:txPr>
            <c:showLegendKey val="0"/>
            <c:showVal val="1"/>
            <c:showCatName val="0"/>
            <c:showSerName val="0"/>
            <c:showPercent val="0"/>
            <c:showBubbleSize val="0"/>
            <c:showLeaderLines val="0"/>
          </c:dLbls>
          <c:cat>
            <c:numRef>
              <c:f>grafico!$A$9:$A$19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grafico!$B$8:$B$18</c:f>
              <c:numCache>
                <c:formatCode>General</c:formatCode>
                <c:ptCount val="11"/>
                <c:pt idx="0">
                  <c:v>13.7</c:v>
                </c:pt>
                <c:pt idx="1">
                  <c:v>12.1</c:v>
                </c:pt>
                <c:pt idx="2">
                  <c:v>12.6</c:v>
                </c:pt>
                <c:pt idx="3">
                  <c:v>12.6</c:v>
                </c:pt>
                <c:pt idx="4">
                  <c:v>11.5</c:v>
                </c:pt>
                <c:pt idx="5">
                  <c:v>11.5</c:v>
                </c:pt>
                <c:pt idx="6">
                  <c:v>10.7</c:v>
                </c:pt>
                <c:pt idx="7">
                  <c:v>10</c:v>
                </c:pt>
                <c:pt idx="8">
                  <c:v>9.3000000000000007</c:v>
                </c:pt>
                <c:pt idx="9">
                  <c:v>7.9</c:v>
                </c:pt>
                <c:pt idx="10" formatCode="0.0">
                  <c:v>2.93</c:v>
                </c:pt>
              </c:numCache>
            </c:numRef>
          </c:val>
          <c:smooth val="0"/>
        </c:ser>
        <c:ser>
          <c:idx val="1"/>
          <c:order val="1"/>
          <c:tx>
            <c:v>Juicios sobre delitos leves</c:v>
          </c:tx>
          <c:dLbls>
            <c:dLbl>
              <c:idx val="8"/>
              <c:layout>
                <c:manualLayout>
                  <c:x val="-1.6020139604073776E-2"/>
                  <c:y val="-5.8365758754863821E-2"/>
                </c:manualLayout>
              </c:layout>
              <c:showLegendKey val="0"/>
              <c:showVal val="1"/>
              <c:showCatName val="0"/>
              <c:showSerName val="0"/>
              <c:showPercent val="0"/>
              <c:showBubbleSize val="0"/>
            </c:dLbl>
            <c:txPr>
              <a:bodyPr/>
              <a:lstStyle/>
              <a:p>
                <a:pPr>
                  <a:defRPr sz="700" b="1" i="0" baseline="0">
                    <a:latin typeface="Verdana" panose="020B0604030504040204" pitchFamily="34" charset="0"/>
                  </a:defRPr>
                </a:pPr>
                <a:endParaRPr lang="es-ES"/>
              </a:p>
            </c:txPr>
            <c:showLegendKey val="0"/>
            <c:showVal val="1"/>
            <c:showCatName val="0"/>
            <c:showSerName val="0"/>
            <c:showPercent val="0"/>
            <c:showBubbleSize val="0"/>
            <c:showLeaderLines val="0"/>
          </c:dLbls>
          <c:cat>
            <c:numRef>
              <c:f>grafico!$A$9:$A$19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grafico!$C$10:$C$19</c:f>
              <c:numCache>
                <c:formatCode>General</c:formatCode>
                <c:ptCount val="10"/>
                <c:pt idx="7" formatCode="0.0">
                  <c:v>14.657841493239602</c:v>
                </c:pt>
                <c:pt idx="8" formatCode="0.0">
                  <c:v>18.388003954740199</c:v>
                </c:pt>
                <c:pt idx="9" formatCode="0.0">
                  <c:v>18.288501785742199</c:v>
                </c:pt>
              </c:numCache>
            </c:numRef>
          </c:val>
          <c:smooth val="0"/>
        </c:ser>
        <c:dLbls>
          <c:showLegendKey val="0"/>
          <c:showVal val="0"/>
          <c:showCatName val="0"/>
          <c:showSerName val="0"/>
          <c:showPercent val="0"/>
          <c:showBubbleSize val="0"/>
        </c:dLbls>
        <c:marker val="1"/>
        <c:smooth val="0"/>
        <c:axId val="308207616"/>
        <c:axId val="307635904"/>
      </c:lineChart>
      <c:catAx>
        <c:axId val="308207616"/>
        <c:scaling>
          <c:orientation val="minMax"/>
        </c:scaling>
        <c:delete val="0"/>
        <c:axPos val="b"/>
        <c:numFmt formatCode="General" sourceLinked="1"/>
        <c:majorTickMark val="out"/>
        <c:minorTickMark val="none"/>
        <c:tickLblPos val="nextTo"/>
        <c:txPr>
          <a:bodyPr/>
          <a:lstStyle/>
          <a:p>
            <a:pPr>
              <a:defRPr sz="700" b="1" i="0" baseline="0">
                <a:latin typeface="Verdana" panose="020B0604030504040204" pitchFamily="34" charset="0"/>
              </a:defRPr>
            </a:pPr>
            <a:endParaRPr lang="es-ES"/>
          </a:p>
        </c:txPr>
        <c:crossAx val="307635904"/>
        <c:crosses val="autoZero"/>
        <c:auto val="1"/>
        <c:lblAlgn val="ctr"/>
        <c:lblOffset val="100"/>
        <c:noMultiLvlLbl val="0"/>
      </c:catAx>
      <c:valAx>
        <c:axId val="307635904"/>
        <c:scaling>
          <c:orientation val="minMax"/>
        </c:scaling>
        <c:delete val="0"/>
        <c:axPos val="l"/>
        <c:majorGridlines/>
        <c:numFmt formatCode="General" sourceLinked="1"/>
        <c:majorTickMark val="out"/>
        <c:minorTickMark val="none"/>
        <c:tickLblPos val="nextTo"/>
        <c:txPr>
          <a:bodyPr/>
          <a:lstStyle/>
          <a:p>
            <a:pPr>
              <a:defRPr sz="800" b="1" i="0" baseline="0">
                <a:latin typeface="Verdana" panose="020B0604030504040204" pitchFamily="34" charset="0"/>
              </a:defRPr>
            </a:pPr>
            <a:endParaRPr lang="es-ES"/>
          </a:p>
        </c:txPr>
        <c:crossAx val="308207616"/>
        <c:crosses val="autoZero"/>
        <c:crossBetween val="between"/>
      </c:valAx>
      <c:spPr>
        <a:solidFill>
          <a:schemeClr val="tx2">
            <a:lumMod val="40000"/>
            <a:lumOff val="60000"/>
          </a:schemeClr>
        </a:solidFill>
      </c:spPr>
    </c:plotArea>
    <c:legend>
      <c:legendPos val="r"/>
      <c:layout>
        <c:manualLayout>
          <c:xMode val="edge"/>
          <c:yMode val="edge"/>
          <c:x val="0.77680647762166988"/>
          <c:y val="0.42764946048410624"/>
          <c:w val="0.20445266811631393"/>
          <c:h val="0.21339540586623754"/>
        </c:manualLayout>
      </c:layout>
      <c:overlay val="0"/>
      <c:txPr>
        <a:bodyPr/>
        <a:lstStyle/>
        <a:p>
          <a:pPr>
            <a:defRPr sz="800" b="1" i="0" baseline="0">
              <a:latin typeface="Verdana" panose="020B0604030504040204" pitchFamily="34" charset="0"/>
            </a:defRPr>
          </a:pPr>
          <a:endParaRPr lang="es-E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59387038593896"/>
          <c:y val="5.0925925925925923E-2"/>
          <c:w val="0.57062520380396309"/>
          <c:h val="0.81845727617381159"/>
        </c:manualLayout>
      </c:layout>
      <c:barChart>
        <c:barDir val="col"/>
        <c:grouping val="clustered"/>
        <c:varyColors val="0"/>
        <c:ser>
          <c:idx val="0"/>
          <c:order val="0"/>
          <c:tx>
            <c:v>Jdos. Instrucción y mixtos</c:v>
          </c:tx>
          <c:invertIfNegative val="0"/>
          <c:cat>
            <c:strRef>
              <c:f>Hoja4!$B$5:$I$5</c:f>
              <c:strCache>
                <c:ptCount val="8"/>
                <c:pt idx="0">
                  <c:v>2016 T1</c:v>
                </c:pt>
                <c:pt idx="1">
                  <c:v>2016 T2</c:v>
                </c:pt>
                <c:pt idx="2">
                  <c:v>2016 T3</c:v>
                </c:pt>
                <c:pt idx="3">
                  <c:v>2016 T4</c:v>
                </c:pt>
                <c:pt idx="4">
                  <c:v>2017 T1</c:v>
                </c:pt>
                <c:pt idx="5">
                  <c:v>2017 T2</c:v>
                </c:pt>
                <c:pt idx="6">
                  <c:v>2017 T3</c:v>
                </c:pt>
                <c:pt idx="7">
                  <c:v>2017 T4</c:v>
                </c:pt>
              </c:strCache>
            </c:strRef>
          </c:cat>
          <c:val>
            <c:numRef>
              <c:f>Hoja4!$B$6:$I$6</c:f>
              <c:numCache>
                <c:formatCode>#,##0</c:formatCode>
                <c:ptCount val="8"/>
                <c:pt idx="0">
                  <c:v>6912</c:v>
                </c:pt>
                <c:pt idx="1">
                  <c:v>35411</c:v>
                </c:pt>
                <c:pt idx="2">
                  <c:v>8445</c:v>
                </c:pt>
                <c:pt idx="3">
                  <c:v>8646</c:v>
                </c:pt>
                <c:pt idx="4">
                  <c:v>8690</c:v>
                </c:pt>
                <c:pt idx="5">
                  <c:v>8386</c:v>
                </c:pt>
                <c:pt idx="6">
                  <c:v>7040</c:v>
                </c:pt>
                <c:pt idx="7">
                  <c:v>7989</c:v>
                </c:pt>
              </c:numCache>
            </c:numRef>
          </c:val>
        </c:ser>
        <c:ser>
          <c:idx val="1"/>
          <c:order val="1"/>
          <c:tx>
            <c:v>Jdos. Violencia contra la mujer</c:v>
          </c:tx>
          <c:invertIfNegative val="0"/>
          <c:cat>
            <c:strRef>
              <c:f>Hoja4!$B$5:$I$5</c:f>
              <c:strCache>
                <c:ptCount val="8"/>
                <c:pt idx="0">
                  <c:v>2016 T1</c:v>
                </c:pt>
                <c:pt idx="1">
                  <c:v>2016 T2</c:v>
                </c:pt>
                <c:pt idx="2">
                  <c:v>2016 T3</c:v>
                </c:pt>
                <c:pt idx="3">
                  <c:v>2016 T4</c:v>
                </c:pt>
                <c:pt idx="4">
                  <c:v>2017 T1</c:v>
                </c:pt>
                <c:pt idx="5">
                  <c:v>2017 T2</c:v>
                </c:pt>
                <c:pt idx="6">
                  <c:v>2017 T3</c:v>
                </c:pt>
                <c:pt idx="7">
                  <c:v>2017 T4</c:v>
                </c:pt>
              </c:strCache>
            </c:strRef>
          </c:cat>
          <c:val>
            <c:numRef>
              <c:f>Hoja4!$B$7:$I$7</c:f>
              <c:numCache>
                <c:formatCode>#,##0</c:formatCode>
                <c:ptCount val="8"/>
                <c:pt idx="0">
                  <c:v>219</c:v>
                </c:pt>
                <c:pt idx="1">
                  <c:v>1695</c:v>
                </c:pt>
                <c:pt idx="2">
                  <c:v>588</c:v>
                </c:pt>
                <c:pt idx="3">
                  <c:v>576</c:v>
                </c:pt>
                <c:pt idx="4">
                  <c:v>615</c:v>
                </c:pt>
                <c:pt idx="5">
                  <c:v>496</c:v>
                </c:pt>
                <c:pt idx="6">
                  <c:v>516</c:v>
                </c:pt>
                <c:pt idx="7">
                  <c:v>519</c:v>
                </c:pt>
              </c:numCache>
            </c:numRef>
          </c:val>
        </c:ser>
        <c:dLbls>
          <c:showLegendKey val="0"/>
          <c:showVal val="0"/>
          <c:showCatName val="0"/>
          <c:showSerName val="0"/>
          <c:showPercent val="0"/>
          <c:showBubbleSize val="0"/>
        </c:dLbls>
        <c:gapWidth val="150"/>
        <c:axId val="308209152"/>
        <c:axId val="307637632"/>
      </c:barChart>
      <c:catAx>
        <c:axId val="308209152"/>
        <c:scaling>
          <c:orientation val="minMax"/>
        </c:scaling>
        <c:delete val="0"/>
        <c:axPos val="b"/>
        <c:majorTickMark val="out"/>
        <c:minorTickMark val="none"/>
        <c:tickLblPos val="nextTo"/>
        <c:txPr>
          <a:bodyPr/>
          <a:lstStyle/>
          <a:p>
            <a:pPr>
              <a:defRPr sz="700" b="1" i="0" baseline="0">
                <a:latin typeface="Verdana" panose="020B0604030504040204" pitchFamily="34" charset="0"/>
              </a:defRPr>
            </a:pPr>
            <a:endParaRPr lang="es-ES"/>
          </a:p>
        </c:txPr>
        <c:crossAx val="307637632"/>
        <c:crosses val="autoZero"/>
        <c:auto val="1"/>
        <c:lblAlgn val="ctr"/>
        <c:lblOffset val="100"/>
        <c:noMultiLvlLbl val="0"/>
      </c:catAx>
      <c:valAx>
        <c:axId val="307637632"/>
        <c:scaling>
          <c:orientation val="minMax"/>
        </c:scaling>
        <c:delete val="0"/>
        <c:axPos val="l"/>
        <c:majorGridlines/>
        <c:numFmt formatCode="#,##0" sourceLinked="1"/>
        <c:majorTickMark val="out"/>
        <c:minorTickMark val="none"/>
        <c:tickLblPos val="nextTo"/>
        <c:txPr>
          <a:bodyPr/>
          <a:lstStyle/>
          <a:p>
            <a:pPr>
              <a:defRPr sz="800" b="1" i="0" baseline="0">
                <a:latin typeface="Verdana" panose="020B0604030504040204" pitchFamily="34" charset="0"/>
              </a:defRPr>
            </a:pPr>
            <a:endParaRPr lang="es-ES"/>
          </a:p>
        </c:txPr>
        <c:crossAx val="308209152"/>
        <c:crosses val="autoZero"/>
        <c:crossBetween val="between"/>
      </c:valAx>
    </c:plotArea>
    <c:legend>
      <c:legendPos val="r"/>
      <c:layout>
        <c:manualLayout>
          <c:xMode val="edge"/>
          <c:yMode val="edge"/>
          <c:x val="0.70263332926062561"/>
          <c:y val="0.3830766987459901"/>
          <c:w val="0.28195241566865098"/>
          <c:h val="0.23384660250801984"/>
        </c:manualLayout>
      </c:layout>
      <c:overlay val="0"/>
      <c:txPr>
        <a:bodyPr/>
        <a:lstStyle/>
        <a:p>
          <a:pPr>
            <a:defRPr sz="800" b="1" i="0" baseline="0">
              <a:latin typeface="Verdana" panose="020B0604030504040204" pitchFamily="34" charset="0"/>
            </a:defRPr>
          </a:pPr>
          <a:endParaRPr lang="es-E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baseline="0">
              <a:latin typeface="Verdana" panose="020B0604030504040204" pitchFamily="34" charset="0"/>
              <a:ea typeface="Verdana" panose="020B0604030504040204" pitchFamily="34" charset="0"/>
              <a:cs typeface="Verdana" panose="020B0604030504040204" pitchFamily="34" charset="0"/>
            </a:defRPr>
          </a:pPr>
          <a:endParaRPr lang="es-ES"/>
        </a:p>
      </c:txPr>
    </c:title>
    <c:autoTitleDeleted val="0"/>
    <c:plotArea>
      <c:layout/>
      <c:barChart>
        <c:barDir val="col"/>
        <c:grouping val="clustered"/>
        <c:varyColors val="0"/>
        <c:ser>
          <c:idx val="0"/>
          <c:order val="0"/>
          <c:tx>
            <c:v>Jdos. Centrales de instrucción</c:v>
          </c:tx>
          <c:invertIfNegative val="0"/>
          <c:cat>
            <c:strRef>
              <c:f>Hoja4!$B$5:$I$5</c:f>
              <c:strCache>
                <c:ptCount val="8"/>
                <c:pt idx="0">
                  <c:v>2016 T1</c:v>
                </c:pt>
                <c:pt idx="1">
                  <c:v>2016 T2</c:v>
                </c:pt>
                <c:pt idx="2">
                  <c:v>2016 T3</c:v>
                </c:pt>
                <c:pt idx="3">
                  <c:v>2016 T4</c:v>
                </c:pt>
                <c:pt idx="4">
                  <c:v>2017 T1</c:v>
                </c:pt>
                <c:pt idx="5">
                  <c:v>2017 T2</c:v>
                </c:pt>
                <c:pt idx="6">
                  <c:v>2017 T3</c:v>
                </c:pt>
                <c:pt idx="7">
                  <c:v>2017 T4</c:v>
                </c:pt>
              </c:strCache>
            </c:strRef>
          </c:cat>
          <c:val>
            <c:numRef>
              <c:f>Hoja4!$B$8:$I$8</c:f>
              <c:numCache>
                <c:formatCode>#,##0</c:formatCode>
                <c:ptCount val="8"/>
                <c:pt idx="0">
                  <c:v>169</c:v>
                </c:pt>
                <c:pt idx="1">
                  <c:v>171</c:v>
                </c:pt>
                <c:pt idx="2">
                  <c:v>69</c:v>
                </c:pt>
                <c:pt idx="3">
                  <c:v>21</c:v>
                </c:pt>
                <c:pt idx="4">
                  <c:v>35</c:v>
                </c:pt>
                <c:pt idx="5">
                  <c:v>26</c:v>
                </c:pt>
                <c:pt idx="6">
                  <c:v>14</c:v>
                </c:pt>
                <c:pt idx="7">
                  <c:v>35</c:v>
                </c:pt>
              </c:numCache>
            </c:numRef>
          </c:val>
        </c:ser>
        <c:dLbls>
          <c:showLegendKey val="0"/>
          <c:showVal val="0"/>
          <c:showCatName val="0"/>
          <c:showSerName val="0"/>
          <c:showPercent val="0"/>
          <c:showBubbleSize val="0"/>
        </c:dLbls>
        <c:gapWidth val="150"/>
        <c:axId val="308209664"/>
        <c:axId val="307639936"/>
      </c:barChart>
      <c:catAx>
        <c:axId val="308209664"/>
        <c:scaling>
          <c:orientation val="minMax"/>
        </c:scaling>
        <c:delete val="0"/>
        <c:axPos val="b"/>
        <c:majorTickMark val="out"/>
        <c:minorTickMark val="none"/>
        <c:tickLblPos val="nextTo"/>
        <c:txPr>
          <a:bodyPr/>
          <a:lstStyle/>
          <a:p>
            <a:pPr>
              <a:defRPr sz="700" b="1" i="0" baseline="0">
                <a:latin typeface="Verdana" panose="020B0604030504040204" pitchFamily="34" charset="0"/>
              </a:defRPr>
            </a:pPr>
            <a:endParaRPr lang="es-ES"/>
          </a:p>
        </c:txPr>
        <c:crossAx val="307639936"/>
        <c:crosses val="autoZero"/>
        <c:auto val="1"/>
        <c:lblAlgn val="ctr"/>
        <c:lblOffset val="100"/>
        <c:noMultiLvlLbl val="0"/>
      </c:catAx>
      <c:valAx>
        <c:axId val="307639936"/>
        <c:scaling>
          <c:orientation val="minMax"/>
        </c:scaling>
        <c:delete val="0"/>
        <c:axPos val="l"/>
        <c:majorGridlines/>
        <c:numFmt formatCode="#,##0" sourceLinked="1"/>
        <c:majorTickMark val="out"/>
        <c:minorTickMark val="none"/>
        <c:tickLblPos val="nextTo"/>
        <c:txPr>
          <a:bodyPr/>
          <a:lstStyle/>
          <a:p>
            <a:pPr>
              <a:defRPr sz="800" b="1" i="0" baseline="0">
                <a:latin typeface="Verdana" panose="020B0604030504040204" pitchFamily="34" charset="0"/>
              </a:defRPr>
            </a:pPr>
            <a:endParaRPr lang="es-ES"/>
          </a:p>
        </c:txPr>
        <c:crossAx val="3082096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a:ea typeface="Verdana"/>
                <a:cs typeface="Verdana"/>
              </a:defRPr>
            </a:pPr>
            <a:r>
              <a:rPr lang="es-ES"/>
              <a:t>Tasa de litigiosidad</a:t>
            </a:r>
          </a:p>
        </c:rich>
      </c:tx>
      <c:layout>
        <c:manualLayout>
          <c:xMode val="edge"/>
          <c:yMode val="edge"/>
          <c:x val="0.36915114380199876"/>
          <c:y val="3.4055727554179564E-2"/>
        </c:manualLayout>
      </c:layout>
      <c:overlay val="0"/>
      <c:spPr>
        <a:noFill/>
        <a:ln w="25400">
          <a:noFill/>
        </a:ln>
      </c:spPr>
    </c:title>
    <c:autoTitleDeleted val="0"/>
    <c:plotArea>
      <c:layout>
        <c:manualLayout>
          <c:layoutTarget val="inner"/>
          <c:xMode val="edge"/>
          <c:yMode val="edge"/>
          <c:x val="9.7053808300788275E-2"/>
          <c:y val="0.21052631578947367"/>
          <c:w val="0.68977528042345948"/>
          <c:h val="0.46439628482972134"/>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TL!$B$4:$B$21</c:f>
              <c:numCache>
                <c:formatCode>0.0</c:formatCode>
                <c:ptCount val="18"/>
                <c:pt idx="0">
                  <c:v>145.52046280185243</c:v>
                </c:pt>
                <c:pt idx="1">
                  <c:v>109.45365259448724</c:v>
                </c:pt>
                <c:pt idx="2">
                  <c:v>123.73394410938724</c:v>
                </c:pt>
                <c:pt idx="3">
                  <c:v>135.23057748234316</c:v>
                </c:pt>
                <c:pt idx="4">
                  <c:v>158.73409314513751</c:v>
                </c:pt>
                <c:pt idx="5">
                  <c:v>125.38173773544072</c:v>
                </c:pt>
                <c:pt idx="6">
                  <c:v>111.80178785128942</c:v>
                </c:pt>
                <c:pt idx="7">
                  <c:v>102.26676612962872</c:v>
                </c:pt>
                <c:pt idx="8">
                  <c:v>112.95807989688666</c:v>
                </c:pt>
                <c:pt idx="9" formatCode="0.00">
                  <c:v>124.86062248673711</c:v>
                </c:pt>
                <c:pt idx="10">
                  <c:v>127.92320434325383</c:v>
                </c:pt>
                <c:pt idx="11">
                  <c:v>102.2294990338102</c:v>
                </c:pt>
                <c:pt idx="12">
                  <c:v>123.01155957734433</c:v>
                </c:pt>
                <c:pt idx="13">
                  <c:v>125.08357821776912</c:v>
                </c:pt>
                <c:pt idx="14">
                  <c:v>128.87762339684622</c:v>
                </c:pt>
                <c:pt idx="15">
                  <c:v>94.349930617016852</c:v>
                </c:pt>
                <c:pt idx="16">
                  <c:v>86.897029230877436</c:v>
                </c:pt>
                <c:pt idx="17">
                  <c:v>84.355624236052606</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0"/>
              <c:layout>
                <c:manualLayout>
                  <c:x val="2.921705730496034E-3"/>
                  <c:y val="-1.6329847313977313E-3"/>
                </c:manualLayout>
              </c:layout>
              <c:dLblPos val="outEnd"/>
              <c:showLegendKey val="0"/>
              <c:showVal val="1"/>
              <c:showCatName val="0"/>
              <c:showSerName val="0"/>
              <c:showPercent val="0"/>
              <c:showBubbleSize val="0"/>
            </c:dLbl>
            <c:dLbl>
              <c:idx val="1"/>
              <c:layout>
                <c:manualLayout>
                  <c:x val="-3.6255953274471329E-3"/>
                  <c:y val="2.1862298172480761E-2"/>
                </c:manualLayout>
              </c:layout>
              <c:dLblPos val="outEnd"/>
              <c:showLegendKey val="0"/>
              <c:showVal val="1"/>
              <c:showCatName val="0"/>
              <c:showSerName val="0"/>
              <c:showPercent val="0"/>
              <c:showBubbleSize val="0"/>
            </c:dLbl>
            <c:dLbl>
              <c:idx val="2"/>
              <c:layout>
                <c:manualLayout>
                  <c:x val="6.9324090121316946E-3"/>
                  <c:y val="1.238390092879257E-2"/>
                </c:manualLayout>
              </c:layout>
              <c:dLblPos val="outEnd"/>
              <c:showLegendKey val="0"/>
              <c:showVal val="1"/>
              <c:showCatName val="0"/>
              <c:showSerName val="0"/>
              <c:showPercent val="0"/>
              <c:showBubbleSize val="0"/>
            </c:dLbl>
            <c:dLbl>
              <c:idx val="3"/>
              <c:layout>
                <c:manualLayout>
                  <c:x val="6.9324090121317154E-3"/>
                  <c:y val="0"/>
                </c:manualLayout>
              </c:layout>
              <c:dLblPos val="outEnd"/>
              <c:showLegendKey val="0"/>
              <c:showVal val="1"/>
              <c:showCatName val="0"/>
              <c:showSerName val="0"/>
              <c:showPercent val="0"/>
              <c:showBubbleSize val="0"/>
            </c:dLbl>
            <c:dLbl>
              <c:idx val="4"/>
              <c:layout>
                <c:manualLayout>
                  <c:x val="1.0239040743823834E-2"/>
                  <c:y val="1.7420020639834843E-2"/>
                </c:manualLayout>
              </c:layout>
              <c:dLblPos val="outEnd"/>
              <c:showLegendKey val="0"/>
              <c:showVal val="1"/>
              <c:showCatName val="0"/>
              <c:showSerName val="0"/>
              <c:showPercent val="0"/>
              <c:showBubbleSize val="0"/>
            </c:dLbl>
            <c:dLbl>
              <c:idx val="5"/>
              <c:layout>
                <c:manualLayout>
                  <c:x val="9.2432120161756205E-3"/>
                  <c:y val="1.6511867905056758E-2"/>
                </c:manualLayout>
              </c:layout>
              <c:dLblPos val="outEnd"/>
              <c:showLegendKey val="0"/>
              <c:showVal val="1"/>
              <c:showCatName val="0"/>
              <c:showSerName val="0"/>
              <c:showPercent val="0"/>
              <c:showBubbleSize val="0"/>
            </c:dLbl>
            <c:dLbl>
              <c:idx val="6"/>
              <c:layout>
                <c:manualLayout>
                  <c:x val="5.8103049077270884E-3"/>
                  <c:y val="1.6143276208121043E-2"/>
                </c:manualLayout>
              </c:layout>
              <c:dLblPos val="outEnd"/>
              <c:showLegendKey val="0"/>
              <c:showVal val="1"/>
              <c:showCatName val="0"/>
              <c:showSerName val="0"/>
              <c:showPercent val="0"/>
              <c:showBubbleSize val="0"/>
            </c:dLbl>
            <c:dLbl>
              <c:idx val="7"/>
              <c:layout>
                <c:manualLayout>
                  <c:x val="6.9324090121317154E-3"/>
                  <c:y val="0"/>
                </c:manualLayout>
              </c:layout>
              <c:dLblPos val="outEnd"/>
              <c:showLegendKey val="0"/>
              <c:showVal val="1"/>
              <c:showCatName val="0"/>
              <c:showSerName val="0"/>
              <c:showPercent val="0"/>
              <c:showBubbleSize val="0"/>
            </c:dLbl>
            <c:dLbl>
              <c:idx val="8"/>
              <c:layout>
                <c:manualLayout>
                  <c:x val="3.1142896359586023E-3"/>
                  <c:y val="-7.4462673589949409E-3"/>
                </c:manualLayout>
              </c:layout>
              <c:dLblPos val="outEnd"/>
              <c:showLegendKey val="0"/>
              <c:showVal val="1"/>
              <c:showCatName val="0"/>
              <c:showSerName val="0"/>
              <c:showPercent val="0"/>
              <c:showBubbleSize val="0"/>
            </c:dLbl>
            <c:dLbl>
              <c:idx val="10"/>
              <c:layout>
                <c:manualLayout>
                  <c:x val="7.3507189417613963E-3"/>
                  <c:y val="9.6500166581344523E-3"/>
                </c:manualLayout>
              </c:layout>
              <c:dLblPos val="outEnd"/>
              <c:showLegendKey val="0"/>
              <c:showVal val="1"/>
              <c:showCatName val="0"/>
              <c:showSerName val="0"/>
              <c:showPercent val="0"/>
              <c:showBubbleSize val="0"/>
            </c:dLbl>
            <c:dLbl>
              <c:idx val="11"/>
              <c:layout>
                <c:manualLayout>
                  <c:x val="9.4688337268066802E-3"/>
                  <c:y val="6.7711659881524097E-3"/>
                </c:manualLayout>
              </c:layout>
              <c:dLblPos val="outEnd"/>
              <c:showLegendKey val="0"/>
              <c:showVal val="1"/>
              <c:showCatName val="0"/>
              <c:showSerName val="0"/>
              <c:showPercent val="0"/>
              <c:showBubbleSize val="0"/>
            </c:dLbl>
            <c:dLbl>
              <c:idx val="12"/>
              <c:layout>
                <c:manualLayout>
                  <c:x val="2.3440297288613516E-3"/>
                  <c:y val="5.0442456302869634E-3"/>
                </c:manualLayout>
              </c:layout>
              <c:dLblPos val="outEnd"/>
              <c:showLegendKey val="0"/>
              <c:showVal val="1"/>
              <c:showCatName val="0"/>
              <c:showSerName val="0"/>
              <c:showPercent val="0"/>
              <c:showBubbleSize val="0"/>
            </c:dLbl>
            <c:dLbl>
              <c:idx val="13"/>
              <c:layout>
                <c:manualLayout>
                  <c:x val="-1.8195299244440199E-7"/>
                  <c:y val="4.1279669762641896E-3"/>
                </c:manualLayout>
              </c:layout>
              <c:dLblPos val="outEnd"/>
              <c:showLegendKey val="0"/>
              <c:showVal val="1"/>
              <c:showCatName val="0"/>
              <c:showSerName val="0"/>
              <c:showPercent val="0"/>
              <c:showBubbleSize val="0"/>
            </c:dLbl>
            <c:dLbl>
              <c:idx val="14"/>
              <c:layout>
                <c:manualLayout>
                  <c:x val="6.0028111737333509E-3"/>
                  <c:y val="1.6133525105027507E-2"/>
                </c:manualLayout>
              </c:layout>
              <c:dLblPos val="outEnd"/>
              <c:showLegendKey val="0"/>
              <c:showVal val="1"/>
              <c:showCatName val="0"/>
              <c:showSerName val="0"/>
              <c:showPercent val="0"/>
              <c:showBubbleSize val="0"/>
            </c:dLbl>
            <c:dLbl>
              <c:idx val="15"/>
              <c:layout>
                <c:manualLayout>
                  <c:x val="1.043172896282237E-2"/>
                  <c:y val="1.3468873666333503E-2"/>
                </c:manualLayout>
              </c:layout>
              <c:dLblPos val="outEnd"/>
              <c:showLegendKey val="0"/>
              <c:showVal val="1"/>
              <c:showCatName val="0"/>
              <c:showSerName val="0"/>
              <c:showPercent val="0"/>
              <c:showBubbleSize val="0"/>
            </c:dLbl>
            <c:dLbl>
              <c:idx val="16"/>
              <c:layout>
                <c:manualLayout>
                  <c:x val="9.2432120161756205E-3"/>
                  <c:y val="-4.1279669762641141E-3"/>
                </c:manualLayout>
              </c:layout>
              <c:dLblPos val="outEnd"/>
              <c:showLegendKey val="0"/>
              <c:showVal val="1"/>
              <c:showCatName val="0"/>
              <c:showSerName val="0"/>
              <c:showPercent val="0"/>
              <c:showBubbleSize val="0"/>
            </c:dLbl>
            <c:dLbl>
              <c:idx val="17"/>
              <c:layout>
                <c:manualLayout>
                  <c:x val="1.6175621028307337E-2"/>
                  <c:y val="4.1279669762641896E-3"/>
                </c:manualLayout>
              </c:layout>
              <c:dLblPos val="outEnd"/>
              <c:showLegendKey val="0"/>
              <c:showVal val="1"/>
              <c:showCatName val="0"/>
              <c:showSerName val="0"/>
              <c:showPercent val="0"/>
              <c:showBubbleSize val="0"/>
            </c:dLbl>
            <c:numFmt formatCode="0" sourceLinked="0"/>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TL!$C$4:$C$21</c:f>
              <c:numCache>
                <c:formatCode>0.0</c:formatCode>
                <c:ptCount val="18"/>
                <c:pt idx="0">
                  <c:v>145.1</c:v>
                </c:pt>
                <c:pt idx="1">
                  <c:v>114.4</c:v>
                </c:pt>
                <c:pt idx="2">
                  <c:v>128.69999999999999</c:v>
                </c:pt>
                <c:pt idx="3">
                  <c:v>138.6</c:v>
                </c:pt>
                <c:pt idx="4">
                  <c:v>164.5</c:v>
                </c:pt>
                <c:pt idx="5">
                  <c:v>129.6</c:v>
                </c:pt>
                <c:pt idx="6">
                  <c:v>111.4</c:v>
                </c:pt>
                <c:pt idx="7">
                  <c:v>103.6</c:v>
                </c:pt>
                <c:pt idx="8">
                  <c:v>119</c:v>
                </c:pt>
                <c:pt idx="9" formatCode="0.00">
                  <c:v>126.1</c:v>
                </c:pt>
                <c:pt idx="10">
                  <c:v>125.3</c:v>
                </c:pt>
                <c:pt idx="11">
                  <c:v>105.2</c:v>
                </c:pt>
                <c:pt idx="12">
                  <c:v>118.1</c:v>
                </c:pt>
                <c:pt idx="13">
                  <c:v>123.9</c:v>
                </c:pt>
                <c:pt idx="14">
                  <c:v>128</c:v>
                </c:pt>
                <c:pt idx="15">
                  <c:v>94.3</c:v>
                </c:pt>
                <c:pt idx="16">
                  <c:v>93.5</c:v>
                </c:pt>
                <c:pt idx="17">
                  <c:v>85.4</c:v>
                </c:pt>
              </c:numCache>
            </c:numRef>
          </c:val>
        </c:ser>
        <c:dLbls>
          <c:showLegendKey val="0"/>
          <c:showVal val="0"/>
          <c:showCatName val="0"/>
          <c:showSerName val="0"/>
          <c:showPercent val="0"/>
          <c:showBubbleSize val="0"/>
        </c:dLbls>
        <c:gapWidth val="150"/>
        <c:axId val="149653504"/>
        <c:axId val="245267776"/>
      </c:barChart>
      <c:lineChart>
        <c:grouping val="standard"/>
        <c:varyColors val="0"/>
        <c:ser>
          <c:idx val="2"/>
          <c:order val="2"/>
          <c:tx>
            <c:v>España 2017</c:v>
          </c:tx>
          <c:spPr>
            <a:ln w="25400">
              <a:solidFill>
                <a:srgbClr val="000000"/>
              </a:solidFill>
              <a:prstDash val="solid"/>
            </a:ln>
          </c:spPr>
          <c:marker>
            <c:symbol val="none"/>
          </c:marker>
          <c:val>
            <c:numRef>
              <c:f>TL!$D$4:$D$21</c:f>
              <c:numCache>
                <c:formatCode>0</c:formatCode>
                <c:ptCount val="18"/>
                <c:pt idx="0">
                  <c:v>126.1</c:v>
                </c:pt>
                <c:pt idx="1">
                  <c:v>126.1</c:v>
                </c:pt>
                <c:pt idx="2">
                  <c:v>126.1</c:v>
                </c:pt>
                <c:pt idx="3">
                  <c:v>126.1</c:v>
                </c:pt>
                <c:pt idx="4">
                  <c:v>126.1</c:v>
                </c:pt>
                <c:pt idx="5">
                  <c:v>126.1</c:v>
                </c:pt>
                <c:pt idx="6">
                  <c:v>126.1</c:v>
                </c:pt>
                <c:pt idx="7">
                  <c:v>126.1</c:v>
                </c:pt>
                <c:pt idx="8">
                  <c:v>126.1</c:v>
                </c:pt>
                <c:pt idx="9">
                  <c:v>126.1</c:v>
                </c:pt>
                <c:pt idx="10">
                  <c:v>126.1</c:v>
                </c:pt>
                <c:pt idx="11">
                  <c:v>126.1</c:v>
                </c:pt>
                <c:pt idx="12">
                  <c:v>126.1</c:v>
                </c:pt>
                <c:pt idx="13">
                  <c:v>126.1</c:v>
                </c:pt>
                <c:pt idx="14">
                  <c:v>126.1</c:v>
                </c:pt>
                <c:pt idx="15">
                  <c:v>126.1</c:v>
                </c:pt>
                <c:pt idx="16">
                  <c:v>126.1</c:v>
                </c:pt>
                <c:pt idx="17">
                  <c:v>126.1</c:v>
                </c:pt>
              </c:numCache>
            </c:numRef>
          </c:val>
          <c:smooth val="0"/>
        </c:ser>
        <c:dLbls>
          <c:showLegendKey val="0"/>
          <c:showVal val="0"/>
          <c:showCatName val="0"/>
          <c:showSerName val="0"/>
          <c:showPercent val="0"/>
          <c:showBubbleSize val="0"/>
        </c:dLbls>
        <c:marker val="1"/>
        <c:smooth val="0"/>
        <c:axId val="149655040"/>
        <c:axId val="245391360"/>
      </c:lineChart>
      <c:catAx>
        <c:axId val="1496535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245267776"/>
        <c:crosses val="autoZero"/>
        <c:auto val="0"/>
        <c:lblAlgn val="ctr"/>
        <c:lblOffset val="100"/>
        <c:tickLblSkip val="1"/>
        <c:tickMarkSkip val="1"/>
        <c:noMultiLvlLbl val="0"/>
      </c:catAx>
      <c:valAx>
        <c:axId val="245267776"/>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149653504"/>
        <c:crosses val="autoZero"/>
        <c:crossBetween val="between"/>
      </c:valAx>
      <c:catAx>
        <c:axId val="149655040"/>
        <c:scaling>
          <c:orientation val="minMax"/>
        </c:scaling>
        <c:delete val="1"/>
        <c:axPos val="b"/>
        <c:majorTickMark val="out"/>
        <c:minorTickMark val="none"/>
        <c:tickLblPos val="nextTo"/>
        <c:crossAx val="245391360"/>
        <c:crosses val="autoZero"/>
        <c:auto val="0"/>
        <c:lblAlgn val="ctr"/>
        <c:lblOffset val="100"/>
        <c:noMultiLvlLbl val="0"/>
      </c:catAx>
      <c:valAx>
        <c:axId val="245391360"/>
        <c:scaling>
          <c:orientation val="minMax"/>
        </c:scaling>
        <c:delete val="1"/>
        <c:axPos val="l"/>
        <c:numFmt formatCode="0" sourceLinked="1"/>
        <c:majorTickMark val="out"/>
        <c:minorTickMark val="none"/>
        <c:tickLblPos val="nextTo"/>
        <c:crossAx val="149655040"/>
        <c:crosses val="autoZero"/>
        <c:crossBetween val="between"/>
      </c:valAx>
      <c:spPr>
        <a:solidFill>
          <a:srgbClr val="99CCFF"/>
        </a:solidFill>
        <a:ln w="12700">
          <a:solidFill>
            <a:srgbClr val="808080"/>
          </a:solidFill>
          <a:prstDash val="solid"/>
        </a:ln>
      </c:spPr>
    </c:plotArea>
    <c:legend>
      <c:legendPos val="r"/>
      <c:layout>
        <c:manualLayout>
          <c:xMode val="edge"/>
          <c:yMode val="edge"/>
          <c:x val="0.80589327547228173"/>
          <c:y val="0.35294117647058826"/>
          <c:w val="0.18024281626841698"/>
          <c:h val="0.17956656346749228"/>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750" b="0" i="0" u="none" strike="noStrike" baseline="0">
          <a:solidFill>
            <a:srgbClr val="000000"/>
          </a:solidFill>
          <a:latin typeface="Verdana"/>
          <a:ea typeface="Verdana"/>
          <a:cs typeface="Verdana"/>
        </a:defRPr>
      </a:pPr>
      <a:endParaRPr lang="es-E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Sentencias en la jurisdicción Penal</a:t>
            </a:r>
          </a:p>
        </c:rich>
      </c:tx>
      <c:layout>
        <c:manualLayout>
          <c:xMode val="edge"/>
          <c:yMode val="edge"/>
          <c:x val="0.32169146521307124"/>
          <c:y val="3.4090956380610216E-2"/>
        </c:manualLayout>
      </c:layout>
      <c:overlay val="0"/>
      <c:spPr>
        <a:noFill/>
        <a:ln w="25400">
          <a:noFill/>
        </a:ln>
      </c:spPr>
    </c:title>
    <c:autoTitleDeleted val="0"/>
    <c:plotArea>
      <c:layout>
        <c:manualLayout>
          <c:layoutTarget val="inner"/>
          <c:xMode val="edge"/>
          <c:yMode val="edge"/>
          <c:x val="0.12132372240234676"/>
          <c:y val="0.14828016805066602"/>
          <c:w val="0.86029488982695623"/>
          <c:h val="0.74431921430998971"/>
        </c:manualLayout>
      </c:layout>
      <c:lineChart>
        <c:grouping val="stacked"/>
        <c:varyColors val="0"/>
        <c:ser>
          <c:idx val="0"/>
          <c:order val="0"/>
          <c:spPr>
            <a:ln w="44450">
              <a:solidFill>
                <a:schemeClr val="tx2">
                  <a:lumMod val="60000"/>
                  <a:lumOff val="40000"/>
                </a:schemeClr>
              </a:solidFill>
              <a:prstDash val="solid"/>
            </a:ln>
          </c:spPr>
          <c:marker>
            <c:symbol val="diamond"/>
            <c:size val="7"/>
            <c:spPr>
              <a:solidFill>
                <a:schemeClr val="tx2">
                  <a:lumMod val="60000"/>
                  <a:lumOff val="40000"/>
                </a:schemeClr>
              </a:solidFill>
              <a:ln>
                <a:solidFill>
                  <a:schemeClr val="tx2">
                    <a:lumMod val="60000"/>
                    <a:lumOff val="40000"/>
                  </a:schemeClr>
                </a:solidFill>
                <a:prstDash val="solid"/>
              </a:ln>
            </c:spPr>
          </c:marker>
          <c:dLbls>
            <c:dLbl>
              <c:idx val="0"/>
              <c:layout>
                <c:manualLayout>
                  <c:x val="-5.1359232669445733E-2"/>
                  <c:y val="3.1742226760904033E-2"/>
                </c:manualLayout>
              </c:layout>
              <c:dLblPos val="r"/>
              <c:showLegendKey val="0"/>
              <c:showVal val="1"/>
              <c:showCatName val="0"/>
              <c:showSerName val="0"/>
              <c:showPercent val="0"/>
              <c:showBubbleSize val="0"/>
            </c:dLbl>
            <c:dLbl>
              <c:idx val="1"/>
              <c:layout>
                <c:manualLayout>
                  <c:x val="-1.4984560753435232E-2"/>
                  <c:y val="3.8002741124936172E-2"/>
                </c:manualLayout>
              </c:layout>
              <c:dLblPos val="r"/>
              <c:showLegendKey val="0"/>
              <c:showVal val="1"/>
              <c:showCatName val="0"/>
              <c:showSerName val="0"/>
              <c:showPercent val="0"/>
              <c:showBubbleSize val="0"/>
            </c:dLbl>
            <c:dLbl>
              <c:idx val="2"/>
              <c:layout>
                <c:manualLayout>
                  <c:x val="-6.5619692758993362E-2"/>
                  <c:y val="-5.514820886297065E-2"/>
                </c:manualLayout>
              </c:layout>
              <c:dLblPos val="r"/>
              <c:showLegendKey val="0"/>
              <c:showVal val="1"/>
              <c:showCatName val="0"/>
              <c:showSerName val="0"/>
              <c:showPercent val="0"/>
              <c:showBubbleSize val="0"/>
            </c:dLbl>
            <c:dLbl>
              <c:idx val="3"/>
              <c:layout>
                <c:manualLayout>
                  <c:x val="-6.1338196696001233E-2"/>
                  <c:y val="7.1746168247740369E-2"/>
                </c:manualLayout>
              </c:layout>
              <c:showLegendKey val="0"/>
              <c:showVal val="1"/>
              <c:showCatName val="0"/>
              <c:showSerName val="0"/>
              <c:showPercent val="0"/>
              <c:showBubbleSize val="0"/>
            </c:dLbl>
            <c:dLbl>
              <c:idx val="4"/>
              <c:layout>
                <c:manualLayout>
                  <c:x val="-6.1871356989467226E-2"/>
                  <c:y val="4.0772173102935551E-2"/>
                </c:manualLayout>
              </c:layout>
              <c:dLblPos val="r"/>
              <c:showLegendKey val="0"/>
              <c:showVal val="1"/>
              <c:showCatName val="0"/>
              <c:showSerName val="0"/>
              <c:showPercent val="0"/>
              <c:showBubbleSize val="0"/>
            </c:dLbl>
            <c:dLbl>
              <c:idx val="5"/>
              <c:layout>
                <c:manualLayout>
                  <c:x val="-5.2369874220267919E-2"/>
                  <c:y val="-3.0794120018274165E-2"/>
                </c:manualLayout>
              </c:layout>
              <c:dLblPos val="r"/>
              <c:showLegendKey val="0"/>
              <c:showVal val="1"/>
              <c:showCatName val="0"/>
              <c:showSerName val="0"/>
              <c:showPercent val="0"/>
              <c:showBubbleSize val="0"/>
            </c:dLbl>
            <c:dLbl>
              <c:idx val="6"/>
              <c:layout>
                <c:manualLayout>
                  <c:x val="-3.8380230044773818E-2"/>
                  <c:y val="-1.9756165291625279E-2"/>
                </c:manualLayout>
              </c:layout>
              <c:dLblPos val="r"/>
              <c:showLegendKey val="0"/>
              <c:showVal val="1"/>
              <c:showCatName val="0"/>
              <c:showSerName val="0"/>
              <c:showPercent val="0"/>
              <c:showBubbleSize val="0"/>
            </c:dLbl>
            <c:dLbl>
              <c:idx val="7"/>
              <c:layout>
                <c:manualLayout>
                  <c:x val="-0.10494673459935155"/>
                  <c:y val="5.3531840943090346E-2"/>
                </c:manualLayout>
              </c:layout>
              <c:dLblPos val="r"/>
              <c:showLegendKey val="0"/>
              <c:showVal val="1"/>
              <c:showCatName val="0"/>
              <c:showSerName val="0"/>
              <c:showPercent val="0"/>
              <c:showBubbleSize val="0"/>
            </c:dLbl>
            <c:dLbl>
              <c:idx val="8"/>
              <c:layout>
                <c:manualLayout>
                  <c:x val="-3.0079512119808552E-3"/>
                  <c:y val="-4.1630342282300122E-2"/>
                </c:manualLayout>
              </c:layout>
              <c:dLblPos val="r"/>
              <c:showLegendKey val="0"/>
              <c:showVal val="1"/>
              <c:showCatName val="0"/>
              <c:showSerName val="0"/>
              <c:showPercent val="0"/>
              <c:showBubbleSize val="0"/>
            </c:dLbl>
            <c:dLbl>
              <c:idx val="9"/>
              <c:layout>
                <c:manualLayout>
                  <c:x val="-0.11369210282538213"/>
                  <c:y val="1.3123359580052493E-2"/>
                </c:manualLayout>
              </c:layout>
              <c:dLblPos val="r"/>
              <c:showLegendKey val="0"/>
              <c:showVal val="1"/>
              <c:showCatName val="0"/>
              <c:showSerName val="0"/>
              <c:showPercent val="0"/>
              <c:showBubbleSize val="0"/>
            </c:dLbl>
            <c:dLbl>
              <c:idx val="10"/>
              <c:layout>
                <c:manualLayout>
                  <c:x val="-1.7952755905511812E-2"/>
                  <c:y val="-4.9037470998718934E-2"/>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numFmt formatCode="#,##0" sourceLinked="0"/>
            <c:spPr>
              <a:noFill/>
              <a:ln w="25400">
                <a:noFill/>
              </a:ln>
            </c:spPr>
            <c:showLegendKey val="0"/>
            <c:showVal val="1"/>
            <c:showCatName val="0"/>
            <c:showSerName val="0"/>
            <c:showPercent val="0"/>
            <c:showBubbleSize val="0"/>
            <c:showLeaderLines val="0"/>
          </c:dLbls>
          <c:cat>
            <c:numRef>
              <c:f>sentencias!$Q$2:$AA$2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sentencias!$Q$4:$AA$4</c:f>
              <c:numCache>
                <c:formatCode>#,##0</c:formatCode>
                <c:ptCount val="11"/>
                <c:pt idx="0" formatCode="General">
                  <c:v>636408</c:v>
                </c:pt>
                <c:pt idx="1">
                  <c:v>688829</c:v>
                </c:pt>
                <c:pt idx="2" formatCode="General">
                  <c:v>727175</c:v>
                </c:pt>
                <c:pt idx="3" formatCode="General">
                  <c:v>725281</c:v>
                </c:pt>
                <c:pt idx="4" formatCode="General">
                  <c:v>737260</c:v>
                </c:pt>
                <c:pt idx="5" formatCode="General">
                  <c:v>741189</c:v>
                </c:pt>
                <c:pt idx="6" formatCode="General">
                  <c:v>714724</c:v>
                </c:pt>
                <c:pt idx="7" formatCode="General">
                  <c:v>701066</c:v>
                </c:pt>
                <c:pt idx="8" formatCode="General">
                  <c:v>644843</c:v>
                </c:pt>
                <c:pt idx="9" formatCode="General">
                  <c:v>573682</c:v>
                </c:pt>
                <c:pt idx="10" formatCode="General">
                  <c:v>573918</c:v>
                </c:pt>
              </c:numCache>
            </c:numRef>
          </c:val>
          <c:smooth val="0"/>
        </c:ser>
        <c:dLbls>
          <c:showLegendKey val="0"/>
          <c:showVal val="0"/>
          <c:showCatName val="0"/>
          <c:showSerName val="0"/>
          <c:showPercent val="0"/>
          <c:showBubbleSize val="0"/>
        </c:dLbls>
        <c:marker val="1"/>
        <c:smooth val="0"/>
        <c:axId val="308210176"/>
        <c:axId val="307585024"/>
      </c:lineChart>
      <c:catAx>
        <c:axId val="308210176"/>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a:pPr>
            <a:endParaRPr lang="es-ES"/>
          </a:p>
        </c:txPr>
        <c:crossAx val="307585024"/>
        <c:crosses val="autoZero"/>
        <c:auto val="1"/>
        <c:lblAlgn val="ctr"/>
        <c:lblOffset val="100"/>
        <c:tickLblSkip val="1"/>
        <c:tickMarkSkip val="1"/>
        <c:noMultiLvlLbl val="0"/>
      </c:catAx>
      <c:valAx>
        <c:axId val="307585024"/>
        <c:scaling>
          <c:orientation val="minMax"/>
          <c:max val="750000"/>
          <c:min val="55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s-ES"/>
          </a:p>
        </c:txPr>
        <c:crossAx val="308210176"/>
        <c:crosses val="autoZero"/>
        <c:crossBetween val="between"/>
        <c:majorUnit val="50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750" b="1" i="0" u="none" strike="noStrike" baseline="0">
          <a:solidFill>
            <a:srgbClr val="000000"/>
          </a:solidFill>
          <a:latin typeface="Verdana" panose="020B0604030504040204" pitchFamily="34" charset="0"/>
          <a:ea typeface="Arial"/>
          <a:cs typeface="Arial"/>
        </a:defRPr>
      </a:pPr>
      <a:endParaRPr lang="es-E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ES"/>
              <a:t>Recursos de casación penales devueltos a las Audiencias en 2017</a:t>
            </a:r>
          </a:p>
        </c:rich>
      </c:tx>
      <c:layout/>
      <c:overlay val="0"/>
    </c:title>
    <c:autoTitleDeleted val="0"/>
    <c:view3D>
      <c:rotX val="30"/>
      <c:rotY val="240"/>
      <c:rAngAx val="0"/>
      <c:perspective val="20"/>
    </c:view3D>
    <c:floor>
      <c:thickness val="0"/>
    </c:floor>
    <c:sideWall>
      <c:thickness val="0"/>
    </c:sideWall>
    <c:backWall>
      <c:thickness val="0"/>
    </c:backWall>
    <c:plotArea>
      <c:layout/>
      <c:pie3DChart>
        <c:varyColors val="1"/>
        <c:ser>
          <c:idx val="0"/>
          <c:order val="0"/>
          <c:tx>
            <c:v>Recursos de casación penales devueltos a las Audiencias en 2014</c:v>
          </c:tx>
          <c:dLbls>
            <c:dLbl>
              <c:idx val="0"/>
              <c:layout>
                <c:manualLayout>
                  <c:x val="9.9102909011373572E-2"/>
                  <c:y val="4.2570720326625837E-2"/>
                </c:manualLayout>
              </c:layout>
              <c:showLegendKey val="0"/>
              <c:showVal val="1"/>
              <c:showCatName val="1"/>
              <c:showSerName val="0"/>
              <c:showPercent val="0"/>
              <c:showBubbleSize val="0"/>
            </c:dLbl>
            <c:numFmt formatCode="0.0%" sourceLinked="0"/>
            <c:txPr>
              <a:bodyPr/>
              <a:lstStyle/>
              <a:p>
                <a:pPr>
                  <a:defRPr b="1" i="0" baseline="0"/>
                </a:pPr>
                <a:endParaRPr lang="es-ES"/>
              </a:p>
            </c:txPr>
            <c:showLegendKey val="0"/>
            <c:showVal val="1"/>
            <c:showCatName val="1"/>
            <c:showSerName val="0"/>
            <c:showPercent val="0"/>
            <c:showBubbleSize val="0"/>
            <c:showLeaderLines val="1"/>
          </c:dLbls>
          <c:cat>
            <c:strRef>
              <c:f>APpenal!$U$5:$X$5</c:f>
              <c:strCache>
                <c:ptCount val="4"/>
                <c:pt idx="0">
                  <c:v>Confirmando totalmente</c:v>
                </c:pt>
                <c:pt idx="1">
                  <c:v>Revocando totalmente</c:v>
                </c:pt>
                <c:pt idx="2">
                  <c:v>Revocando parcialmente</c:v>
                </c:pt>
                <c:pt idx="3">
                  <c:v> Anulando</c:v>
                </c:pt>
              </c:strCache>
            </c:strRef>
          </c:cat>
          <c:val>
            <c:numRef>
              <c:f>APpenal!$AV$25:$AY$25</c:f>
              <c:numCache>
                <c:formatCode>General</c:formatCode>
                <c:ptCount val="4"/>
                <c:pt idx="0">
                  <c:v>0.85762032085561501</c:v>
                </c:pt>
                <c:pt idx="1">
                  <c:v>5.6483957219251334E-2</c:v>
                </c:pt>
                <c:pt idx="2">
                  <c:v>7.286096256684492E-2</c:v>
                </c:pt>
                <c:pt idx="3">
                  <c:v>1.303475935828877E-2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ingresados en la Jurisdicción  Contencioso - Administrativa</a:t>
            </a:r>
          </a:p>
        </c:rich>
      </c:tx>
      <c:layout/>
      <c:overlay val="0"/>
    </c:title>
    <c:autoTitleDeleted val="0"/>
    <c:plotArea>
      <c:layout/>
      <c:lineChart>
        <c:grouping val="stacked"/>
        <c:varyColors val="0"/>
        <c:ser>
          <c:idx val="0"/>
          <c:order val="0"/>
          <c:dLbls>
            <c:dLbl>
              <c:idx val="0"/>
              <c:layout>
                <c:manualLayout>
                  <c:x val="-6.5216621933557734E-2"/>
                  <c:y val="4.4893378226711481E-2"/>
                </c:manualLayout>
              </c:layout>
              <c:dLblPos val="r"/>
              <c:showLegendKey val="0"/>
              <c:showVal val="1"/>
              <c:showCatName val="0"/>
              <c:showSerName val="0"/>
              <c:showPercent val="0"/>
              <c:showBubbleSize val="0"/>
            </c:dLbl>
            <c:dLbl>
              <c:idx val="1"/>
              <c:layout>
                <c:manualLayout>
                  <c:x val="-8.7815491990054936E-2"/>
                  <c:y val="-4.0404040404040442E-2"/>
                </c:manualLayout>
              </c:layout>
              <c:dLblPos val="r"/>
              <c:showLegendKey val="0"/>
              <c:showVal val="1"/>
              <c:showCatName val="0"/>
              <c:showSerName val="0"/>
              <c:showPercent val="0"/>
              <c:showBubbleSize val="0"/>
            </c:dLbl>
            <c:dLbl>
              <c:idx val="2"/>
              <c:layout>
                <c:manualLayout>
                  <c:x val="-4.949152542372881E-2"/>
                  <c:y val="-3.1425364758698095E-2"/>
                </c:manualLayout>
              </c:layout>
              <c:dLblPos val="r"/>
              <c:showLegendKey val="0"/>
              <c:showVal val="1"/>
              <c:showCatName val="0"/>
              <c:showSerName val="0"/>
              <c:showPercent val="0"/>
              <c:showBubbleSize val="0"/>
            </c:dLbl>
            <c:dLbl>
              <c:idx val="3"/>
              <c:layout>
                <c:manualLayout>
                  <c:x val="-8.4645323289391089E-2"/>
                  <c:y val="4.0404040404040407E-2"/>
                </c:manualLayout>
              </c:layout>
              <c:dLblPos val="r"/>
              <c:showLegendKey val="0"/>
              <c:showVal val="1"/>
              <c:showCatName val="0"/>
              <c:showSerName val="0"/>
              <c:showPercent val="0"/>
              <c:showBubbleSize val="0"/>
            </c:dLbl>
            <c:dLbl>
              <c:idx val="4"/>
              <c:layout>
                <c:manualLayout>
                  <c:x val="-5.2002510985561835E-2"/>
                  <c:y val="-4.0404040404040442E-2"/>
                </c:manualLayout>
              </c:layout>
              <c:dLblPos val="r"/>
              <c:showLegendKey val="0"/>
              <c:showVal val="1"/>
              <c:showCatName val="0"/>
              <c:showSerName val="0"/>
              <c:showPercent val="0"/>
              <c:showBubbleSize val="0"/>
            </c:dLbl>
            <c:dLbl>
              <c:idx val="5"/>
              <c:layout>
                <c:manualLayout>
                  <c:x val="-0.10975517890772128"/>
                  <c:y val="-8.2303575971038333E-17"/>
                </c:manualLayout>
              </c:layout>
              <c:dLblPos val="r"/>
              <c:showLegendKey val="0"/>
              <c:showVal val="1"/>
              <c:showCatName val="0"/>
              <c:showSerName val="0"/>
              <c:showPercent val="0"/>
              <c:showBubbleSize val="0"/>
            </c:dLbl>
            <c:dLbl>
              <c:idx val="6"/>
              <c:layout>
                <c:manualLayout>
                  <c:x val="-6.2046650948292481E-2"/>
                  <c:y val="3.1425364758698254E-2"/>
                </c:manualLayout>
              </c:layout>
              <c:dLblPos val="r"/>
              <c:showLegendKey val="0"/>
              <c:showVal val="1"/>
              <c:showCatName val="0"/>
              <c:showSerName val="0"/>
              <c:showPercent val="0"/>
              <c:showBubbleSize val="0"/>
            </c:dLbl>
            <c:dLbl>
              <c:idx val="7"/>
              <c:layout>
                <c:manualLayout>
                  <c:x val="-6.2046453232893914E-2"/>
                  <c:y val="-2.6936026936027018E-2"/>
                </c:manualLayout>
              </c:layout>
              <c:dLblPos val="r"/>
              <c:showLegendKey val="0"/>
              <c:showVal val="1"/>
              <c:showCatName val="0"/>
              <c:showSerName val="0"/>
              <c:showPercent val="0"/>
              <c:showBubbleSize val="0"/>
            </c:dLbl>
            <c:dLbl>
              <c:idx val="8"/>
              <c:layout>
                <c:manualLayout>
                  <c:x val="-6.0194650809891607E-2"/>
                  <c:y val="3.5914702581369168E-2"/>
                </c:manualLayout>
              </c:layout>
              <c:dLblPos val="r"/>
              <c:showLegendKey val="0"/>
              <c:showVal val="1"/>
              <c:showCatName val="0"/>
              <c:showSerName val="0"/>
              <c:showPercent val="0"/>
              <c:showBubbleSize val="0"/>
            </c:dLbl>
            <c:dLbl>
              <c:idx val="9"/>
              <c:layout>
                <c:manualLayout>
                  <c:x val="-6.521662193355765E-2"/>
                  <c:y val="-3.1425364758698171E-2"/>
                </c:manualLayout>
              </c:layout>
              <c:dLblPos val="r"/>
              <c:showLegendKey val="0"/>
              <c:showVal val="1"/>
              <c:showCatName val="0"/>
              <c:showSerName val="0"/>
              <c:showPercent val="0"/>
              <c:showBubbleSize val="0"/>
            </c:dLbl>
            <c:dLbl>
              <c:idx val="10"/>
              <c:layout>
                <c:manualLayout>
                  <c:x val="-1.7363959448571938E-2"/>
                  <c:y val="2.6936026936026935E-2"/>
                </c:manualLayout>
              </c:layout>
              <c:dLblPos val="r"/>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dLblPos val="ctr"/>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'ingresados '!$Q$15:$AA$15</c:f>
              <c:numCache>
                <c:formatCode>#,##0</c:formatCode>
                <c:ptCount val="11"/>
                <c:pt idx="0">
                  <c:v>265968</c:v>
                </c:pt>
                <c:pt idx="1">
                  <c:v>307146</c:v>
                </c:pt>
                <c:pt idx="2" formatCode="General">
                  <c:v>317120</c:v>
                </c:pt>
                <c:pt idx="3" formatCode="General">
                  <c:v>287444</c:v>
                </c:pt>
                <c:pt idx="4" formatCode="General">
                  <c:v>289902</c:v>
                </c:pt>
                <c:pt idx="5" formatCode="General">
                  <c:v>226025</c:v>
                </c:pt>
                <c:pt idx="6" formatCode="General">
                  <c:v>191088</c:v>
                </c:pt>
                <c:pt idx="7" formatCode="General">
                  <c:v>206700</c:v>
                </c:pt>
                <c:pt idx="8" formatCode="General">
                  <c:v>198720</c:v>
                </c:pt>
                <c:pt idx="9" formatCode="General">
                  <c:v>196157</c:v>
                </c:pt>
                <c:pt idx="10" formatCode="General">
                  <c:v>195908</c:v>
                </c:pt>
              </c:numCache>
            </c:numRef>
          </c:val>
          <c:smooth val="0"/>
        </c:ser>
        <c:dLbls>
          <c:showLegendKey val="0"/>
          <c:showVal val="0"/>
          <c:showCatName val="0"/>
          <c:showSerName val="0"/>
          <c:showPercent val="0"/>
          <c:showBubbleSize val="0"/>
        </c:dLbls>
        <c:marker val="1"/>
        <c:smooth val="0"/>
        <c:axId val="307782144"/>
        <c:axId val="307587328"/>
      </c:lineChart>
      <c:catAx>
        <c:axId val="307782144"/>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7587328"/>
        <c:crosses val="autoZero"/>
        <c:auto val="1"/>
        <c:lblAlgn val="ctr"/>
        <c:lblOffset val="100"/>
        <c:tickLblSkip val="1"/>
        <c:tickMarkSkip val="1"/>
        <c:noMultiLvlLbl val="0"/>
      </c:catAx>
      <c:valAx>
        <c:axId val="307587328"/>
        <c:scaling>
          <c:orientation val="minMax"/>
          <c:min val="150000"/>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7782144"/>
        <c:crosses val="autoZero"/>
        <c:crossBetween val="between"/>
        <c:minorUnit val="50000"/>
      </c:valAx>
    </c:plotArea>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resueltos en la Jurisdicción Contencioso-administrativa</a:t>
            </a:r>
          </a:p>
        </c:rich>
      </c:tx>
      <c:layout/>
      <c:overlay val="0"/>
    </c:title>
    <c:autoTitleDeleted val="0"/>
    <c:plotArea>
      <c:layout/>
      <c:lineChart>
        <c:grouping val="stacked"/>
        <c:varyColors val="0"/>
        <c:ser>
          <c:idx val="0"/>
          <c:order val="0"/>
          <c:dLbls>
            <c:dLbl>
              <c:idx val="0"/>
              <c:layout>
                <c:manualLayout>
                  <c:x val="-5.647236674920935E-2"/>
                  <c:y val="2.2099447513812088E-2"/>
                </c:manualLayout>
              </c:layout>
              <c:dLblPos val="r"/>
              <c:showLegendKey val="0"/>
              <c:showVal val="1"/>
              <c:showCatName val="0"/>
              <c:showSerName val="0"/>
              <c:showPercent val="0"/>
              <c:showBubbleSize val="0"/>
            </c:dLbl>
            <c:dLbl>
              <c:idx val="1"/>
              <c:layout>
                <c:manualLayout>
                  <c:x val="-0.1059423314135203"/>
                  <c:y val="-2.2099447513812154E-2"/>
                </c:manualLayout>
              </c:layout>
              <c:dLblPos val="r"/>
              <c:showLegendKey val="0"/>
              <c:showVal val="1"/>
              <c:showCatName val="0"/>
              <c:showSerName val="0"/>
              <c:showPercent val="0"/>
              <c:showBubbleSize val="0"/>
            </c:dLbl>
            <c:dLbl>
              <c:idx val="2"/>
              <c:layout>
                <c:manualLayout>
                  <c:x val="-9.416376839820817E-2"/>
                  <c:y val="-3.3149171270718231E-2"/>
                </c:manualLayout>
              </c:layout>
              <c:dLblPos val="r"/>
              <c:showLegendKey val="0"/>
              <c:showVal val="1"/>
              <c:showCatName val="0"/>
              <c:showSerName val="0"/>
              <c:showPercent val="0"/>
              <c:showBubbleSize val="0"/>
            </c:dLbl>
            <c:dLbl>
              <c:idx val="3"/>
              <c:layout>
                <c:manualLayout>
                  <c:x val="-5.411665414614697E-2"/>
                  <c:y val="-2.5782688766114215E-2"/>
                </c:manualLayout>
              </c:layout>
              <c:dLblPos val="r"/>
              <c:showLegendKey val="0"/>
              <c:showVal val="1"/>
              <c:showCatName val="0"/>
              <c:showSerName val="0"/>
              <c:showPercent val="0"/>
              <c:showBubbleSize val="0"/>
            </c:dLbl>
            <c:dLbl>
              <c:idx val="4"/>
              <c:layout>
                <c:manualLayout>
                  <c:x val="-0.10829804401658277"/>
                  <c:y val="2.2099447513812154E-2"/>
                </c:manualLayout>
              </c:layout>
              <c:dLblPos val="r"/>
              <c:showLegendKey val="0"/>
              <c:showVal val="1"/>
              <c:showCatName val="0"/>
              <c:showSerName val="0"/>
              <c:showPercent val="0"/>
              <c:showBubbleSize val="0"/>
            </c:dLbl>
            <c:dLbl>
              <c:idx val="5"/>
              <c:layout>
                <c:manualLayout>
                  <c:x val="-2.5848102909397808E-2"/>
                  <c:y val="-2.9465930018416207E-2"/>
                </c:manualLayout>
              </c:layout>
              <c:dLblPos val="r"/>
              <c:showLegendKey val="0"/>
              <c:showVal val="1"/>
              <c:showCatName val="0"/>
              <c:showSerName val="0"/>
              <c:showPercent val="0"/>
              <c:showBubbleSize val="0"/>
            </c:dLbl>
            <c:dLbl>
              <c:idx val="6"/>
              <c:layout>
                <c:manualLayout>
                  <c:x val="-1.1713827291023337E-2"/>
                  <c:y val="-7.3664825046041195E-3"/>
                </c:manualLayout>
              </c:layout>
              <c:dLblPos val="r"/>
              <c:showLegendKey val="0"/>
              <c:showVal val="1"/>
              <c:showCatName val="0"/>
              <c:showSerName val="0"/>
              <c:showPercent val="0"/>
              <c:showBubbleSize val="0"/>
            </c:dLbl>
            <c:dLbl>
              <c:idx val="7"/>
              <c:layout>
                <c:manualLayout>
                  <c:x val="-0.11772089442883243"/>
                  <c:y val="0"/>
                </c:manualLayout>
              </c:layout>
              <c:dLblPos val="r"/>
              <c:showLegendKey val="0"/>
              <c:showVal val="1"/>
              <c:showCatName val="0"/>
              <c:showSerName val="0"/>
              <c:showPercent val="0"/>
              <c:showBubbleSize val="0"/>
            </c:dLbl>
            <c:dLbl>
              <c:idx val="8"/>
              <c:layout>
                <c:manualLayout>
                  <c:x val="-4.6468749710173157E-3"/>
                  <c:y val="-1.841620626151013E-2"/>
                </c:manualLayout>
              </c:layout>
              <c:dLblPos val="r"/>
              <c:showLegendKey val="0"/>
              <c:showVal val="1"/>
              <c:showCatName val="0"/>
              <c:showSerName val="0"/>
              <c:showPercent val="0"/>
              <c:showBubbleSize val="0"/>
            </c:dLbl>
            <c:dLbl>
              <c:idx val="9"/>
              <c:layout>
                <c:manualLayout>
                  <c:x val="-0.1059423314135204"/>
                  <c:y val="0"/>
                </c:manualLayout>
              </c:layout>
              <c:dLblPos val="r"/>
              <c:showLegendKey val="0"/>
              <c:showVal val="1"/>
              <c:showCatName val="0"/>
              <c:showSerName val="0"/>
              <c:showPercent val="0"/>
              <c:showBubbleSize val="0"/>
            </c:dLbl>
            <c:dLbl>
              <c:idx val="10"/>
              <c:layout>
                <c:manualLayout>
                  <c:x val="-7.3225564118972759E-3"/>
                  <c:y val="-3.3149171270718369E-2"/>
                </c:manualLayout>
              </c:layout>
              <c:dLblPos val="r"/>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dLblPos val="ctr"/>
            <c:showLegendKey val="0"/>
            <c:showVal val="1"/>
            <c:showCatName val="0"/>
            <c:showSerName val="0"/>
            <c:showPercent val="0"/>
            <c:showBubbleSize val="0"/>
            <c:showLeaderLines val="0"/>
          </c:dLbls>
          <c:cat>
            <c:numRef>
              <c:f>resueltos!$Q$10:$AA$10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resueltos!$Q$13:$AA$13</c:f>
              <c:numCache>
                <c:formatCode>General</c:formatCode>
                <c:ptCount val="11"/>
                <c:pt idx="0">
                  <c:v>257742</c:v>
                </c:pt>
                <c:pt idx="1">
                  <c:v>275000</c:v>
                </c:pt>
                <c:pt idx="2">
                  <c:v>292510</c:v>
                </c:pt>
                <c:pt idx="3">
                  <c:v>299346</c:v>
                </c:pt>
                <c:pt idx="4">
                  <c:v>287515</c:v>
                </c:pt>
                <c:pt idx="5">
                  <c:v>282973</c:v>
                </c:pt>
                <c:pt idx="6">
                  <c:v>260103</c:v>
                </c:pt>
                <c:pt idx="7">
                  <c:v>234218</c:v>
                </c:pt>
                <c:pt idx="8">
                  <c:v>230040</c:v>
                </c:pt>
                <c:pt idx="9">
                  <c:v>213655</c:v>
                </c:pt>
                <c:pt idx="10">
                  <c:v>205396</c:v>
                </c:pt>
              </c:numCache>
            </c:numRef>
          </c:val>
          <c:smooth val="0"/>
        </c:ser>
        <c:dLbls>
          <c:showLegendKey val="0"/>
          <c:showVal val="0"/>
          <c:showCatName val="0"/>
          <c:showSerName val="0"/>
          <c:showPercent val="0"/>
          <c:showBubbleSize val="0"/>
        </c:dLbls>
        <c:marker val="1"/>
        <c:smooth val="0"/>
        <c:axId val="307781632"/>
        <c:axId val="307589056"/>
      </c:lineChart>
      <c:catAx>
        <c:axId val="307781632"/>
        <c:scaling>
          <c:orientation val="minMax"/>
        </c:scaling>
        <c:delete val="0"/>
        <c:axPos val="b"/>
        <c:numFmt formatCode="0" sourceLinked="0"/>
        <c:majorTickMark val="none"/>
        <c:minorTickMark val="none"/>
        <c:tickLblPos val="nextTo"/>
        <c:txPr>
          <a:bodyPr rot="0" vert="horz"/>
          <a:lstStyle/>
          <a:p>
            <a:pPr>
              <a:defRPr b="1">
                <a:latin typeface="Verdana" panose="020B0604030504040204" pitchFamily="34" charset="0"/>
                <a:ea typeface="Verdana" panose="020B0604030504040204" pitchFamily="34" charset="0"/>
                <a:cs typeface="Verdana" panose="020B0604030504040204" pitchFamily="34" charset="0"/>
              </a:defRPr>
            </a:pPr>
            <a:endParaRPr lang="es-ES"/>
          </a:p>
        </c:txPr>
        <c:crossAx val="307589056"/>
        <c:crosses val="autoZero"/>
        <c:auto val="1"/>
        <c:lblAlgn val="ctr"/>
        <c:lblOffset val="100"/>
        <c:tickLblSkip val="1"/>
        <c:tickMarkSkip val="1"/>
        <c:noMultiLvlLbl val="0"/>
      </c:catAx>
      <c:valAx>
        <c:axId val="307589056"/>
        <c:scaling>
          <c:orientation val="minMax"/>
          <c:min val="200000"/>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7781632"/>
        <c:crosses val="autoZero"/>
        <c:crossBetween val="between"/>
      </c:valAx>
    </c:plotArea>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Tasa de congestión</a:t>
            </a:r>
          </a:p>
        </c:rich>
      </c:tx>
      <c:layout>
        <c:manualLayout>
          <c:xMode val="edge"/>
          <c:yMode val="edge"/>
          <c:x val="0.36551760340302286"/>
          <c:y val="3.5087719298245612E-2"/>
        </c:manualLayout>
      </c:layout>
      <c:overlay val="0"/>
      <c:spPr>
        <a:noFill/>
        <a:ln w="25400">
          <a:noFill/>
        </a:ln>
      </c:spPr>
    </c:title>
    <c:autoTitleDeleted val="0"/>
    <c:plotArea>
      <c:layout>
        <c:manualLayout>
          <c:layoutTarget val="inner"/>
          <c:xMode val="edge"/>
          <c:yMode val="edge"/>
          <c:x val="9.6551805421441789E-2"/>
          <c:y val="0.1988309771078248"/>
          <c:w val="0.69137989239282427"/>
          <c:h val="0.49415345781209397"/>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TC!$B$77:$B$94</c:f>
              <c:numCache>
                <c:formatCode>0.00</c:formatCode>
                <c:ptCount val="18"/>
                <c:pt idx="0">
                  <c:v>1.8917875050819895</c:v>
                </c:pt>
                <c:pt idx="1">
                  <c:v>1.8299022130725682</c:v>
                </c:pt>
                <c:pt idx="2">
                  <c:v>1.5774760383386581</c:v>
                </c:pt>
                <c:pt idx="3">
                  <c:v>2.0339873861247373</c:v>
                </c:pt>
                <c:pt idx="4">
                  <c:v>1.7135553061478987</c:v>
                </c:pt>
                <c:pt idx="5">
                  <c:v>1.4879587155963303</c:v>
                </c:pt>
                <c:pt idx="6">
                  <c:v>1.5704895738893925</c:v>
                </c:pt>
                <c:pt idx="7">
                  <c:v>1.8728089887640449</c:v>
                </c:pt>
                <c:pt idx="8">
                  <c:v>2.1125853767775165</c:v>
                </c:pt>
                <c:pt idx="9">
                  <c:v>1.8849079122885024</c:v>
                </c:pt>
                <c:pt idx="10">
                  <c:v>2.1201062791454288</c:v>
                </c:pt>
                <c:pt idx="11">
                  <c:v>1.6364382437423062</c:v>
                </c:pt>
                <c:pt idx="12">
                  <c:v>1.5007767995857069</c:v>
                </c:pt>
                <c:pt idx="13">
                  <c:v>1.6809191722876415</c:v>
                </c:pt>
                <c:pt idx="14">
                  <c:v>1.8994422572178478</c:v>
                </c:pt>
                <c:pt idx="15">
                  <c:v>1.7119675456389452</c:v>
                </c:pt>
                <c:pt idx="16">
                  <c:v>1.7412979727145226</c:v>
                </c:pt>
                <c:pt idx="17">
                  <c:v>1.6199510403916768</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1"/>
              <c:layout>
                <c:manualLayout>
                  <c:x val="1.3421124083627478E-2"/>
                  <c:y val="-9.4568003560958746E-3"/>
                </c:manualLayout>
              </c:layout>
              <c:dLblPos val="outEnd"/>
              <c:showLegendKey val="0"/>
              <c:showVal val="1"/>
              <c:showCatName val="0"/>
              <c:showSerName val="0"/>
              <c:showPercent val="0"/>
              <c:showBubbleSize val="0"/>
            </c:dLbl>
            <c:dLbl>
              <c:idx val="3"/>
              <c:layout>
                <c:manualLayout>
                  <c:x val="6.1411892478956953E-3"/>
                  <c:y val="-5.3595493545762918E-3"/>
                </c:manualLayout>
              </c:layout>
              <c:dLblPos val="outEnd"/>
              <c:showLegendKey val="0"/>
              <c:showVal val="1"/>
              <c:showCatName val="0"/>
              <c:showSerName val="0"/>
              <c:showPercent val="0"/>
              <c:showBubbleSize val="0"/>
            </c:dLbl>
            <c:dLbl>
              <c:idx val="4"/>
              <c:layout>
                <c:manualLayout>
                  <c:x val="3.3635946706909734E-3"/>
                  <c:y val="-2.5414693176346297E-2"/>
                </c:manualLayout>
              </c:layout>
              <c:dLblPos val="outEnd"/>
              <c:showLegendKey val="0"/>
              <c:showVal val="1"/>
              <c:showCatName val="0"/>
              <c:showSerName val="0"/>
              <c:showPercent val="0"/>
              <c:showBubbleSize val="0"/>
            </c:dLbl>
            <c:dLbl>
              <c:idx val="5"/>
              <c:layout>
                <c:manualLayout>
                  <c:x val="0"/>
                  <c:y val="7.7972709551656916E-3"/>
                </c:manualLayout>
              </c:layout>
              <c:dLblPos val="outEnd"/>
              <c:showLegendKey val="0"/>
              <c:showVal val="1"/>
              <c:showCatName val="0"/>
              <c:showSerName val="0"/>
              <c:showPercent val="0"/>
              <c:showBubbleSize val="0"/>
            </c:dLbl>
            <c:dLbl>
              <c:idx val="6"/>
              <c:layout>
                <c:manualLayout>
                  <c:x val="4.1299665128065469E-3"/>
                  <c:y val="1.1721385703979985E-2"/>
                </c:manualLayout>
              </c:layout>
              <c:dLblPos val="outEnd"/>
              <c:showLegendKey val="0"/>
              <c:showVal val="1"/>
              <c:showCatName val="0"/>
              <c:showSerName val="0"/>
              <c:showPercent val="0"/>
              <c:showBubbleSize val="0"/>
            </c:dLbl>
            <c:dLbl>
              <c:idx val="7"/>
              <c:layout>
                <c:manualLayout>
                  <c:x val="3.650957736516601E-3"/>
                  <c:y val="9.3815692996867088E-3"/>
                </c:manualLayout>
              </c:layout>
              <c:dLblPos val="outEnd"/>
              <c:showLegendKey val="0"/>
              <c:showVal val="1"/>
              <c:showCatName val="0"/>
              <c:showSerName val="0"/>
              <c:showPercent val="0"/>
              <c:showBubbleSize val="0"/>
            </c:dLbl>
            <c:dLbl>
              <c:idx val="8"/>
              <c:layout>
                <c:manualLayout>
                  <c:x val="3.1720322976165061E-3"/>
                  <c:y val="-5.688201669984712E-4"/>
                </c:manualLayout>
              </c:layout>
              <c:dLblPos val="outEnd"/>
              <c:showLegendKey val="0"/>
              <c:showVal val="1"/>
              <c:showCatName val="0"/>
              <c:showSerName val="0"/>
              <c:showPercent val="0"/>
              <c:showBubbleSize val="0"/>
            </c:dLbl>
            <c:dLbl>
              <c:idx val="10"/>
              <c:layout>
                <c:manualLayout>
                  <c:x val="3.9383208023422286E-3"/>
                  <c:y val="-2.9095398490032866E-2"/>
                </c:manualLayout>
              </c:layout>
              <c:dLblPos val="outEnd"/>
              <c:showLegendKey val="0"/>
              <c:showVal val="1"/>
              <c:showCatName val="0"/>
              <c:showSerName val="0"/>
              <c:showPercent val="0"/>
              <c:showBubbleSize val="0"/>
            </c:dLbl>
            <c:dLbl>
              <c:idx val="11"/>
              <c:layout>
                <c:manualLayout>
                  <c:x val="3.4593953634420782E-3"/>
                  <c:y val="-1.9344054821448062E-2"/>
                </c:manualLayout>
              </c:layout>
              <c:dLblPos val="outEnd"/>
              <c:showLegendKey val="0"/>
              <c:showVal val="1"/>
              <c:showCatName val="0"/>
              <c:showSerName val="0"/>
              <c:showPercent val="0"/>
              <c:showBubbleSize val="0"/>
            </c:dLbl>
            <c:dLbl>
              <c:idx val="12"/>
              <c:layout>
                <c:manualLayout>
                  <c:x val="0"/>
                  <c:y val="1.1695906432748537E-2"/>
                </c:manualLayout>
              </c:layout>
              <c:dLblPos val="outEnd"/>
              <c:showLegendKey val="0"/>
              <c:showVal val="1"/>
              <c:showCatName val="0"/>
              <c:showSerName val="0"/>
              <c:showPercent val="0"/>
              <c:showBubbleSize val="0"/>
            </c:dLbl>
            <c:dLbl>
              <c:idx val="14"/>
              <c:layout>
                <c:manualLayout>
                  <c:x val="3.7467584292677613E-3"/>
                  <c:y val="3.2484629681618925E-4"/>
                </c:manualLayout>
              </c:layout>
              <c:dLblPos val="outEnd"/>
              <c:showLegendKey val="0"/>
              <c:showVal val="1"/>
              <c:showCatName val="0"/>
              <c:showSerName val="0"/>
              <c:showPercent val="0"/>
              <c:showBubbleSize val="0"/>
            </c:dLbl>
            <c:dLbl>
              <c:idx val="15"/>
              <c:layout>
                <c:manualLayout>
                  <c:x val="3.2678329903677219E-3"/>
                  <c:y val="3.9856304437172147E-4"/>
                </c:manualLayout>
              </c:layout>
              <c:dLblPos val="outEnd"/>
              <c:showLegendKey val="0"/>
              <c:showVal val="1"/>
              <c:showCatName val="0"/>
              <c:showSerName val="0"/>
              <c:showPercent val="0"/>
              <c:showBubbleSize val="0"/>
            </c:dLbl>
            <c:dLbl>
              <c:idx val="17"/>
              <c:layout>
                <c:manualLayout>
                  <c:x val="4.0340302289799982E-3"/>
                  <c:y val="-1.7356295375358783E-2"/>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TC!$C$77:$C$94</c:f>
              <c:numCache>
                <c:formatCode>0.00</c:formatCode>
                <c:ptCount val="18"/>
                <c:pt idx="0">
                  <c:v>1.77</c:v>
                </c:pt>
                <c:pt idx="1">
                  <c:v>1.93</c:v>
                </c:pt>
                <c:pt idx="2">
                  <c:v>1.62</c:v>
                </c:pt>
                <c:pt idx="3">
                  <c:v>2.38</c:v>
                </c:pt>
                <c:pt idx="4">
                  <c:v>1.69</c:v>
                </c:pt>
                <c:pt idx="5">
                  <c:v>1.48</c:v>
                </c:pt>
                <c:pt idx="6">
                  <c:v>1.6</c:v>
                </c:pt>
                <c:pt idx="7">
                  <c:v>1.89</c:v>
                </c:pt>
                <c:pt idx="8">
                  <c:v>2.2599999999999998</c:v>
                </c:pt>
                <c:pt idx="9">
                  <c:v>1.89</c:v>
                </c:pt>
                <c:pt idx="10">
                  <c:v>2.08</c:v>
                </c:pt>
                <c:pt idx="11">
                  <c:v>1.48</c:v>
                </c:pt>
                <c:pt idx="12">
                  <c:v>1.58</c:v>
                </c:pt>
                <c:pt idx="13">
                  <c:v>1.64</c:v>
                </c:pt>
                <c:pt idx="14">
                  <c:v>1.93</c:v>
                </c:pt>
                <c:pt idx="15">
                  <c:v>1.63</c:v>
                </c:pt>
                <c:pt idx="16">
                  <c:v>2.29</c:v>
                </c:pt>
                <c:pt idx="17">
                  <c:v>2.0299999999999998</c:v>
                </c:pt>
              </c:numCache>
            </c:numRef>
          </c:val>
        </c:ser>
        <c:dLbls>
          <c:showLegendKey val="0"/>
          <c:showVal val="0"/>
          <c:showCatName val="0"/>
          <c:showSerName val="0"/>
          <c:showPercent val="0"/>
          <c:showBubbleSize val="0"/>
        </c:dLbls>
        <c:gapWidth val="150"/>
        <c:axId val="307782656"/>
        <c:axId val="307590784"/>
      </c:barChart>
      <c:lineChart>
        <c:grouping val="standard"/>
        <c:varyColors val="0"/>
        <c:ser>
          <c:idx val="2"/>
          <c:order val="2"/>
          <c:tx>
            <c:v>España 2017</c:v>
          </c:tx>
          <c:spPr>
            <a:ln w="25400">
              <a:solidFill>
                <a:srgbClr val="000000"/>
              </a:solidFill>
              <a:prstDash val="solid"/>
            </a:ln>
          </c:spPr>
          <c:marker>
            <c:symbol val="none"/>
          </c:marker>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TC!$D$77:$D$94</c:f>
              <c:numCache>
                <c:formatCode>0.00</c:formatCode>
                <c:ptCount val="18"/>
                <c:pt idx="0">
                  <c:v>1.89</c:v>
                </c:pt>
                <c:pt idx="1">
                  <c:v>1.89</c:v>
                </c:pt>
                <c:pt idx="2">
                  <c:v>1.89</c:v>
                </c:pt>
                <c:pt idx="3">
                  <c:v>1.89</c:v>
                </c:pt>
                <c:pt idx="4">
                  <c:v>1.89</c:v>
                </c:pt>
                <c:pt idx="5">
                  <c:v>1.89</c:v>
                </c:pt>
                <c:pt idx="6">
                  <c:v>1.89</c:v>
                </c:pt>
                <c:pt idx="7">
                  <c:v>1.89</c:v>
                </c:pt>
                <c:pt idx="8">
                  <c:v>1.89</c:v>
                </c:pt>
                <c:pt idx="9">
                  <c:v>1.89</c:v>
                </c:pt>
                <c:pt idx="10">
                  <c:v>1.89</c:v>
                </c:pt>
                <c:pt idx="11">
                  <c:v>1.89</c:v>
                </c:pt>
                <c:pt idx="12">
                  <c:v>1.89</c:v>
                </c:pt>
                <c:pt idx="13">
                  <c:v>1.89</c:v>
                </c:pt>
                <c:pt idx="14">
                  <c:v>1.89</c:v>
                </c:pt>
                <c:pt idx="15">
                  <c:v>1.89</c:v>
                </c:pt>
                <c:pt idx="16">
                  <c:v>1.89</c:v>
                </c:pt>
                <c:pt idx="17">
                  <c:v>1.89</c:v>
                </c:pt>
              </c:numCache>
            </c:numRef>
          </c:val>
          <c:smooth val="0"/>
        </c:ser>
        <c:dLbls>
          <c:showLegendKey val="0"/>
          <c:showVal val="0"/>
          <c:showCatName val="0"/>
          <c:showSerName val="0"/>
          <c:showPercent val="0"/>
          <c:showBubbleSize val="0"/>
        </c:dLbls>
        <c:marker val="1"/>
        <c:smooth val="0"/>
        <c:axId val="307783168"/>
        <c:axId val="307591360"/>
      </c:lineChart>
      <c:catAx>
        <c:axId val="3077826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307590784"/>
        <c:crosses val="autoZero"/>
        <c:auto val="0"/>
        <c:lblAlgn val="ctr"/>
        <c:lblOffset val="100"/>
        <c:tickLblSkip val="1"/>
        <c:tickMarkSkip val="1"/>
        <c:noMultiLvlLbl val="0"/>
      </c:catAx>
      <c:valAx>
        <c:axId val="307590784"/>
        <c:scaling>
          <c:orientation val="minMax"/>
          <c:max val="2.8"/>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07782656"/>
        <c:crosses val="autoZero"/>
        <c:crossBetween val="between"/>
      </c:valAx>
      <c:catAx>
        <c:axId val="307783168"/>
        <c:scaling>
          <c:orientation val="minMax"/>
        </c:scaling>
        <c:delete val="1"/>
        <c:axPos val="b"/>
        <c:majorTickMark val="out"/>
        <c:minorTickMark val="none"/>
        <c:tickLblPos val="nextTo"/>
        <c:crossAx val="307591360"/>
        <c:crosses val="autoZero"/>
        <c:auto val="0"/>
        <c:lblAlgn val="ctr"/>
        <c:lblOffset val="100"/>
        <c:noMultiLvlLbl val="0"/>
      </c:catAx>
      <c:valAx>
        <c:axId val="307591360"/>
        <c:scaling>
          <c:orientation val="minMax"/>
        </c:scaling>
        <c:delete val="1"/>
        <c:axPos val="l"/>
        <c:numFmt formatCode="0.00" sourceLinked="1"/>
        <c:majorTickMark val="out"/>
        <c:minorTickMark val="none"/>
        <c:tickLblPos val="nextTo"/>
        <c:crossAx val="307783168"/>
        <c:crosses val="autoZero"/>
        <c:crossBetween val="between"/>
      </c:valAx>
      <c:spPr>
        <a:solidFill>
          <a:srgbClr val="99CCFF"/>
        </a:solidFill>
        <a:ln w="12700">
          <a:solidFill>
            <a:srgbClr val="808080"/>
          </a:solidFill>
          <a:prstDash val="solid"/>
        </a:ln>
      </c:spPr>
    </c:plotArea>
    <c:legend>
      <c:legendPos val="r"/>
      <c:layout>
        <c:manualLayout>
          <c:xMode val="edge"/>
          <c:yMode val="edge"/>
          <c:x val="0.80689727577156301"/>
          <c:y val="0.36257402035271907"/>
          <c:w val="0.17931052583944251"/>
          <c:h val="0.16959125723319673"/>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panose="020B0604030504040204" pitchFamily="34" charset="0"/>
                <a:ea typeface="Arial"/>
                <a:cs typeface="Arial"/>
              </a:defRPr>
            </a:pPr>
            <a:r>
              <a:rPr lang="es-ES" sz="1000" baseline="0">
                <a:latin typeface="Verdana" panose="020B0604030504040204" pitchFamily="34" charset="0"/>
              </a:rPr>
              <a:t>Sentencias en la jurisdicción Contencioso-administrativa</a:t>
            </a:r>
          </a:p>
        </c:rich>
      </c:tx>
      <c:layout>
        <c:manualLayout>
          <c:xMode val="edge"/>
          <c:yMode val="edge"/>
          <c:x val="0.21311513318806422"/>
          <c:y val="3.4883720930232558E-2"/>
        </c:manualLayout>
      </c:layout>
      <c:overlay val="0"/>
      <c:spPr>
        <a:noFill/>
        <a:ln w="25400">
          <a:noFill/>
        </a:ln>
      </c:spPr>
    </c:title>
    <c:autoTitleDeleted val="0"/>
    <c:plotArea>
      <c:layout>
        <c:manualLayout>
          <c:layoutTarget val="inner"/>
          <c:xMode val="edge"/>
          <c:yMode val="edge"/>
          <c:x val="0.11657579935073598"/>
          <c:y val="0.17151162790697674"/>
          <c:w val="0.85792502334682263"/>
          <c:h val="0.70930232558139539"/>
        </c:manualLayout>
      </c:layout>
      <c:lineChart>
        <c:grouping val="stacked"/>
        <c:varyColors val="0"/>
        <c:ser>
          <c:idx val="0"/>
          <c:order val="0"/>
          <c:spPr>
            <a:ln w="44450">
              <a:solidFill>
                <a:schemeClr val="tx2">
                  <a:lumMod val="60000"/>
                  <a:lumOff val="40000"/>
                </a:schemeClr>
              </a:solidFill>
              <a:prstDash val="solid"/>
            </a:ln>
          </c:spPr>
          <c:marker>
            <c:symbol val="diamond"/>
            <c:size val="7"/>
            <c:spPr>
              <a:solidFill>
                <a:schemeClr val="tx2">
                  <a:lumMod val="40000"/>
                  <a:lumOff val="60000"/>
                </a:schemeClr>
              </a:solidFill>
              <a:ln>
                <a:solidFill>
                  <a:srgbClr val="000080"/>
                </a:solidFill>
                <a:prstDash val="solid"/>
              </a:ln>
            </c:spPr>
          </c:marker>
          <c:dLbls>
            <c:dLbl>
              <c:idx val="0"/>
              <c:layout>
                <c:manualLayout>
                  <c:x val="-2.185792349726776E-2"/>
                  <c:y val="4.137965463250811E-2"/>
                </c:manualLayout>
              </c:layout>
              <c:showLegendKey val="0"/>
              <c:showVal val="1"/>
              <c:showCatName val="0"/>
              <c:showSerName val="0"/>
              <c:showPercent val="0"/>
              <c:showBubbleSize val="0"/>
            </c:dLbl>
            <c:dLbl>
              <c:idx val="1"/>
              <c:layout>
                <c:manualLayout>
                  <c:x val="-7.3092888517722792E-3"/>
                  <c:y val="1.2122315920155117E-2"/>
                </c:manualLayout>
              </c:layout>
              <c:dLblPos val="r"/>
              <c:showLegendKey val="0"/>
              <c:showVal val="1"/>
              <c:showCatName val="0"/>
              <c:showSerName val="0"/>
              <c:showPercent val="0"/>
              <c:showBubbleSize val="0"/>
            </c:dLbl>
            <c:dLbl>
              <c:idx val="2"/>
              <c:layout>
                <c:manualLayout>
                  <c:x val="-1.5622965162141574E-2"/>
                  <c:y val="1.3294124475226838E-2"/>
                </c:manualLayout>
              </c:layout>
              <c:dLblPos val="r"/>
              <c:showLegendKey val="0"/>
              <c:showVal val="1"/>
              <c:showCatName val="0"/>
              <c:showSerName val="0"/>
              <c:showPercent val="0"/>
              <c:showBubbleSize val="0"/>
            </c:dLbl>
            <c:dLbl>
              <c:idx val="3"/>
              <c:layout>
                <c:manualLayout>
                  <c:x val="-5.1866003088411765E-2"/>
                  <c:y val="-4.7020808277927831E-2"/>
                </c:manualLayout>
              </c:layout>
              <c:dLblPos val="r"/>
              <c:showLegendKey val="0"/>
              <c:showVal val="1"/>
              <c:showCatName val="0"/>
              <c:showSerName val="0"/>
              <c:showPercent val="0"/>
              <c:showBubbleSize val="0"/>
            </c:dLbl>
            <c:dLbl>
              <c:idx val="4"/>
              <c:layout>
                <c:manualLayout>
                  <c:x val="-2.9803460359804752E-2"/>
                  <c:y val="-1.94682581103875E-2"/>
                </c:manualLayout>
              </c:layout>
              <c:dLblPos val="r"/>
              <c:showLegendKey val="0"/>
              <c:showVal val="1"/>
              <c:showCatName val="0"/>
              <c:showSerName val="0"/>
              <c:showPercent val="0"/>
              <c:showBubbleSize val="0"/>
            </c:dLbl>
            <c:dLbl>
              <c:idx val="5"/>
              <c:layout>
                <c:manualLayout>
                  <c:x val="-1.2633994521176656E-2"/>
                  <c:y val="-2.1886586943202706E-2"/>
                </c:manualLayout>
              </c:layout>
              <c:dLblPos val="r"/>
              <c:showLegendKey val="0"/>
              <c:showVal val="1"/>
              <c:showCatName val="0"/>
              <c:showSerName val="0"/>
              <c:showPercent val="0"/>
              <c:showBubbleSize val="0"/>
            </c:dLbl>
            <c:dLbl>
              <c:idx val="6"/>
              <c:layout>
                <c:manualLayout>
                  <c:x val="-5.9805802963154193E-2"/>
                  <c:y val="5.2122504859803187E-2"/>
                </c:manualLayout>
              </c:layout>
              <c:dLblPos val="r"/>
              <c:showLegendKey val="0"/>
              <c:showVal val="1"/>
              <c:showCatName val="0"/>
              <c:showSerName val="0"/>
              <c:showPercent val="0"/>
              <c:showBubbleSize val="0"/>
            </c:dLbl>
            <c:dLbl>
              <c:idx val="7"/>
              <c:layout>
                <c:manualLayout>
                  <c:x val="-1.3311724012640496E-3"/>
                  <c:y val="-1.4467312623386054E-2"/>
                </c:manualLayout>
              </c:layout>
              <c:dLblPos val="r"/>
              <c:showLegendKey val="0"/>
              <c:showVal val="1"/>
              <c:showCatName val="0"/>
              <c:showSerName val="0"/>
              <c:showPercent val="0"/>
              <c:showBubbleSize val="0"/>
            </c:dLbl>
            <c:dLbl>
              <c:idx val="8"/>
              <c:layout>
                <c:manualLayout>
                  <c:x val="-2.185792349726776E-2"/>
                  <c:y val="-2.3054755043227664E-2"/>
                </c:manualLayout>
              </c:layout>
              <c:showLegendKey val="0"/>
              <c:showVal val="1"/>
              <c:showCatName val="0"/>
              <c:showSerName val="0"/>
              <c:showPercent val="0"/>
              <c:showBubbleSize val="0"/>
            </c:dLbl>
            <c:dLbl>
              <c:idx val="9"/>
              <c:layout>
                <c:manualLayout>
                  <c:x val="-9.7496665375844407E-2"/>
                  <c:y val="3.4923415552882982E-2"/>
                </c:manualLayout>
              </c:layout>
              <c:dLblPos val="r"/>
              <c:showLegendKey val="0"/>
              <c:showVal val="1"/>
              <c:showCatName val="0"/>
              <c:showSerName val="0"/>
              <c:showPercent val="0"/>
              <c:showBubbleSize val="0"/>
            </c:dLbl>
            <c:dLbl>
              <c:idx val="10"/>
              <c:layout>
                <c:manualLayout>
                  <c:x val="-1.4735453150323423E-2"/>
                  <c:y val="5.0759793354360962E-2"/>
                </c:manualLayout>
              </c:layout>
              <c:dLblPos val="r"/>
              <c:showLegendKey val="0"/>
              <c:showVal val="1"/>
              <c:showCatName val="0"/>
              <c:showSerName val="0"/>
              <c:showPercent val="0"/>
              <c:showBubbleSize val="0"/>
            </c:dLbl>
            <c:dLbl>
              <c:idx val="11"/>
              <c:layout>
                <c:manualLayout>
                  <c:x val="-4.0656710614231061E-2"/>
                  <c:y val="-5.6871528601065306E-2"/>
                </c:manualLayout>
              </c:layout>
              <c:dLblPos val="r"/>
              <c:showLegendKey val="0"/>
              <c:showVal val="1"/>
              <c:showCatName val="0"/>
              <c:showSerName val="0"/>
              <c:showPercent val="0"/>
              <c:showBubbleSize val="0"/>
            </c:dLbl>
            <c:dLbl>
              <c:idx val="12"/>
              <c:layout>
                <c:manualLayout>
                  <c:x val="-1.5359566684812701E-2"/>
                  <c:y val="3.4453424558716625E-2"/>
                </c:manualLayout>
              </c:layout>
              <c:dLblPos val="r"/>
              <c:showLegendKey val="0"/>
              <c:showVal val="1"/>
              <c:showCatName val="0"/>
              <c:showSerName val="0"/>
              <c:showPercent val="0"/>
              <c:showBubbleSize val="0"/>
            </c:dLbl>
            <c:numFmt formatCode="#,##0" sourceLinked="0"/>
            <c:spPr>
              <a:noFill/>
              <a:ln w="25400">
                <a:noFill/>
              </a:ln>
            </c:spPr>
            <c:txPr>
              <a:bodyPr/>
              <a:lstStyle/>
              <a:p>
                <a:pPr>
                  <a:defRPr sz="700" b="1" i="0" u="none" strike="noStrike" baseline="0">
                    <a:solidFill>
                      <a:srgbClr val="000000"/>
                    </a:solidFill>
                    <a:latin typeface="Verdana" panose="020B0604030504040204" pitchFamily="34" charset="0"/>
                    <a:ea typeface="Arial"/>
                    <a:cs typeface="Arial"/>
                  </a:defRPr>
                </a:pPr>
                <a:endParaRPr lang="es-ES"/>
              </a:p>
            </c:txPr>
            <c:showLegendKey val="0"/>
            <c:showVal val="1"/>
            <c:showCatName val="0"/>
            <c:showSerName val="0"/>
            <c:showPercent val="0"/>
            <c:showBubbleSize val="0"/>
            <c:showLeaderLines val="0"/>
          </c:dLbls>
          <c:cat>
            <c:numRef>
              <c:f>sentencias!$Q$2:$AA$2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sentencias!$Q$5:$AA$5</c:f>
              <c:numCache>
                <c:formatCode>#,##0</c:formatCode>
                <c:ptCount val="11"/>
                <c:pt idx="0" formatCode="General">
                  <c:v>158017</c:v>
                </c:pt>
                <c:pt idx="1">
                  <c:v>169001</c:v>
                </c:pt>
                <c:pt idx="2" formatCode="General">
                  <c:v>182623</c:v>
                </c:pt>
                <c:pt idx="3" formatCode="General">
                  <c:v>186370</c:v>
                </c:pt>
                <c:pt idx="4" formatCode="General">
                  <c:v>182676</c:v>
                </c:pt>
                <c:pt idx="5" formatCode="General">
                  <c:v>175662</c:v>
                </c:pt>
                <c:pt idx="6" formatCode="General">
                  <c:v>161549</c:v>
                </c:pt>
                <c:pt idx="7" formatCode="General">
                  <c:v>153658</c:v>
                </c:pt>
                <c:pt idx="8" formatCode="General">
                  <c:v>148917</c:v>
                </c:pt>
                <c:pt idx="9" formatCode="General">
                  <c:v>138435</c:v>
                </c:pt>
                <c:pt idx="10" formatCode="General">
                  <c:v>131779</c:v>
                </c:pt>
              </c:numCache>
            </c:numRef>
          </c:val>
          <c:smooth val="0"/>
        </c:ser>
        <c:dLbls>
          <c:showLegendKey val="0"/>
          <c:showVal val="0"/>
          <c:showCatName val="0"/>
          <c:showSerName val="0"/>
          <c:showPercent val="0"/>
          <c:showBubbleSize val="0"/>
        </c:dLbls>
        <c:marker val="1"/>
        <c:smooth val="0"/>
        <c:axId val="307783680"/>
        <c:axId val="309297152"/>
      </c:lineChart>
      <c:catAx>
        <c:axId val="307783680"/>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309297152"/>
        <c:crosses val="autoZero"/>
        <c:auto val="1"/>
        <c:lblAlgn val="ctr"/>
        <c:lblOffset val="100"/>
        <c:tickLblSkip val="1"/>
        <c:tickMarkSkip val="1"/>
        <c:noMultiLvlLbl val="0"/>
      </c:catAx>
      <c:valAx>
        <c:axId val="309297152"/>
        <c:scaling>
          <c:orientation val="minMax"/>
          <c:max val="190000"/>
          <c:min val="12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307783680"/>
        <c:crosses val="autoZero"/>
        <c:crossBetween val="between"/>
        <c:majorUnit val="25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450" b="0" i="0" u="none" strike="noStrike" baseline="0">
          <a:solidFill>
            <a:srgbClr val="000000"/>
          </a:solidFill>
          <a:latin typeface="Arial"/>
          <a:ea typeface="Arial"/>
          <a:cs typeface="Arial"/>
        </a:defRPr>
      </a:pPr>
      <a:endParaRPr lang="es-E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ingresados en la Jurisdicción Social</a:t>
            </a:r>
          </a:p>
        </c:rich>
      </c:tx>
      <c:layout/>
      <c:overlay val="0"/>
    </c:title>
    <c:autoTitleDeleted val="0"/>
    <c:plotArea>
      <c:layout/>
      <c:lineChart>
        <c:grouping val="standard"/>
        <c:varyColors val="0"/>
        <c:ser>
          <c:idx val="0"/>
          <c:order val="0"/>
          <c:dLbls>
            <c:dLbl>
              <c:idx val="1"/>
              <c:layout>
                <c:manualLayout>
                  <c:x val="-0.12806026365348402"/>
                  <c:y val="-2.3148148148148147E-2"/>
                </c:manualLayout>
              </c:layout>
              <c:showLegendKey val="0"/>
              <c:showVal val="1"/>
              <c:showCatName val="0"/>
              <c:showSerName val="0"/>
              <c:showPercent val="0"/>
              <c:showBubbleSize val="0"/>
            </c:dLbl>
            <c:dLbl>
              <c:idx val="2"/>
              <c:layout>
                <c:manualLayout>
                  <c:x val="-7.2818581293157561E-2"/>
                  <c:y val="-6.0185185185185182E-2"/>
                </c:manualLayout>
              </c:layout>
              <c:showLegendKey val="0"/>
              <c:showVal val="1"/>
              <c:showCatName val="0"/>
              <c:showSerName val="0"/>
              <c:showPercent val="0"/>
              <c:showBubbleSize val="0"/>
            </c:dLbl>
            <c:dLbl>
              <c:idx val="3"/>
              <c:layout>
                <c:manualLayout>
                  <c:x val="-8.0351537978656629E-2"/>
                  <c:y val="5.5555555555555552E-2"/>
                </c:manualLayout>
              </c:layout>
              <c:showLegendKey val="0"/>
              <c:showVal val="1"/>
              <c:showCatName val="0"/>
              <c:showSerName val="0"/>
              <c:showPercent val="0"/>
              <c:showBubbleSize val="0"/>
            </c:dLbl>
            <c:dLbl>
              <c:idx val="4"/>
              <c:layout>
                <c:manualLayout>
                  <c:x val="-1.5065913370998116E-2"/>
                  <c:y val="3.2407407407407406E-2"/>
                </c:manualLayout>
              </c:layout>
              <c:showLegendKey val="0"/>
              <c:showVal val="1"/>
              <c:showCatName val="0"/>
              <c:showSerName val="0"/>
              <c:showPercent val="0"/>
              <c:showBubbleSize val="0"/>
            </c:dLbl>
            <c:dLbl>
              <c:idx val="5"/>
              <c:layout>
                <c:manualLayout>
                  <c:x val="-7.0307595731324543E-2"/>
                  <c:y val="-4.1666666666666664E-2"/>
                </c:manualLayout>
              </c:layout>
              <c:showLegendKey val="0"/>
              <c:showVal val="1"/>
              <c:showCatName val="0"/>
              <c:showSerName val="0"/>
              <c:showPercent val="0"/>
              <c:showBubbleSize val="0"/>
            </c:dLbl>
            <c:dLbl>
              <c:idx val="6"/>
              <c:layout>
                <c:manualLayout>
                  <c:x val="-1.0043942247332079E-2"/>
                  <c:y val="-3.2407407407407406E-2"/>
                </c:manualLayout>
              </c:layout>
              <c:showLegendKey val="0"/>
              <c:showVal val="1"/>
              <c:showCatName val="0"/>
              <c:showSerName val="0"/>
              <c:showPercent val="0"/>
              <c:showBubbleSize val="0"/>
            </c:dLbl>
            <c:dLbl>
              <c:idx val="7"/>
              <c:layout>
                <c:manualLayout>
                  <c:x val="-1.2554927809165096E-2"/>
                  <c:y val="-2.7777777777777863E-2"/>
                </c:manualLayout>
              </c:layout>
              <c:showLegendKey val="0"/>
              <c:showVal val="1"/>
              <c:showCatName val="0"/>
              <c:showSerName val="0"/>
              <c:showPercent val="0"/>
              <c:showBubbleSize val="0"/>
            </c:dLbl>
            <c:dLbl>
              <c:idx val="8"/>
              <c:layout>
                <c:manualLayout>
                  <c:x val="-0.11801632140615201"/>
                  <c:y val="1.8518518518518517E-2"/>
                </c:manualLayout>
              </c:layout>
              <c:showLegendKey val="0"/>
              <c:showVal val="1"/>
              <c:showCatName val="0"/>
              <c:showSerName val="0"/>
              <c:showPercent val="0"/>
              <c:showBubbleSize val="0"/>
            </c:dLbl>
            <c:dLbl>
              <c:idx val="9"/>
              <c:layout>
                <c:manualLayout>
                  <c:x val="-6.5285624607658604E-2"/>
                  <c:y val="3.7037037037036952E-2"/>
                </c:manualLayout>
              </c:layout>
              <c:showLegendKey val="0"/>
              <c:showVal val="1"/>
              <c:showCatName val="0"/>
              <c:showSerName val="0"/>
              <c:showPercent val="0"/>
              <c:showBubbleSize val="0"/>
            </c:dLbl>
            <c:dLbl>
              <c:idx val="10"/>
              <c:layout>
                <c:manualLayout>
                  <c:x val="-1.2554927809165096E-2"/>
                  <c:y val="-3.7037037037037125E-2"/>
                </c:manualLayout>
              </c:layout>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'ingresados '!$Q$12:$AA$12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'ingresados '!$Q$16:$AA$16</c:f>
              <c:numCache>
                <c:formatCode>#,##0</c:formatCode>
                <c:ptCount val="11"/>
                <c:pt idx="0">
                  <c:v>337364</c:v>
                </c:pt>
                <c:pt idx="1">
                  <c:v>420699</c:v>
                </c:pt>
                <c:pt idx="2" formatCode="General">
                  <c:v>484516</c:v>
                </c:pt>
                <c:pt idx="3" formatCode="General">
                  <c:v>444316</c:v>
                </c:pt>
                <c:pt idx="4" formatCode="General">
                  <c:v>437691</c:v>
                </c:pt>
                <c:pt idx="5" formatCode="General">
                  <c:v>463810</c:v>
                </c:pt>
                <c:pt idx="6" formatCode="General">
                  <c:v>469329</c:v>
                </c:pt>
                <c:pt idx="7" formatCode="General">
                  <c:v>427966</c:v>
                </c:pt>
                <c:pt idx="8" formatCode="General">
                  <c:v>399592</c:v>
                </c:pt>
                <c:pt idx="9" formatCode="General">
                  <c:v>382579</c:v>
                </c:pt>
                <c:pt idx="10" formatCode="General">
                  <c:v>404860</c:v>
                </c:pt>
              </c:numCache>
            </c:numRef>
          </c:val>
          <c:smooth val="0"/>
        </c:ser>
        <c:dLbls>
          <c:showLegendKey val="0"/>
          <c:showVal val="0"/>
          <c:showCatName val="0"/>
          <c:showSerName val="0"/>
          <c:showPercent val="0"/>
          <c:showBubbleSize val="0"/>
        </c:dLbls>
        <c:marker val="1"/>
        <c:smooth val="0"/>
        <c:axId val="305355776"/>
        <c:axId val="309299456"/>
      </c:lineChart>
      <c:catAx>
        <c:axId val="305355776"/>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9299456"/>
        <c:crosses val="autoZero"/>
        <c:auto val="1"/>
        <c:lblAlgn val="ctr"/>
        <c:lblOffset val="100"/>
        <c:tickLblSkip val="1"/>
        <c:tickMarkSkip val="1"/>
        <c:noMultiLvlLbl val="0"/>
      </c:catAx>
      <c:valAx>
        <c:axId val="309299456"/>
        <c:scaling>
          <c:orientation val="minMax"/>
          <c:min val="320000"/>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5355776"/>
        <c:crosses val="autoZero"/>
        <c:crossBetween val="between"/>
        <c:majorUnit val="40000"/>
        <c:minorUnit val="40000"/>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resueltos en la Jurisdicción Social</a:t>
            </a:r>
          </a:p>
        </c:rich>
      </c:tx>
      <c:layout/>
      <c:overlay val="0"/>
    </c:title>
    <c:autoTitleDeleted val="0"/>
    <c:plotArea>
      <c:layout/>
      <c:lineChart>
        <c:grouping val="stacked"/>
        <c:varyColors val="0"/>
        <c:ser>
          <c:idx val="0"/>
          <c:order val="0"/>
          <c:dLbls>
            <c:dLbl>
              <c:idx val="0"/>
              <c:layout>
                <c:manualLayout>
                  <c:x val="-4.7244094488188976E-2"/>
                  <c:y val="5.0505050505050504E-2"/>
                </c:manualLayout>
              </c:layout>
              <c:showLegendKey val="0"/>
              <c:showVal val="1"/>
              <c:showCatName val="0"/>
              <c:showSerName val="0"/>
              <c:showPercent val="0"/>
              <c:showBubbleSize val="0"/>
            </c:dLbl>
            <c:dLbl>
              <c:idx val="1"/>
              <c:layout>
                <c:manualLayout>
                  <c:x val="0"/>
                  <c:y val="1.5151515151515152E-2"/>
                </c:manualLayout>
              </c:layout>
              <c:showLegendKey val="0"/>
              <c:showVal val="1"/>
              <c:showCatName val="0"/>
              <c:showSerName val="0"/>
              <c:showPercent val="0"/>
              <c:showBubbleSize val="0"/>
            </c:dLbl>
            <c:dLbl>
              <c:idx val="2"/>
              <c:layout>
                <c:manualLayout>
                  <c:x val="-0.10498687664041995"/>
                  <c:y val="-5.0505050505050553E-2"/>
                </c:manualLayout>
              </c:layout>
              <c:showLegendKey val="0"/>
              <c:showVal val="1"/>
              <c:showCatName val="0"/>
              <c:showSerName val="0"/>
              <c:showPercent val="0"/>
              <c:showBubbleSize val="0"/>
            </c:dLbl>
            <c:dLbl>
              <c:idx val="3"/>
              <c:layout>
                <c:manualLayout>
                  <c:x val="-2.3622047244094488E-2"/>
                  <c:y val="-3.0303030303030349E-2"/>
                </c:manualLayout>
              </c:layout>
              <c:showLegendKey val="0"/>
              <c:showVal val="1"/>
              <c:showCatName val="0"/>
              <c:showSerName val="0"/>
              <c:showPercent val="0"/>
              <c:showBubbleSize val="0"/>
            </c:dLbl>
            <c:dLbl>
              <c:idx val="4"/>
              <c:layout>
                <c:manualLayout>
                  <c:x val="-5.7742782152231067E-2"/>
                  <c:y val="6.5656565656565663E-2"/>
                </c:manualLayout>
              </c:layout>
              <c:showLegendKey val="0"/>
              <c:showVal val="1"/>
              <c:showCatName val="0"/>
              <c:showSerName val="0"/>
              <c:showPercent val="0"/>
              <c:showBubbleSize val="0"/>
            </c:dLbl>
            <c:dLbl>
              <c:idx val="5"/>
              <c:layout>
                <c:manualLayout>
                  <c:x val="-6.2992125984252065E-2"/>
                  <c:y val="-4.5454545454545456E-2"/>
                </c:manualLayout>
              </c:layout>
              <c:showLegendKey val="0"/>
              <c:showVal val="1"/>
              <c:showCatName val="0"/>
              <c:showSerName val="0"/>
              <c:showPercent val="0"/>
              <c:showBubbleSize val="0"/>
            </c:dLbl>
            <c:dLbl>
              <c:idx val="6"/>
              <c:layout>
                <c:manualLayout>
                  <c:x val="-4.9868766404199474E-2"/>
                  <c:y val="5.0505050505050456E-2"/>
                </c:manualLayout>
              </c:layout>
              <c:showLegendKey val="0"/>
              <c:showVal val="1"/>
              <c:showCatName val="0"/>
              <c:showSerName val="0"/>
              <c:showPercent val="0"/>
              <c:showBubbleSize val="0"/>
            </c:dLbl>
            <c:dLbl>
              <c:idx val="7"/>
              <c:layout>
                <c:manualLayout>
                  <c:x val="-7.8740157480315057E-2"/>
                  <c:y val="-5.5555555555555552E-2"/>
                </c:manualLayout>
              </c:layout>
              <c:showLegendKey val="0"/>
              <c:showVal val="1"/>
              <c:showCatName val="0"/>
              <c:showSerName val="0"/>
              <c:showPercent val="0"/>
              <c:showBubbleSize val="0"/>
            </c:dLbl>
            <c:dLbl>
              <c:idx val="8"/>
              <c:layout>
                <c:manualLayout>
                  <c:x val="-1.5748031496063089E-2"/>
                  <c:y val="-4.5454545454545456E-2"/>
                </c:manualLayout>
              </c:layout>
              <c:showLegendKey val="0"/>
              <c:showVal val="1"/>
              <c:showCatName val="0"/>
              <c:showSerName val="0"/>
              <c:showPercent val="0"/>
              <c:showBubbleSize val="0"/>
            </c:dLbl>
            <c:dLbl>
              <c:idx val="9"/>
              <c:layout>
                <c:manualLayout>
                  <c:x val="-1.5748238163142993E-2"/>
                  <c:y val="-3.5353535353535352E-2"/>
                </c:manualLayout>
              </c:layout>
              <c:showLegendKey val="0"/>
              <c:showVal val="1"/>
              <c:showCatName val="0"/>
              <c:showSerName val="0"/>
              <c:showPercent val="0"/>
              <c:showBubbleSize val="0"/>
            </c:dLbl>
            <c:dLbl>
              <c:idx val="10"/>
              <c:layout>
                <c:manualLayout>
                  <c:x val="0"/>
                  <c:y val="6.0606060606060608E-2"/>
                </c:manualLayout>
              </c:layout>
              <c:showLegendKey val="0"/>
              <c:showVal val="1"/>
              <c:showCatName val="0"/>
              <c:showSerName val="0"/>
              <c:showPercent val="0"/>
              <c:showBubbleSize val="0"/>
            </c:dLbl>
            <c:numFmt formatCode="#,##0" sourceLinked="0"/>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resueltos!$Q$10:$AA$10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resueltos!$Q$14:$AA$14</c:f>
              <c:numCache>
                <c:formatCode>General</c:formatCode>
                <c:ptCount val="11"/>
                <c:pt idx="0">
                  <c:v>326919</c:v>
                </c:pt>
                <c:pt idx="1">
                  <c:v>349862</c:v>
                </c:pt>
                <c:pt idx="2">
                  <c:v>403502</c:v>
                </c:pt>
                <c:pt idx="3">
                  <c:v>402467</c:v>
                </c:pt>
                <c:pt idx="4">
                  <c:v>391588</c:v>
                </c:pt>
                <c:pt idx="5">
                  <c:v>412760</c:v>
                </c:pt>
                <c:pt idx="6">
                  <c:v>408092</c:v>
                </c:pt>
                <c:pt idx="7">
                  <c:v>411818</c:v>
                </c:pt>
                <c:pt idx="8">
                  <c:v>419055</c:v>
                </c:pt>
                <c:pt idx="9">
                  <c:v>400839</c:v>
                </c:pt>
                <c:pt idx="10">
                  <c:v>392927</c:v>
                </c:pt>
              </c:numCache>
            </c:numRef>
          </c:val>
          <c:smooth val="0"/>
        </c:ser>
        <c:dLbls>
          <c:showLegendKey val="0"/>
          <c:showVal val="0"/>
          <c:showCatName val="0"/>
          <c:showSerName val="0"/>
          <c:showPercent val="0"/>
          <c:showBubbleSize val="0"/>
        </c:dLbls>
        <c:marker val="1"/>
        <c:smooth val="0"/>
        <c:axId val="307784192"/>
        <c:axId val="309300608"/>
      </c:lineChart>
      <c:catAx>
        <c:axId val="307784192"/>
        <c:scaling>
          <c:orientation val="minMax"/>
        </c:scaling>
        <c:delete val="0"/>
        <c:axPos val="b"/>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9300608"/>
        <c:crosses val="autoZero"/>
        <c:auto val="1"/>
        <c:lblAlgn val="ctr"/>
        <c:lblOffset val="100"/>
        <c:tickLblSkip val="1"/>
        <c:tickMarkSkip val="1"/>
        <c:noMultiLvlLbl val="0"/>
      </c:catAx>
      <c:valAx>
        <c:axId val="309300608"/>
        <c:scaling>
          <c:orientation val="minMax"/>
          <c:min val="300000"/>
        </c:scaling>
        <c:delete val="0"/>
        <c:axPos val="l"/>
        <c:majorGridlines/>
        <c:numFmt formatCode="#,##0" sourceLinked="0"/>
        <c:majorTickMark val="none"/>
        <c:minorTickMark val="none"/>
        <c:tickLblPos val="nextTo"/>
        <c:txPr>
          <a:bodyPr rot="0" vert="horz"/>
          <a:lstStyle/>
          <a:p>
            <a:pPr>
              <a:defRPr sz="800" b="1">
                <a:latin typeface="Verdana" panose="020B0604030504040204" pitchFamily="34" charset="0"/>
                <a:ea typeface="Verdana" panose="020B0604030504040204" pitchFamily="34" charset="0"/>
                <a:cs typeface="Verdana" panose="020B0604030504040204" pitchFamily="34" charset="0"/>
              </a:defRPr>
            </a:pPr>
            <a:endParaRPr lang="es-ES"/>
          </a:p>
        </c:txPr>
        <c:crossAx val="307784192"/>
        <c:crosses val="autoZero"/>
        <c:crossBetween val="between"/>
        <c:majorUnit val="25000"/>
      </c:valAx>
    </c:plotArea>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Tasa de congestión</a:t>
            </a:r>
          </a:p>
        </c:rich>
      </c:tx>
      <c:layout>
        <c:manualLayout>
          <c:xMode val="edge"/>
          <c:yMode val="edge"/>
          <c:x val="0.36660929432013767"/>
          <c:y val="3.4985422740524783E-2"/>
        </c:manualLayout>
      </c:layout>
      <c:overlay val="0"/>
      <c:spPr>
        <a:noFill/>
        <a:ln w="25400">
          <a:noFill/>
        </a:ln>
      </c:spPr>
    </c:title>
    <c:autoTitleDeleted val="0"/>
    <c:plotArea>
      <c:layout>
        <c:manualLayout>
          <c:layoutTarget val="inner"/>
          <c:xMode val="edge"/>
          <c:yMode val="edge"/>
          <c:x val="9.6385542168674704E-2"/>
          <c:y val="0.19825101108528137"/>
          <c:w val="0.69191049913941483"/>
          <c:h val="0.4956275277132034"/>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TC!$B$103:$B$120</c:f>
              <c:numCache>
                <c:formatCode>0.00</c:formatCode>
                <c:ptCount val="18"/>
                <c:pt idx="0">
                  <c:v>2.0310609927761534</c:v>
                </c:pt>
                <c:pt idx="1">
                  <c:v>1.6304198995892287</c:v>
                </c:pt>
                <c:pt idx="2">
                  <c:v>1.450684380032206</c:v>
                </c:pt>
                <c:pt idx="3">
                  <c:v>2.1304827586206896</c:v>
                </c:pt>
                <c:pt idx="4">
                  <c:v>1.6063328093420166</c:v>
                </c:pt>
                <c:pt idx="5">
                  <c:v>1.3956661316211878</c:v>
                </c:pt>
                <c:pt idx="6">
                  <c:v>1.4284045309087214</c:v>
                </c:pt>
                <c:pt idx="7">
                  <c:v>1.8672113622480146</c:v>
                </c:pt>
                <c:pt idx="8">
                  <c:v>1.7079231886396644</c:v>
                </c:pt>
                <c:pt idx="9">
                  <c:v>1.7339605178138853</c:v>
                </c:pt>
                <c:pt idx="10">
                  <c:v>1.9243321814491801</c:v>
                </c:pt>
                <c:pt idx="11">
                  <c:v>1.5111489361702128</c:v>
                </c:pt>
                <c:pt idx="12">
                  <c:v>1.8152420633686763</c:v>
                </c:pt>
                <c:pt idx="13">
                  <c:v>1.5944424061637608</c:v>
                </c:pt>
                <c:pt idx="14">
                  <c:v>1.848549754573851</c:v>
                </c:pt>
                <c:pt idx="15">
                  <c:v>1.3813963573287078</c:v>
                </c:pt>
                <c:pt idx="16">
                  <c:v>1.4173917067752684</c:v>
                </c:pt>
                <c:pt idx="17">
                  <c:v>1.489497374343586</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1"/>
              <c:layout>
                <c:manualLayout>
                  <c:x val="1.3240634077366838E-2"/>
                  <c:y val="-6.0765949739555437E-2"/>
                </c:manualLayout>
              </c:layout>
              <c:dLblPos val="outEnd"/>
              <c:showLegendKey val="0"/>
              <c:showVal val="1"/>
              <c:showCatName val="0"/>
              <c:showSerName val="0"/>
              <c:showPercent val="0"/>
              <c:showBubbleSize val="0"/>
            </c:dLbl>
            <c:dLbl>
              <c:idx val="3"/>
              <c:layout>
                <c:manualLayout>
                  <c:x val="3.4873351674414277E-3"/>
                  <c:y val="-2.4533362591241972E-2"/>
                </c:manualLayout>
              </c:layout>
              <c:dLblPos val="outEnd"/>
              <c:showLegendKey val="0"/>
              <c:showVal val="1"/>
              <c:showCatName val="0"/>
              <c:showSerName val="0"/>
              <c:showPercent val="0"/>
              <c:showBubbleSize val="0"/>
            </c:dLbl>
            <c:dLbl>
              <c:idx val="4"/>
              <c:layout>
                <c:manualLayout>
                  <c:x val="2.9136117021516489E-3"/>
                  <c:y val="-1.2367301542182286E-2"/>
                </c:manualLayout>
              </c:layout>
              <c:dLblPos val="outEnd"/>
              <c:showLegendKey val="0"/>
              <c:showVal val="1"/>
              <c:showCatName val="0"/>
              <c:showSerName val="0"/>
              <c:showPercent val="0"/>
              <c:showBubbleSize val="0"/>
            </c:dLbl>
            <c:dLbl>
              <c:idx val="6"/>
              <c:layout>
                <c:manualLayout>
                  <c:x val="3.4873351674414191E-3"/>
                  <c:y val="-2.4442658953345117E-2"/>
                </c:manualLayout>
              </c:layout>
              <c:dLblPos val="outEnd"/>
              <c:showLegendKey val="0"/>
              <c:showVal val="1"/>
              <c:showCatName val="0"/>
              <c:showSerName val="0"/>
              <c:showPercent val="0"/>
              <c:showBubbleSize val="0"/>
            </c:dLbl>
            <c:dLbl>
              <c:idx val="7"/>
              <c:layout>
                <c:manualLayout>
                  <c:x val="2.9137924024556995E-3"/>
                  <c:y val="8.59642942713984E-3"/>
                </c:manualLayout>
              </c:layout>
              <c:dLblPos val="outEnd"/>
              <c:showLegendKey val="0"/>
              <c:showVal val="1"/>
              <c:showCatName val="0"/>
              <c:showSerName val="0"/>
              <c:showPercent val="0"/>
              <c:showBubbleSize val="0"/>
            </c:dLbl>
            <c:dLbl>
              <c:idx val="8"/>
              <c:layout>
                <c:manualLayout>
                  <c:x val="4.0610586327311403E-3"/>
                  <c:y val="-2.5610841908923023E-4"/>
                </c:manualLayout>
              </c:layout>
              <c:dLblPos val="outEnd"/>
              <c:showLegendKey val="0"/>
              <c:showVal val="1"/>
              <c:showCatName val="0"/>
              <c:showSerName val="0"/>
              <c:showPercent val="0"/>
              <c:showBubbleSize val="0"/>
            </c:dLbl>
            <c:dLbl>
              <c:idx val="9"/>
              <c:layout>
                <c:manualLayout>
                  <c:x val="0"/>
                  <c:y val="-1.1661807580174927E-2"/>
                </c:manualLayout>
              </c:layout>
              <c:dLblPos val="outEnd"/>
              <c:showLegendKey val="0"/>
              <c:showVal val="1"/>
              <c:showCatName val="0"/>
              <c:showSerName val="0"/>
              <c:showPercent val="0"/>
              <c:showBubbleSize val="0"/>
            </c:dLbl>
            <c:dLbl>
              <c:idx val="10"/>
              <c:layout>
                <c:manualLayout>
                  <c:x val="2.913611702151749E-3"/>
                  <c:y val="-4.7874700522094905E-3"/>
                </c:manualLayout>
              </c:layout>
              <c:dLblPos val="outEnd"/>
              <c:showLegendKey val="0"/>
              <c:showVal val="1"/>
              <c:showCatName val="0"/>
              <c:showSerName val="0"/>
              <c:showPercent val="0"/>
              <c:showBubbleSize val="0"/>
            </c:dLbl>
            <c:dLbl>
              <c:idx val="11"/>
              <c:layout>
                <c:manualLayout>
                  <c:x val="4.0610586327311628E-3"/>
                  <c:y val="-1.9128957545427896E-2"/>
                </c:manualLayout>
              </c:layout>
              <c:dLblPos val="outEnd"/>
              <c:showLegendKey val="0"/>
              <c:showVal val="1"/>
              <c:showCatName val="0"/>
              <c:showSerName val="0"/>
              <c:showPercent val="0"/>
              <c:showBubbleSize val="0"/>
            </c:dLbl>
            <c:dLbl>
              <c:idx val="14"/>
              <c:layout>
                <c:manualLayout>
                  <c:x val="4.0610586327310743E-3"/>
                  <c:y val="1.9240503990501636E-3"/>
                </c:manualLayout>
              </c:layout>
              <c:dLblPos val="outEnd"/>
              <c:showLegendKey val="0"/>
              <c:showVal val="1"/>
              <c:showCatName val="0"/>
              <c:showSerName val="0"/>
              <c:showPercent val="0"/>
              <c:showBubbleSize val="0"/>
            </c:dLbl>
            <c:dLbl>
              <c:idx val="15"/>
              <c:layout>
                <c:manualLayout>
                  <c:x val="1.7661647715721579E-3"/>
                  <c:y val="-1.7843693436788786E-2"/>
                </c:manualLayout>
              </c:layout>
              <c:dLblPos val="outEnd"/>
              <c:showLegendKey val="0"/>
              <c:showVal val="1"/>
              <c:showCatName val="0"/>
              <c:showSerName val="0"/>
              <c:showPercent val="0"/>
              <c:showBubbleSize val="0"/>
            </c:dLbl>
            <c:dLbl>
              <c:idx val="17"/>
              <c:layout>
                <c:manualLayout>
                  <c:x val="5.7822290286003719E-3"/>
                  <c:y val="-3.0521613365748643E-2"/>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TC!$C$103:$C$120</c:f>
              <c:numCache>
                <c:formatCode>0.00</c:formatCode>
                <c:ptCount val="18"/>
                <c:pt idx="0">
                  <c:v>2.08</c:v>
                </c:pt>
                <c:pt idx="1">
                  <c:v>1.64</c:v>
                </c:pt>
                <c:pt idx="2">
                  <c:v>1.43</c:v>
                </c:pt>
                <c:pt idx="3">
                  <c:v>2.16</c:v>
                </c:pt>
                <c:pt idx="4">
                  <c:v>1.61</c:v>
                </c:pt>
                <c:pt idx="5">
                  <c:v>1.48</c:v>
                </c:pt>
                <c:pt idx="6">
                  <c:v>1.59</c:v>
                </c:pt>
                <c:pt idx="7">
                  <c:v>1.89</c:v>
                </c:pt>
                <c:pt idx="8">
                  <c:v>1.71</c:v>
                </c:pt>
                <c:pt idx="9">
                  <c:v>1.75</c:v>
                </c:pt>
                <c:pt idx="10">
                  <c:v>1.78</c:v>
                </c:pt>
                <c:pt idx="11">
                  <c:v>1.51</c:v>
                </c:pt>
                <c:pt idx="12">
                  <c:v>1.78</c:v>
                </c:pt>
                <c:pt idx="13">
                  <c:v>1.63</c:v>
                </c:pt>
                <c:pt idx="14">
                  <c:v>1.91</c:v>
                </c:pt>
                <c:pt idx="15">
                  <c:v>1.52</c:v>
                </c:pt>
                <c:pt idx="16">
                  <c:v>1.48</c:v>
                </c:pt>
                <c:pt idx="17">
                  <c:v>1.52</c:v>
                </c:pt>
              </c:numCache>
            </c:numRef>
          </c:val>
        </c:ser>
        <c:dLbls>
          <c:showLegendKey val="0"/>
          <c:showVal val="0"/>
          <c:showCatName val="0"/>
          <c:showSerName val="0"/>
          <c:showPercent val="0"/>
          <c:showBubbleSize val="0"/>
        </c:dLbls>
        <c:gapWidth val="150"/>
        <c:axId val="307784704"/>
        <c:axId val="309302336"/>
      </c:barChart>
      <c:lineChart>
        <c:grouping val="standard"/>
        <c:varyColors val="0"/>
        <c:ser>
          <c:idx val="2"/>
          <c:order val="2"/>
          <c:tx>
            <c:v>España 2017</c:v>
          </c:tx>
          <c:spPr>
            <a:ln w="25400">
              <a:solidFill>
                <a:srgbClr val="000000"/>
              </a:solidFill>
              <a:prstDash val="solid"/>
            </a:ln>
          </c:spPr>
          <c:marker>
            <c:symbol val="none"/>
          </c:marker>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TC!$D$103:$D$120</c:f>
              <c:numCache>
                <c:formatCode>0.00</c:formatCode>
                <c:ptCount val="18"/>
                <c:pt idx="0">
                  <c:v>1.75</c:v>
                </c:pt>
                <c:pt idx="1">
                  <c:v>1.75</c:v>
                </c:pt>
                <c:pt idx="2">
                  <c:v>1.75</c:v>
                </c:pt>
                <c:pt idx="3">
                  <c:v>1.75</c:v>
                </c:pt>
                <c:pt idx="4">
                  <c:v>1.75</c:v>
                </c:pt>
                <c:pt idx="5">
                  <c:v>1.75</c:v>
                </c:pt>
                <c:pt idx="6">
                  <c:v>1.75</c:v>
                </c:pt>
                <c:pt idx="7">
                  <c:v>1.75</c:v>
                </c:pt>
                <c:pt idx="8">
                  <c:v>1.75</c:v>
                </c:pt>
                <c:pt idx="9">
                  <c:v>1.75</c:v>
                </c:pt>
                <c:pt idx="10">
                  <c:v>1.75</c:v>
                </c:pt>
                <c:pt idx="11">
                  <c:v>1.75</c:v>
                </c:pt>
                <c:pt idx="12">
                  <c:v>1.75</c:v>
                </c:pt>
                <c:pt idx="13">
                  <c:v>1.75</c:v>
                </c:pt>
                <c:pt idx="14">
                  <c:v>1.75</c:v>
                </c:pt>
                <c:pt idx="15">
                  <c:v>1.75</c:v>
                </c:pt>
                <c:pt idx="16">
                  <c:v>1.75</c:v>
                </c:pt>
                <c:pt idx="17">
                  <c:v>1.75</c:v>
                </c:pt>
              </c:numCache>
            </c:numRef>
          </c:val>
          <c:smooth val="0"/>
        </c:ser>
        <c:dLbls>
          <c:showLegendKey val="0"/>
          <c:showVal val="0"/>
          <c:showCatName val="0"/>
          <c:showSerName val="0"/>
          <c:showPercent val="0"/>
          <c:showBubbleSize val="0"/>
        </c:dLbls>
        <c:marker val="1"/>
        <c:smooth val="0"/>
        <c:axId val="309219328"/>
        <c:axId val="309302912"/>
      </c:lineChart>
      <c:catAx>
        <c:axId val="3077847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309302336"/>
        <c:crosses val="autoZero"/>
        <c:auto val="0"/>
        <c:lblAlgn val="ctr"/>
        <c:lblOffset val="100"/>
        <c:tickLblSkip val="1"/>
        <c:tickMarkSkip val="1"/>
        <c:noMultiLvlLbl val="0"/>
      </c:catAx>
      <c:valAx>
        <c:axId val="309302336"/>
        <c:scaling>
          <c:orientation val="minMax"/>
          <c:max val="2.8"/>
          <c:min val="0"/>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07784704"/>
        <c:crosses val="autoZero"/>
        <c:crossBetween val="between"/>
        <c:majorUnit val="0.4"/>
      </c:valAx>
      <c:catAx>
        <c:axId val="309219328"/>
        <c:scaling>
          <c:orientation val="minMax"/>
        </c:scaling>
        <c:delete val="1"/>
        <c:axPos val="b"/>
        <c:majorTickMark val="out"/>
        <c:minorTickMark val="none"/>
        <c:tickLblPos val="nextTo"/>
        <c:crossAx val="309302912"/>
        <c:crosses val="autoZero"/>
        <c:auto val="0"/>
        <c:lblAlgn val="ctr"/>
        <c:lblOffset val="100"/>
        <c:noMultiLvlLbl val="0"/>
      </c:catAx>
      <c:valAx>
        <c:axId val="309302912"/>
        <c:scaling>
          <c:orientation val="minMax"/>
        </c:scaling>
        <c:delete val="1"/>
        <c:axPos val="l"/>
        <c:numFmt formatCode="0.00" sourceLinked="1"/>
        <c:majorTickMark val="out"/>
        <c:minorTickMark val="none"/>
        <c:tickLblPos val="nextTo"/>
        <c:crossAx val="309219328"/>
        <c:crosses val="autoZero"/>
        <c:crossBetween val="between"/>
      </c:valAx>
      <c:spPr>
        <a:solidFill>
          <a:srgbClr val="99CCFF"/>
        </a:solidFill>
        <a:ln w="12700">
          <a:solidFill>
            <a:srgbClr val="808080"/>
          </a:solidFill>
          <a:prstDash val="solid"/>
        </a:ln>
      </c:spPr>
    </c:plotArea>
    <c:legend>
      <c:legendPos val="r"/>
      <c:layout>
        <c:manualLayout>
          <c:xMode val="edge"/>
          <c:yMode val="edge"/>
          <c:x val="0.80722891566265065"/>
          <c:y val="0.36151664715379961"/>
          <c:w val="0.17900172117039581"/>
          <c:h val="0.16909651599672482"/>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Verdana" panose="020B0604030504040204" pitchFamily="34" charset="0"/>
                <a:ea typeface="Arial"/>
                <a:cs typeface="Arial"/>
              </a:defRPr>
            </a:pPr>
            <a:r>
              <a:rPr lang="es-ES" sz="1000" baseline="0">
                <a:latin typeface="Verdana" panose="020B0604030504040204" pitchFamily="34" charset="0"/>
              </a:rPr>
              <a:t>Sentencias en la jurisdicción Social</a:t>
            </a:r>
          </a:p>
        </c:rich>
      </c:tx>
      <c:layout>
        <c:manualLayout>
          <c:xMode val="edge"/>
          <c:yMode val="edge"/>
          <c:x val="0.30919794711459903"/>
          <c:y val="3.4482855386963975E-2"/>
        </c:manualLayout>
      </c:layout>
      <c:overlay val="0"/>
      <c:spPr>
        <a:noFill/>
        <a:ln w="25400">
          <a:noFill/>
        </a:ln>
      </c:spPr>
    </c:title>
    <c:autoTitleDeleted val="0"/>
    <c:plotArea>
      <c:layout>
        <c:manualLayout>
          <c:layoutTarget val="inner"/>
          <c:xMode val="edge"/>
          <c:yMode val="edge"/>
          <c:x val="0.13829529057644305"/>
          <c:y val="0.15717615298087739"/>
          <c:w val="0.8473589310165911"/>
          <c:h val="0.70977210671500857"/>
        </c:manualLayout>
      </c:layout>
      <c:lineChart>
        <c:grouping val="stacked"/>
        <c:varyColors val="0"/>
        <c:ser>
          <c:idx val="0"/>
          <c:order val="0"/>
          <c:spPr>
            <a:ln w="44450">
              <a:solidFill>
                <a:schemeClr val="tx2">
                  <a:lumMod val="60000"/>
                  <a:lumOff val="40000"/>
                </a:schemeClr>
              </a:solidFill>
              <a:prstDash val="solid"/>
            </a:ln>
          </c:spPr>
          <c:marker>
            <c:symbol val="diamond"/>
            <c:size val="7"/>
            <c:spPr>
              <a:solidFill>
                <a:schemeClr val="tx2">
                  <a:lumMod val="40000"/>
                  <a:lumOff val="60000"/>
                </a:schemeClr>
              </a:solidFill>
              <a:ln>
                <a:solidFill>
                  <a:srgbClr val="000080"/>
                </a:solidFill>
                <a:prstDash val="solid"/>
              </a:ln>
            </c:spPr>
          </c:marker>
          <c:dLbls>
            <c:dLbl>
              <c:idx val="0"/>
              <c:layout>
                <c:manualLayout>
                  <c:x val="-2.6288442225682971E-2"/>
                  <c:y val="2.1321634795650544E-2"/>
                </c:manualLayout>
              </c:layout>
              <c:dLblPos val="r"/>
              <c:showLegendKey val="0"/>
              <c:showVal val="1"/>
              <c:showCatName val="0"/>
              <c:showSerName val="0"/>
              <c:showPercent val="0"/>
              <c:showBubbleSize val="0"/>
            </c:dLbl>
            <c:dLbl>
              <c:idx val="1"/>
              <c:layout>
                <c:manualLayout>
                  <c:x val="-1.7252002464571779E-2"/>
                  <c:y val="-6.3400074990626176E-3"/>
                </c:manualLayout>
              </c:layout>
              <c:showLegendKey val="0"/>
              <c:showVal val="1"/>
              <c:showCatName val="0"/>
              <c:showSerName val="0"/>
              <c:showPercent val="0"/>
              <c:showBubbleSize val="0"/>
            </c:dLbl>
            <c:dLbl>
              <c:idx val="2"/>
              <c:layout>
                <c:manualLayout>
                  <c:x val="-0.12757884931666352"/>
                  <c:y val="2.6666666666666668E-2"/>
                </c:manualLayout>
              </c:layout>
              <c:showLegendKey val="0"/>
              <c:showVal val="1"/>
              <c:showCatName val="0"/>
              <c:showSerName val="0"/>
              <c:showPercent val="0"/>
              <c:showBubbleSize val="0"/>
            </c:dLbl>
            <c:dLbl>
              <c:idx val="3"/>
              <c:layout>
                <c:manualLayout>
                  <c:x val="-2.910368181796134E-2"/>
                  <c:y val="-3.406074240719912E-2"/>
                </c:manualLayout>
              </c:layout>
              <c:dLblPos val="r"/>
              <c:showLegendKey val="0"/>
              <c:showVal val="1"/>
              <c:showCatName val="0"/>
              <c:showSerName val="0"/>
              <c:showPercent val="0"/>
              <c:showBubbleSize val="0"/>
            </c:dLbl>
            <c:dLbl>
              <c:idx val="4"/>
              <c:layout>
                <c:manualLayout>
                  <c:x val="-0.11125639794101523"/>
                  <c:y val="3.6697112860892389E-2"/>
                </c:manualLayout>
              </c:layout>
              <c:dLblPos val="r"/>
              <c:showLegendKey val="0"/>
              <c:showVal val="1"/>
              <c:showCatName val="0"/>
              <c:showSerName val="0"/>
              <c:showPercent val="0"/>
              <c:showBubbleSize val="0"/>
            </c:dLbl>
            <c:dLbl>
              <c:idx val="5"/>
              <c:layout>
                <c:manualLayout>
                  <c:x val="-3.0835674191373029E-2"/>
                  <c:y val="-3.1151406074240721E-2"/>
                </c:manualLayout>
              </c:layout>
              <c:dLblPos val="r"/>
              <c:showLegendKey val="0"/>
              <c:showVal val="1"/>
              <c:showCatName val="0"/>
              <c:showSerName val="0"/>
              <c:showPercent val="0"/>
              <c:showBubbleSize val="0"/>
            </c:dLbl>
            <c:dLbl>
              <c:idx val="6"/>
              <c:layout>
                <c:manualLayout>
                  <c:x val="-7.302273907074E-2"/>
                  <c:y val="3.5653543307086616E-2"/>
                </c:manualLayout>
              </c:layout>
              <c:dLblPos val="r"/>
              <c:showLegendKey val="0"/>
              <c:showVal val="1"/>
              <c:showCatName val="0"/>
              <c:showSerName val="0"/>
              <c:showPercent val="0"/>
              <c:showBubbleSize val="0"/>
            </c:dLbl>
            <c:dLbl>
              <c:idx val="7"/>
              <c:layout>
                <c:manualLayout>
                  <c:x val="-7.9588591167324044E-2"/>
                  <c:y val="-3.8287214098237723E-2"/>
                </c:manualLayout>
              </c:layout>
              <c:dLblPos val="r"/>
              <c:showLegendKey val="0"/>
              <c:showVal val="1"/>
              <c:showCatName val="0"/>
              <c:showSerName val="0"/>
              <c:showPercent val="0"/>
              <c:showBubbleSize val="0"/>
            </c:dLbl>
            <c:dLbl>
              <c:idx val="8"/>
              <c:layout>
                <c:manualLayout>
                  <c:x val="-3.0530804721498536E-2"/>
                  <c:y val="-2.9960554930633671E-2"/>
                </c:manualLayout>
              </c:layout>
              <c:dLblPos val="r"/>
              <c:showLegendKey val="0"/>
              <c:showVal val="1"/>
              <c:showCatName val="0"/>
              <c:showSerName val="0"/>
              <c:showPercent val="0"/>
              <c:showBubbleSize val="0"/>
            </c:dLbl>
            <c:dLbl>
              <c:idx val="9"/>
              <c:layout>
                <c:manualLayout>
                  <c:x val="-0.10535054652364396"/>
                  <c:y val="9.1065616797900255E-3"/>
                </c:manualLayout>
              </c:layout>
              <c:dLblPos val="r"/>
              <c:showLegendKey val="0"/>
              <c:showVal val="1"/>
              <c:showCatName val="0"/>
              <c:showSerName val="0"/>
              <c:showPercent val="0"/>
              <c:showBubbleSize val="0"/>
            </c:dLbl>
            <c:dLbl>
              <c:idx val="10"/>
              <c:layout>
                <c:manualLayout>
                  <c:x val="-1.120545698885606E-2"/>
                  <c:y val="6.7226996625421823E-2"/>
                </c:manualLayout>
              </c:layout>
              <c:dLblPos val="r"/>
              <c:showLegendKey val="0"/>
              <c:showVal val="1"/>
              <c:showCatName val="0"/>
              <c:showSerName val="0"/>
              <c:showPercent val="0"/>
              <c:showBubbleSize val="0"/>
            </c:dLbl>
            <c:dLbl>
              <c:idx val="11"/>
              <c:layout>
                <c:manualLayout>
                  <c:x val="-1.5078647192366805E-2"/>
                  <c:y val="-3.7031299090568695E-2"/>
                </c:manualLayout>
              </c:layout>
              <c:dLblPos val="r"/>
              <c:showLegendKey val="0"/>
              <c:showVal val="1"/>
              <c:showCatName val="0"/>
              <c:showSerName val="0"/>
              <c:showPercent val="0"/>
              <c:showBubbleSize val="0"/>
            </c:dLbl>
            <c:dLbl>
              <c:idx val="12"/>
              <c:layout>
                <c:manualLayout>
                  <c:x val="-1.0631785217881556E-2"/>
                  <c:y val="6.3645938199679744E-2"/>
                </c:manualLayout>
              </c:layout>
              <c:dLblPos val="r"/>
              <c:showLegendKey val="0"/>
              <c:showVal val="1"/>
              <c:showCatName val="0"/>
              <c:showSerName val="0"/>
              <c:showPercent val="0"/>
              <c:showBubbleSize val="0"/>
            </c:dLbl>
            <c:numFmt formatCode="#,##0" sourceLinked="0"/>
            <c:spPr>
              <a:noFill/>
              <a:ln w="25400">
                <a:noFill/>
              </a:ln>
            </c:spPr>
            <c:txPr>
              <a:bodyPr/>
              <a:lstStyle/>
              <a:p>
                <a:pPr>
                  <a:defRPr sz="700" b="1" i="0" u="none" strike="noStrike" baseline="0">
                    <a:solidFill>
                      <a:srgbClr val="000000"/>
                    </a:solidFill>
                    <a:latin typeface="Verdana" panose="020B0604030504040204" pitchFamily="34" charset="0"/>
                    <a:ea typeface="Arial"/>
                    <a:cs typeface="Arial"/>
                  </a:defRPr>
                </a:pPr>
                <a:endParaRPr lang="es-ES"/>
              </a:p>
            </c:txPr>
            <c:showLegendKey val="0"/>
            <c:showVal val="1"/>
            <c:showCatName val="0"/>
            <c:showSerName val="0"/>
            <c:showPercent val="0"/>
            <c:showBubbleSize val="0"/>
            <c:showLeaderLines val="0"/>
          </c:dLbls>
          <c:cat>
            <c:numRef>
              <c:f>sentencias!$Q$2:$AA$2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sentencias!$Q$6:$AA$6</c:f>
              <c:numCache>
                <c:formatCode>#,##0</c:formatCode>
                <c:ptCount val="11"/>
                <c:pt idx="0" formatCode="General">
                  <c:v>214628</c:v>
                </c:pt>
                <c:pt idx="1">
                  <c:v>220292</c:v>
                </c:pt>
                <c:pt idx="2" formatCode="General">
                  <c:v>248686</c:v>
                </c:pt>
                <c:pt idx="3" formatCode="General">
                  <c:v>248497</c:v>
                </c:pt>
                <c:pt idx="4" formatCode="General">
                  <c:v>233202</c:v>
                </c:pt>
                <c:pt idx="5" formatCode="General">
                  <c:v>233914</c:v>
                </c:pt>
                <c:pt idx="6" formatCode="General">
                  <c:v>217233</c:v>
                </c:pt>
                <c:pt idx="7" formatCode="General">
                  <c:v>219049</c:v>
                </c:pt>
                <c:pt idx="8" formatCode="General">
                  <c:v>218741</c:v>
                </c:pt>
                <c:pt idx="9" formatCode="General">
                  <c:v>212119</c:v>
                </c:pt>
                <c:pt idx="10" formatCode="General">
                  <c:v>208106</c:v>
                </c:pt>
              </c:numCache>
            </c:numRef>
          </c:val>
          <c:smooth val="0"/>
        </c:ser>
        <c:dLbls>
          <c:showLegendKey val="0"/>
          <c:showVal val="0"/>
          <c:showCatName val="0"/>
          <c:showSerName val="0"/>
          <c:showPercent val="0"/>
          <c:showBubbleSize val="0"/>
        </c:dLbls>
        <c:marker val="1"/>
        <c:smooth val="0"/>
        <c:axId val="308210688"/>
        <c:axId val="309157888"/>
      </c:lineChart>
      <c:catAx>
        <c:axId val="308210688"/>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309157888"/>
        <c:crosses val="autoZero"/>
        <c:auto val="1"/>
        <c:lblAlgn val="ctr"/>
        <c:lblOffset val="100"/>
        <c:tickLblSkip val="1"/>
        <c:tickMarkSkip val="1"/>
        <c:noMultiLvlLbl val="0"/>
      </c:catAx>
      <c:valAx>
        <c:axId val="309157888"/>
        <c:scaling>
          <c:orientation val="minMax"/>
          <c:max val="250000"/>
          <c:min val="2000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308210688"/>
        <c:crosses val="autoZero"/>
        <c:crossBetween val="between"/>
        <c:majorUnit val="10000"/>
      </c:valAx>
      <c:spPr>
        <a:noFill/>
        <a:ln w="12700">
          <a:solidFill>
            <a:srgbClr val="808080"/>
          </a:solidFill>
          <a:prstDash val="solid"/>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Verdana" panose="020B0604030504040204" pitchFamily="34" charset="0"/>
                <a:ea typeface="Arial"/>
                <a:cs typeface="Arial"/>
              </a:defRPr>
            </a:pPr>
            <a:r>
              <a:rPr lang="es-ES" baseline="0">
                <a:latin typeface="Verdana" panose="020B0604030504040204" pitchFamily="34" charset="0"/>
              </a:rPr>
              <a:t>2017</a:t>
            </a:r>
          </a:p>
          <a:p>
            <a:pPr>
              <a:defRPr sz="1500" b="1" i="0" u="none" strike="noStrike" baseline="0">
                <a:solidFill>
                  <a:srgbClr val="000000"/>
                </a:solidFill>
                <a:latin typeface="Verdana" panose="020B0604030504040204" pitchFamily="34" charset="0"/>
                <a:ea typeface="Arial"/>
                <a:cs typeface="Arial"/>
              </a:defRPr>
            </a:pPr>
            <a:r>
              <a:rPr lang="es-ES" baseline="0">
                <a:latin typeface="Verdana" panose="020B0604030504040204" pitchFamily="34" charset="0"/>
              </a:rPr>
              <a:t>
</a:t>
            </a:r>
          </a:p>
        </c:rich>
      </c:tx>
      <c:layout>
        <c:manualLayout>
          <c:xMode val="edge"/>
          <c:yMode val="edge"/>
          <c:x val="0.45098125570859321"/>
          <c:y val="3.6764705882352942E-2"/>
        </c:manualLayout>
      </c:layout>
      <c:overlay val="0"/>
      <c:spPr>
        <a:noFill/>
        <a:ln w="25400">
          <a:noFill/>
        </a:ln>
      </c:spPr>
    </c:title>
    <c:autoTitleDeleted val="0"/>
    <c:view3D>
      <c:rotX val="15"/>
      <c:rotY val="110"/>
      <c:rAngAx val="0"/>
      <c:perspective val="0"/>
    </c:view3D>
    <c:floor>
      <c:thickness val="0"/>
    </c:floor>
    <c:sideWall>
      <c:thickness val="0"/>
    </c:sideWall>
    <c:backWall>
      <c:thickness val="0"/>
    </c:backWall>
    <c:plotArea>
      <c:layout>
        <c:manualLayout>
          <c:layoutTarget val="inner"/>
          <c:xMode val="edge"/>
          <c:yMode val="edge"/>
          <c:x val="0.21764747558110367"/>
          <c:y val="0.36029411764705882"/>
          <c:w val="0.56862853980648709"/>
          <c:h val="0.42279411764705882"/>
        </c:manualLayout>
      </c:layout>
      <c:pie3DChart>
        <c:varyColors val="1"/>
        <c:ser>
          <c:idx val="0"/>
          <c:order val="0"/>
          <c:spPr>
            <a:solidFill>
              <a:srgbClr val="9999FF"/>
            </a:solidFill>
            <a:ln w="12700">
              <a:solidFill>
                <a:srgbClr val="000000"/>
              </a:solidFill>
              <a:prstDash val="solid"/>
            </a:ln>
          </c:spPr>
          <c:explosion val="20"/>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2"/>
              <c:layout>
                <c:manualLayout>
                  <c:x val="-1.0776548287748338E-2"/>
                  <c:y val="4.0296433534043573E-2"/>
                </c:manualLayout>
              </c:layout>
              <c:numFmt formatCode="0.0%" sourceLinked="0"/>
              <c:spPr>
                <a:noFill/>
                <a:ln w="25400">
                  <a:noFill/>
                </a:ln>
              </c:spPr>
              <c:txPr>
                <a:bodyPr/>
                <a:lstStyle/>
                <a:p>
                  <a:pPr>
                    <a:defRPr sz="900" b="1" i="0" u="none" strike="noStrike" baseline="0">
                      <a:solidFill>
                        <a:srgbClr val="000000"/>
                      </a:solidFill>
                      <a:latin typeface="Verdana" panose="020B0604030504040204" pitchFamily="34" charset="0"/>
                      <a:ea typeface="Arial"/>
                      <a:cs typeface="Arial"/>
                    </a:defRPr>
                  </a:pPr>
                  <a:endParaRPr lang="es-ES"/>
                </a:p>
              </c:txPr>
              <c:dLblPos val="bestFit"/>
              <c:showLegendKey val="0"/>
              <c:showVal val="1"/>
              <c:showCatName val="1"/>
              <c:showSerName val="0"/>
              <c:showPercent val="0"/>
              <c:showBubbleSize val="0"/>
              <c:separator>
</c:separator>
            </c:dLbl>
            <c:dLbl>
              <c:idx val="3"/>
              <c:layout>
                <c:manualLayout>
                  <c:x val="8.1168010768114321E-2"/>
                  <c:y val="9.0563532499614019E-2"/>
                </c:manualLayout>
              </c:layout>
              <c:showLegendKey val="0"/>
              <c:showVal val="1"/>
              <c:showCatName val="1"/>
              <c:showSerName val="0"/>
              <c:showPercent val="0"/>
              <c:showBubbleSize val="0"/>
              <c:separator>
</c:separator>
            </c:dLbl>
            <c:numFmt formatCode="0.0%" sourceLinked="0"/>
            <c:spPr>
              <a:noFill/>
              <a:ln w="25400">
                <a:noFill/>
              </a:ln>
            </c:spPr>
            <c:txPr>
              <a:bodyPr/>
              <a:lstStyle/>
              <a:p>
                <a:pPr>
                  <a:defRPr sz="950" b="1" i="0" u="none" strike="noStrike" baseline="0">
                    <a:solidFill>
                      <a:srgbClr val="000000"/>
                    </a:solidFill>
                    <a:latin typeface="Verdana" panose="020B0604030504040204" pitchFamily="34" charset="0"/>
                    <a:ea typeface="Arial"/>
                    <a:cs typeface="Arial"/>
                  </a:defRPr>
                </a:pPr>
                <a:endParaRPr lang="es-ES"/>
              </a:p>
            </c:txPr>
            <c:showLegendKey val="0"/>
            <c:showVal val="1"/>
            <c:showCatName val="1"/>
            <c:showSerName val="0"/>
            <c:showPercent val="0"/>
            <c:showBubbleSize val="0"/>
            <c:separator>
</c:separator>
            <c:showLeaderLines val="0"/>
          </c:dLbls>
          <c:cat>
            <c:strRef>
              <c:f>'% jurisdicciones'!$R$3:$R$6</c:f>
              <c:strCache>
                <c:ptCount val="4"/>
                <c:pt idx="0">
                  <c:v>Civil</c:v>
                </c:pt>
                <c:pt idx="1">
                  <c:v>Penal</c:v>
                </c:pt>
                <c:pt idx="2">
                  <c:v>Cont.  Administrativa</c:v>
                </c:pt>
                <c:pt idx="3">
                  <c:v>Social</c:v>
                </c:pt>
              </c:strCache>
            </c:strRef>
          </c:cat>
          <c:val>
            <c:numRef>
              <c:f>'% jurisdicciones'!$Q$3:$Q$6</c:f>
              <c:numCache>
                <c:formatCode>0.0%</c:formatCode>
                <c:ptCount val="4"/>
                <c:pt idx="0">
                  <c:v>0.3473146092685534</c:v>
                </c:pt>
                <c:pt idx="1">
                  <c:v>0.55036587738983112</c:v>
                </c:pt>
                <c:pt idx="2">
                  <c:v>3.3353485347964458E-2</c:v>
                </c:pt>
                <c:pt idx="3">
                  <c:v>6.8927721573273634E-2</c:v>
                </c:pt>
              </c:numCache>
            </c:numRef>
          </c:val>
        </c:ser>
        <c:dLbls>
          <c:showLegendKey val="0"/>
          <c:showVal val="1"/>
          <c:showCatName val="1"/>
          <c:showSerName val="0"/>
          <c:showPercent val="0"/>
          <c:showBubbleSize val="0"/>
          <c:separator>
</c:separator>
          <c:showLeaderLines val="0"/>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s-E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en-US"/>
              <a:t>Recursos de suplicación devueltos a los juzgados de lo social en 2017</a:t>
            </a:r>
          </a:p>
        </c:rich>
      </c:tx>
      <c:layout/>
      <c:overlay val="0"/>
    </c:title>
    <c:autoTitleDeleted val="0"/>
    <c:view3D>
      <c:rotX val="30"/>
      <c:rotY val="150"/>
      <c:rAngAx val="0"/>
      <c:perspective val="30"/>
    </c:view3D>
    <c:floor>
      <c:thickness val="0"/>
    </c:floor>
    <c:sideWall>
      <c:thickness val="0"/>
    </c:sideWall>
    <c:backWall>
      <c:thickness val="0"/>
    </c:backWall>
    <c:plotArea>
      <c:layout/>
      <c:pie3DChart>
        <c:varyColors val="1"/>
        <c:ser>
          <c:idx val="0"/>
          <c:order val="0"/>
          <c:dLbls>
            <c:dLbl>
              <c:idx val="3"/>
              <c:layout>
                <c:manualLayout>
                  <c:x val="-7.7663184735681498E-2"/>
                  <c:y val="4.3929161230280747E-2"/>
                </c:manualLayout>
              </c:layout>
              <c:showLegendKey val="0"/>
              <c:showVal val="1"/>
              <c:showCatName val="1"/>
              <c:showSerName val="0"/>
              <c:showPercent val="0"/>
              <c:showBubbleSize val="0"/>
            </c:dLbl>
            <c:txPr>
              <a:bodyPr/>
              <a:lstStyle/>
              <a:p>
                <a:pPr>
                  <a:defRPr sz="800" b="1" i="0" baseline="0">
                    <a:latin typeface="Verdana" panose="020B0604030504040204" pitchFamily="34" charset="0"/>
                  </a:defRPr>
                </a:pPr>
                <a:endParaRPr lang="es-ES"/>
              </a:p>
            </c:txPr>
            <c:showLegendKey val="0"/>
            <c:showVal val="1"/>
            <c:showCatName val="1"/>
            <c:showSerName val="0"/>
            <c:showPercent val="0"/>
            <c:showBubbleSize val="0"/>
            <c:showLeaderLines val="1"/>
          </c:dLbls>
          <c:cat>
            <c:strRef>
              <c:f>JSOCIAL!$AV$5:$AY$5</c:f>
              <c:strCache>
                <c:ptCount val="4"/>
                <c:pt idx="0">
                  <c:v>Confirmando totalmente</c:v>
                </c:pt>
                <c:pt idx="1">
                  <c:v>Revocando totalmente</c:v>
                </c:pt>
                <c:pt idx="2">
                  <c:v>Revocando parcialmente</c:v>
                </c:pt>
                <c:pt idx="3">
                  <c:v>Anulando</c:v>
                </c:pt>
              </c:strCache>
            </c:strRef>
          </c:cat>
          <c:val>
            <c:numRef>
              <c:f>JSOCIAL!$AV$23:$AY$23</c:f>
              <c:numCache>
                <c:formatCode>0.0%</c:formatCode>
                <c:ptCount val="4"/>
                <c:pt idx="0">
                  <c:v>0.77400000000000002</c:v>
                </c:pt>
                <c:pt idx="1">
                  <c:v>0.14400000000000002</c:v>
                </c:pt>
                <c:pt idx="2">
                  <c:v>6.5199999999999994E-2</c:v>
                </c:pt>
                <c:pt idx="3">
                  <c:v>1.6799999999999999E-2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Jueces / Magistrados</a:t>
            </a:r>
          </a:p>
        </c:rich>
      </c:tx>
      <c:layout>
        <c:manualLayout>
          <c:xMode val="edge"/>
          <c:yMode val="edge"/>
          <c:x val="0.33622226036459341"/>
          <c:y val="5.6952428492450718E-2"/>
        </c:manualLayout>
      </c:layout>
      <c:overlay val="0"/>
      <c:spPr>
        <a:noFill/>
        <a:ln w="25400">
          <a:noFill/>
        </a:ln>
      </c:spPr>
    </c:title>
    <c:autoTitleDeleted val="0"/>
    <c:plotArea>
      <c:layout>
        <c:manualLayout>
          <c:layoutTarget val="inner"/>
          <c:xMode val="edge"/>
          <c:yMode val="edge"/>
          <c:x val="0.13580839432108024"/>
          <c:y val="0.18451749086919692"/>
          <c:w val="0.76776494780802151"/>
          <c:h val="0.59754224270353307"/>
        </c:manualLayout>
      </c:layout>
      <c:scatterChart>
        <c:scatterStyle val="lineMarker"/>
        <c:varyColors val="0"/>
        <c:ser>
          <c:idx val="0"/>
          <c:order val="0"/>
          <c:tx>
            <c:strRef>
              <c:f>jueces!$C$5:$K$5</c:f>
              <c:strCache>
                <c:ptCount val="1"/>
                <c:pt idx="0">
                  <c:v>TSJ A.P. JCA JSocial JMenores JPenal JVM JMercantil J1ii</c:v>
                </c:pt>
              </c:strCache>
            </c:strRef>
          </c:tx>
          <c:spPr>
            <a:ln w="28575">
              <a:noFill/>
            </a:ln>
          </c:spPr>
          <c:marker>
            <c:symbol val="diamond"/>
            <c:size val="5"/>
            <c:spPr>
              <a:solidFill>
                <a:srgbClr val="000080"/>
              </a:solidFill>
              <a:ln>
                <a:solidFill>
                  <a:srgbClr val="000080"/>
                </a:solidFill>
                <a:prstDash val="solid"/>
              </a:ln>
            </c:spPr>
          </c:marker>
          <c:dLbls>
            <c:dLbl>
              <c:idx val="0"/>
              <c:layout/>
              <c:tx>
                <c:rich>
                  <a:bodyPr/>
                  <a:lstStyle/>
                  <a:p>
                    <a:r>
                      <a:rPr lang="es-ES"/>
                      <a:t>TSJ</a:t>
                    </a:r>
                  </a:p>
                </c:rich>
              </c:tx>
              <c:showLegendKey val="0"/>
              <c:showVal val="0"/>
              <c:showCatName val="0"/>
              <c:showSerName val="0"/>
              <c:showPercent val="0"/>
              <c:showBubbleSize val="0"/>
            </c:dLbl>
            <c:dLbl>
              <c:idx val="1"/>
              <c:layout>
                <c:manualLayout>
                  <c:x val="-5.9037238873751133E-2"/>
                  <c:y val="2.3858214042263091E-2"/>
                </c:manualLayout>
              </c:layout>
              <c:tx>
                <c:rich>
                  <a:bodyPr/>
                  <a:lstStyle/>
                  <a:p>
                    <a:r>
                      <a:rPr lang="es-ES"/>
                      <a:t>A.P.</a:t>
                    </a:r>
                  </a:p>
                </c:rich>
              </c:tx>
              <c:dLblPos val="r"/>
              <c:showLegendKey val="0"/>
              <c:showVal val="0"/>
              <c:showCatName val="0"/>
              <c:showSerName val="0"/>
              <c:showPercent val="0"/>
              <c:showBubbleSize val="0"/>
            </c:dLbl>
            <c:dLbl>
              <c:idx val="2"/>
              <c:layout>
                <c:manualLayout>
                  <c:x val="-3.6330608537693009E-2"/>
                  <c:y val="-4.4308111792774371E-2"/>
                </c:manualLayout>
              </c:layout>
              <c:tx>
                <c:rich>
                  <a:bodyPr/>
                  <a:lstStyle/>
                  <a:p>
                    <a:r>
                      <a:rPr lang="es-ES"/>
                      <a:t>JCA</a:t>
                    </a:r>
                  </a:p>
                </c:rich>
              </c:tx>
              <c:dLblPos val="r"/>
              <c:showLegendKey val="0"/>
              <c:showVal val="0"/>
              <c:showCatName val="0"/>
              <c:showSerName val="0"/>
              <c:showPercent val="0"/>
              <c:showBubbleSize val="0"/>
            </c:dLbl>
            <c:dLbl>
              <c:idx val="3"/>
              <c:layout/>
              <c:tx>
                <c:rich>
                  <a:bodyPr/>
                  <a:lstStyle/>
                  <a:p>
                    <a:r>
                      <a:rPr lang="es-ES"/>
                      <a:t>JSocial</a:t>
                    </a:r>
                  </a:p>
                </c:rich>
              </c:tx>
              <c:showLegendKey val="0"/>
              <c:showVal val="0"/>
              <c:showCatName val="0"/>
              <c:showSerName val="0"/>
              <c:showPercent val="0"/>
              <c:showBubbleSize val="0"/>
            </c:dLbl>
            <c:dLbl>
              <c:idx val="4"/>
              <c:layout>
                <c:manualLayout>
                  <c:x val="-0.1498639390103485"/>
                  <c:y val="-3.7491479209270623E-2"/>
                </c:manualLayout>
              </c:layout>
              <c:tx>
                <c:rich>
                  <a:bodyPr/>
                  <a:lstStyle/>
                  <a:p>
                    <a:r>
                      <a:rPr lang="es-ES"/>
                      <a:t>JMenores</a:t>
                    </a:r>
                  </a:p>
                </c:rich>
              </c:tx>
              <c:dLblPos val="r"/>
              <c:showLegendKey val="0"/>
              <c:showVal val="0"/>
              <c:showCatName val="0"/>
              <c:showSerName val="0"/>
              <c:showPercent val="0"/>
              <c:showBubbleSize val="0"/>
            </c:dLbl>
            <c:dLbl>
              <c:idx val="5"/>
              <c:layout/>
              <c:tx>
                <c:rich>
                  <a:bodyPr/>
                  <a:lstStyle/>
                  <a:p>
                    <a:r>
                      <a:rPr lang="es-ES"/>
                      <a:t>JPenal</a:t>
                    </a:r>
                  </a:p>
                </c:rich>
              </c:tx>
              <c:showLegendKey val="0"/>
              <c:showVal val="0"/>
              <c:showCatName val="0"/>
              <c:showSerName val="0"/>
              <c:showPercent val="0"/>
              <c:showBubbleSize val="0"/>
            </c:dLbl>
            <c:dLbl>
              <c:idx val="6"/>
              <c:layout/>
              <c:tx>
                <c:rich>
                  <a:bodyPr/>
                  <a:lstStyle/>
                  <a:p>
                    <a:r>
                      <a:rPr lang="es-ES"/>
                      <a:t>JVM</a:t>
                    </a:r>
                  </a:p>
                </c:rich>
              </c:tx>
              <c:showLegendKey val="0"/>
              <c:showVal val="0"/>
              <c:showCatName val="0"/>
              <c:showSerName val="0"/>
              <c:showPercent val="0"/>
              <c:showBubbleSize val="0"/>
            </c:dLbl>
            <c:dLbl>
              <c:idx val="7"/>
              <c:layout/>
              <c:tx>
                <c:rich>
                  <a:bodyPr/>
                  <a:lstStyle/>
                  <a:p>
                    <a:r>
                      <a:rPr lang="es-ES"/>
                      <a:t>JMercantil</a:t>
                    </a:r>
                  </a:p>
                </c:rich>
              </c:tx>
              <c:showLegendKey val="0"/>
              <c:showVal val="0"/>
              <c:showCatName val="0"/>
              <c:showSerName val="0"/>
              <c:showPercent val="0"/>
              <c:showBubbleSize val="0"/>
            </c:dLbl>
            <c:dLbl>
              <c:idx val="8"/>
              <c:layout/>
              <c:tx>
                <c:rich>
                  <a:bodyPr/>
                  <a:lstStyle/>
                  <a:p>
                    <a:r>
                      <a:rPr lang="es-ES"/>
                      <a:t>J1ii</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jueces!$C$6:$K$6</c:f>
              <c:numCache>
                <c:formatCode>0.00</c:formatCode>
                <c:ptCount val="9"/>
                <c:pt idx="0">
                  <c:v>5.0387596899224806E-2</c:v>
                </c:pt>
                <c:pt idx="1">
                  <c:v>6.2311557788944726E-2</c:v>
                </c:pt>
                <c:pt idx="2">
                  <c:v>5.2401746724890827E-2</c:v>
                </c:pt>
                <c:pt idx="3">
                  <c:v>6.6666666666666666E-2</c:v>
                </c:pt>
                <c:pt idx="4">
                  <c:v>6.097560975609756E-2</c:v>
                </c:pt>
                <c:pt idx="5">
                  <c:v>7.03125E-2</c:v>
                </c:pt>
                <c:pt idx="6">
                  <c:v>0.16176470588235295</c:v>
                </c:pt>
                <c:pt idx="7">
                  <c:v>9.8901098901098897E-2</c:v>
                </c:pt>
                <c:pt idx="8">
                  <c:v>0.10236886632825719</c:v>
                </c:pt>
              </c:numCache>
            </c:numRef>
          </c:xVal>
          <c:yVal>
            <c:numRef>
              <c:f>jueces!$C$9:$K$9</c:f>
              <c:numCache>
                <c:formatCode>0.0%</c:formatCode>
                <c:ptCount val="9"/>
                <c:pt idx="0">
                  <c:v>0.98108739513645538</c:v>
                </c:pt>
                <c:pt idx="1">
                  <c:v>0.97496248365113236</c:v>
                </c:pt>
                <c:pt idx="2">
                  <c:v>0.944463719566908</c:v>
                </c:pt>
                <c:pt idx="3">
                  <c:v>0.94362996181200287</c:v>
                </c:pt>
                <c:pt idx="4">
                  <c:v>0.97119946541931179</c:v>
                </c:pt>
                <c:pt idx="5">
                  <c:v>0.93411101598173518</c:v>
                </c:pt>
                <c:pt idx="6">
                  <c:v>0.87595257280994587</c:v>
                </c:pt>
                <c:pt idx="7">
                  <c:v>0.9201264488935722</c:v>
                </c:pt>
                <c:pt idx="8">
                  <c:v>0.902097675173261</c:v>
                </c:pt>
              </c:numCache>
            </c:numRef>
          </c:yVal>
          <c:smooth val="0"/>
        </c:ser>
        <c:dLbls>
          <c:showLegendKey val="0"/>
          <c:showVal val="0"/>
          <c:showCatName val="0"/>
          <c:showSerName val="0"/>
          <c:showPercent val="0"/>
          <c:showBubbleSize val="0"/>
        </c:dLbls>
        <c:axId val="309160768"/>
        <c:axId val="309161344"/>
      </c:scatterChart>
      <c:valAx>
        <c:axId val="309160768"/>
        <c:scaling>
          <c:orientation val="minMax"/>
          <c:max val="0.2"/>
          <c:min val="0"/>
        </c:scaling>
        <c:delete val="0"/>
        <c:axPos val="b"/>
        <c:title>
          <c:tx>
            <c:rich>
              <a:bodyPr/>
              <a:lstStyle/>
              <a:p>
                <a:pPr>
                  <a:defRPr sz="1100" b="1" i="0" u="none" strike="noStrike" baseline="0">
                    <a:solidFill>
                      <a:srgbClr val="000000"/>
                    </a:solidFill>
                    <a:latin typeface="Arial"/>
                    <a:ea typeface="Arial"/>
                    <a:cs typeface="Arial"/>
                  </a:defRPr>
                </a:pPr>
                <a:r>
                  <a:rPr lang="es-ES"/>
                  <a:t>Índice de rotación</a:t>
                </a:r>
              </a:p>
            </c:rich>
          </c:tx>
          <c:layout>
            <c:manualLayout>
              <c:xMode val="edge"/>
              <c:yMode val="edge"/>
              <c:x val="0.37683440966336973"/>
              <c:y val="0.88291789446564584"/>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309161344"/>
        <c:crosses val="autoZero"/>
        <c:crossBetween val="midCat"/>
      </c:valAx>
      <c:valAx>
        <c:axId val="309161344"/>
        <c:scaling>
          <c:orientation val="minMax"/>
          <c:max val="1"/>
          <c:min val="0.85000000000000009"/>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s-ES"/>
                  <a:t>% días cubiertos por titulares</a:t>
                </a:r>
              </a:p>
            </c:rich>
          </c:tx>
          <c:layout>
            <c:manualLayout>
              <c:xMode val="edge"/>
              <c:yMode val="edge"/>
              <c:x val="1.2131777124589672E-2"/>
              <c:y val="0.2304147947764198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309160768"/>
        <c:crosses val="autoZero"/>
        <c:crossBetween val="midCat"/>
        <c:majorUnit val="2.5000000000000005E-2"/>
      </c:valAx>
      <c:spPr>
        <a:solidFill>
          <a:srgbClr val="99CC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s-E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Letrados de la administración de justicia</a:t>
            </a:r>
          </a:p>
        </c:rich>
      </c:tx>
      <c:layout>
        <c:manualLayout>
          <c:xMode val="edge"/>
          <c:yMode val="edge"/>
          <c:x val="0.22355410614545118"/>
          <c:y val="4.9894798426270336E-2"/>
        </c:manualLayout>
      </c:layout>
      <c:overlay val="0"/>
      <c:spPr>
        <a:noFill/>
        <a:ln w="25400">
          <a:noFill/>
        </a:ln>
      </c:spPr>
    </c:title>
    <c:autoTitleDeleted val="0"/>
    <c:plotArea>
      <c:layout>
        <c:manualLayout>
          <c:layoutTarget val="inner"/>
          <c:xMode val="edge"/>
          <c:yMode val="edge"/>
          <c:x val="0.1527308745807319"/>
          <c:y val="0.17574352285718886"/>
          <c:w val="0.76827351851851855"/>
          <c:h val="0.63927250000000002"/>
        </c:manualLayout>
      </c:layout>
      <c:scatterChart>
        <c:scatterStyle val="lineMarker"/>
        <c:varyColors val="0"/>
        <c:ser>
          <c:idx val="0"/>
          <c:order val="0"/>
          <c:tx>
            <c:strRef>
              <c:f>secretarios!$C$12:$K$12</c:f>
              <c:strCache>
                <c:ptCount val="1"/>
                <c:pt idx="0">
                  <c:v>TSJ A.P. JCA JSocial JMenores JPenal JVM JMercantil J1ii</c:v>
                </c:pt>
              </c:strCache>
            </c:strRef>
          </c:tx>
          <c:spPr>
            <a:ln w="28575">
              <a:noFill/>
            </a:ln>
          </c:spPr>
          <c:marker>
            <c:symbol val="diamond"/>
            <c:size val="5"/>
            <c:spPr>
              <a:solidFill>
                <a:srgbClr val="000080"/>
              </a:solidFill>
              <a:ln>
                <a:solidFill>
                  <a:srgbClr val="000080"/>
                </a:solidFill>
                <a:prstDash val="solid"/>
              </a:ln>
            </c:spPr>
          </c:marker>
          <c:dLbls>
            <c:dLbl>
              <c:idx val="0"/>
              <c:layout/>
              <c:tx>
                <c:rich>
                  <a:bodyPr/>
                  <a:lstStyle/>
                  <a:p>
                    <a:r>
                      <a:rPr lang="es-ES"/>
                      <a:t>TSJ</a:t>
                    </a:r>
                  </a:p>
                </c:rich>
              </c:tx>
              <c:showLegendKey val="0"/>
              <c:showVal val="0"/>
              <c:showCatName val="0"/>
              <c:showSerName val="0"/>
              <c:showPercent val="0"/>
              <c:showBubbleSize val="0"/>
            </c:dLbl>
            <c:dLbl>
              <c:idx val="1"/>
              <c:layout>
                <c:manualLayout>
                  <c:x val="-6.8119891008174394E-2"/>
                  <c:y val="1.0224948875255624E-2"/>
                </c:manualLayout>
              </c:layout>
              <c:tx>
                <c:rich>
                  <a:bodyPr/>
                  <a:lstStyle/>
                  <a:p>
                    <a:r>
                      <a:rPr lang="es-ES"/>
                      <a:t>A.P.</a:t>
                    </a:r>
                  </a:p>
                </c:rich>
              </c:tx>
              <c:dLblPos val="r"/>
              <c:showLegendKey val="0"/>
              <c:showVal val="0"/>
              <c:showCatName val="0"/>
              <c:showSerName val="0"/>
              <c:showPercent val="0"/>
              <c:showBubbleSize val="0"/>
            </c:dLbl>
            <c:dLbl>
              <c:idx val="2"/>
              <c:layout>
                <c:manualLayout>
                  <c:x val="-5.6766575840145321E-2"/>
                  <c:y val="-3.0674846625766902E-2"/>
                </c:manualLayout>
              </c:layout>
              <c:tx>
                <c:rich>
                  <a:bodyPr/>
                  <a:lstStyle/>
                  <a:p>
                    <a:r>
                      <a:rPr lang="es-ES"/>
                      <a:t>JCA</a:t>
                    </a:r>
                  </a:p>
                </c:rich>
              </c:tx>
              <c:dLblPos val="r"/>
              <c:showLegendKey val="0"/>
              <c:showVal val="0"/>
              <c:showCatName val="0"/>
              <c:showSerName val="0"/>
              <c:showPercent val="0"/>
              <c:showBubbleSize val="0"/>
            </c:dLbl>
            <c:dLbl>
              <c:idx val="3"/>
              <c:layout>
                <c:manualLayout>
                  <c:x val="1.8165304268846546E-2"/>
                  <c:y val="-1.3633265167007498E-2"/>
                </c:manualLayout>
              </c:layout>
              <c:tx>
                <c:rich>
                  <a:bodyPr/>
                  <a:lstStyle/>
                  <a:p>
                    <a:r>
                      <a:rPr lang="es-ES"/>
                      <a:t>JSocial</a:t>
                    </a:r>
                  </a:p>
                </c:rich>
              </c:tx>
              <c:dLblPos val="r"/>
              <c:showLegendKey val="0"/>
              <c:showVal val="0"/>
              <c:showCatName val="0"/>
              <c:showSerName val="0"/>
              <c:showPercent val="0"/>
              <c:showBubbleSize val="0"/>
            </c:dLbl>
            <c:dLbl>
              <c:idx val="4"/>
              <c:layout>
                <c:manualLayout>
                  <c:x val="-6.3578564940962756E-2"/>
                  <c:y val="-5.112474437627812E-2"/>
                </c:manualLayout>
              </c:layout>
              <c:tx>
                <c:rich>
                  <a:bodyPr/>
                  <a:lstStyle/>
                  <a:p>
                    <a:r>
                      <a:rPr lang="es-ES"/>
                      <a:t>JMenores</a:t>
                    </a:r>
                  </a:p>
                </c:rich>
              </c:tx>
              <c:dLblPos val="r"/>
              <c:showLegendKey val="0"/>
              <c:showVal val="0"/>
              <c:showCatName val="0"/>
              <c:showSerName val="0"/>
              <c:showPercent val="0"/>
              <c:showBubbleSize val="0"/>
            </c:dLbl>
            <c:dLbl>
              <c:idx val="5"/>
              <c:layout/>
              <c:tx>
                <c:rich>
                  <a:bodyPr/>
                  <a:lstStyle/>
                  <a:p>
                    <a:r>
                      <a:rPr lang="es-ES"/>
                      <a:t>JPenal</a:t>
                    </a:r>
                  </a:p>
                </c:rich>
              </c:tx>
              <c:showLegendKey val="0"/>
              <c:showVal val="0"/>
              <c:showCatName val="0"/>
              <c:showSerName val="0"/>
              <c:showPercent val="0"/>
              <c:showBubbleSize val="0"/>
            </c:dLbl>
            <c:dLbl>
              <c:idx val="6"/>
              <c:layout/>
              <c:tx>
                <c:rich>
                  <a:bodyPr/>
                  <a:lstStyle/>
                  <a:p>
                    <a:r>
                      <a:rPr lang="es-ES"/>
                      <a:t>JVM</a:t>
                    </a:r>
                  </a:p>
                </c:rich>
              </c:tx>
              <c:showLegendKey val="0"/>
              <c:showVal val="0"/>
              <c:showCatName val="0"/>
              <c:showSerName val="0"/>
              <c:showPercent val="0"/>
              <c:showBubbleSize val="0"/>
            </c:dLbl>
            <c:dLbl>
              <c:idx val="7"/>
              <c:layout/>
              <c:tx>
                <c:rich>
                  <a:bodyPr/>
                  <a:lstStyle/>
                  <a:p>
                    <a:r>
                      <a:rPr lang="es-ES"/>
                      <a:t>JMercantil</a:t>
                    </a:r>
                  </a:p>
                </c:rich>
              </c:tx>
              <c:showLegendKey val="0"/>
              <c:showVal val="0"/>
              <c:showCatName val="0"/>
              <c:showSerName val="0"/>
              <c:showPercent val="0"/>
              <c:showBubbleSize val="0"/>
            </c:dLbl>
            <c:dLbl>
              <c:idx val="8"/>
              <c:layout/>
              <c:tx>
                <c:rich>
                  <a:bodyPr/>
                  <a:lstStyle/>
                  <a:p>
                    <a:r>
                      <a:rPr lang="es-ES"/>
                      <a:t>J1ii</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secretarios!$C$13:$K$13</c:f>
              <c:numCache>
                <c:formatCode>0.00</c:formatCode>
                <c:ptCount val="9"/>
                <c:pt idx="0">
                  <c:v>0.10619469026548672</c:v>
                </c:pt>
                <c:pt idx="1">
                  <c:v>7.7253218884120178E-2</c:v>
                </c:pt>
                <c:pt idx="2">
                  <c:v>0.10043668122270742</c:v>
                </c:pt>
                <c:pt idx="3">
                  <c:v>9.2753623188405798E-2</c:v>
                </c:pt>
                <c:pt idx="4">
                  <c:v>7.3170731707317069E-2</c:v>
                </c:pt>
                <c:pt idx="5">
                  <c:v>0.18961038961038962</c:v>
                </c:pt>
                <c:pt idx="6">
                  <c:v>0.29201680672268909</c:v>
                </c:pt>
                <c:pt idx="7">
                  <c:v>0.12087912087912088</c:v>
                </c:pt>
                <c:pt idx="8">
                  <c:v>0.16455160744500846</c:v>
                </c:pt>
              </c:numCache>
            </c:numRef>
          </c:xVal>
          <c:yVal>
            <c:numRef>
              <c:f>secretarios!$C$16:$K$16</c:f>
              <c:numCache>
                <c:formatCode>0.00</c:formatCode>
                <c:ptCount val="9"/>
                <c:pt idx="0">
                  <c:v>0.92835495211540797</c:v>
                </c:pt>
                <c:pt idx="1">
                  <c:v>0.91820800752542775</c:v>
                </c:pt>
                <c:pt idx="2">
                  <c:v>0.94355446551414723</c:v>
                </c:pt>
                <c:pt idx="3">
                  <c:v>0.94591657032080256</c:v>
                </c:pt>
                <c:pt idx="4">
                  <c:v>0.95643167390578021</c:v>
                </c:pt>
                <c:pt idx="5">
                  <c:v>0.83923145347802874</c:v>
                </c:pt>
                <c:pt idx="6">
                  <c:v>0.69852077817428349</c:v>
                </c:pt>
                <c:pt idx="7">
                  <c:v>0.89576998344121639</c:v>
                </c:pt>
                <c:pt idx="8">
                  <c:v>0.82139860464038206</c:v>
                </c:pt>
              </c:numCache>
            </c:numRef>
          </c:yVal>
          <c:smooth val="0"/>
        </c:ser>
        <c:dLbls>
          <c:showLegendKey val="0"/>
          <c:showVal val="0"/>
          <c:showCatName val="0"/>
          <c:showSerName val="0"/>
          <c:showPercent val="0"/>
          <c:showBubbleSize val="0"/>
        </c:dLbls>
        <c:axId val="309162496"/>
        <c:axId val="309163072"/>
      </c:scatterChart>
      <c:valAx>
        <c:axId val="309162496"/>
        <c:scaling>
          <c:orientation val="minMax"/>
          <c:max val="0.30000000000000004"/>
          <c:min val="5.000000000000001E-2"/>
        </c:scaling>
        <c:delete val="0"/>
        <c:axPos val="b"/>
        <c:title>
          <c:tx>
            <c:rich>
              <a:bodyPr/>
              <a:lstStyle/>
              <a:p>
                <a:pPr>
                  <a:defRPr sz="1100" b="1" i="0" u="none" strike="noStrike" baseline="0">
                    <a:solidFill>
                      <a:srgbClr val="000000"/>
                    </a:solidFill>
                    <a:latin typeface="Arial"/>
                    <a:ea typeface="Arial"/>
                    <a:cs typeface="Arial"/>
                  </a:defRPr>
                </a:pPr>
                <a:r>
                  <a:rPr lang="es-ES"/>
                  <a:t>Índice de rotación</a:t>
                </a:r>
              </a:p>
            </c:rich>
          </c:tx>
          <c:layout>
            <c:manualLayout>
              <c:xMode val="edge"/>
              <c:yMode val="edge"/>
              <c:x val="0.36908787287147693"/>
              <c:y val="0.90416324493180689"/>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309163072"/>
        <c:crosses val="autoZero"/>
        <c:crossBetween val="midCat"/>
        <c:majorUnit val="5.000000000000001E-2"/>
      </c:valAx>
      <c:valAx>
        <c:axId val="309163072"/>
        <c:scaling>
          <c:orientation val="minMax"/>
          <c:max val="1"/>
          <c:min val="0.65000000000000013"/>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s-ES"/>
                  <a:t>% días cubiertos por titulares</a:t>
                </a:r>
              </a:p>
            </c:rich>
          </c:tx>
          <c:layout>
            <c:manualLayout>
              <c:xMode val="edge"/>
              <c:yMode val="edge"/>
              <c:x val="1.730781608702182E-2"/>
              <c:y val="0.2119814394366348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309162496"/>
        <c:crosses val="autoZero"/>
        <c:crossBetween val="midCat"/>
        <c:majorUnit val="5.000000000000001E-2"/>
        <c:minorUnit val="0.05"/>
      </c:valAx>
      <c:spPr>
        <a:solidFill>
          <a:srgbClr val="99CC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s-E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Gestión procesal</a:t>
            </a:r>
          </a:p>
        </c:rich>
      </c:tx>
      <c:layout>
        <c:manualLayout>
          <c:xMode val="edge"/>
          <c:yMode val="edge"/>
          <c:x val="0.39132202267118238"/>
          <c:y val="3.0718859529061941E-2"/>
        </c:manualLayout>
      </c:layout>
      <c:overlay val="0"/>
      <c:spPr>
        <a:noFill/>
        <a:ln w="25400">
          <a:noFill/>
        </a:ln>
      </c:spPr>
    </c:title>
    <c:autoTitleDeleted val="0"/>
    <c:plotArea>
      <c:layout>
        <c:manualLayout>
          <c:layoutTarget val="inner"/>
          <c:xMode val="edge"/>
          <c:yMode val="edge"/>
          <c:x val="0.15312462962962964"/>
          <c:y val="0.14176277777777777"/>
          <c:w val="0.77609739629925378"/>
          <c:h val="0.66510614697625492"/>
        </c:manualLayout>
      </c:layout>
      <c:scatterChart>
        <c:scatterStyle val="lineMarker"/>
        <c:varyColors val="0"/>
        <c:ser>
          <c:idx val="0"/>
          <c:order val="0"/>
          <c:tx>
            <c:strRef>
              <c:f>gestion!$C$12:$K$12</c:f>
              <c:strCache>
                <c:ptCount val="1"/>
                <c:pt idx="0">
                  <c:v>TSJ A.P. JCA JSocial JMenores JPenal JVM JMercantil J1ii</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r>
                      <a:rPr lang="es-ES"/>
                      <a:t>TSJ</a:t>
                    </a:r>
                  </a:p>
                </c:rich>
              </c:tx>
              <c:showLegendKey val="0"/>
              <c:showVal val="0"/>
              <c:showCatName val="0"/>
              <c:showSerName val="0"/>
              <c:showPercent val="0"/>
              <c:showBubbleSize val="0"/>
            </c:dLbl>
            <c:dLbl>
              <c:idx val="1"/>
              <c:tx>
                <c:rich>
                  <a:bodyPr/>
                  <a:lstStyle/>
                  <a:p>
                    <a:r>
                      <a:rPr lang="es-ES"/>
                      <a:t>A.P.</a:t>
                    </a:r>
                  </a:p>
                </c:rich>
              </c:tx>
              <c:showLegendKey val="0"/>
              <c:showVal val="0"/>
              <c:showCatName val="0"/>
              <c:showSerName val="0"/>
              <c:showPercent val="0"/>
              <c:showBubbleSize val="0"/>
            </c:dLbl>
            <c:dLbl>
              <c:idx val="2"/>
              <c:tx>
                <c:rich>
                  <a:bodyPr/>
                  <a:lstStyle/>
                  <a:p>
                    <a:r>
                      <a:rPr lang="es-ES"/>
                      <a:t>JCA</a:t>
                    </a:r>
                  </a:p>
                </c:rich>
              </c:tx>
              <c:showLegendKey val="0"/>
              <c:showVal val="0"/>
              <c:showCatName val="0"/>
              <c:showSerName val="0"/>
              <c:showPercent val="0"/>
              <c:showBubbleSize val="0"/>
            </c:dLbl>
            <c:dLbl>
              <c:idx val="3"/>
              <c:tx>
                <c:rich>
                  <a:bodyPr/>
                  <a:lstStyle/>
                  <a:p>
                    <a:r>
                      <a:rPr lang="es-ES"/>
                      <a:t>JSocial</a:t>
                    </a:r>
                  </a:p>
                </c:rich>
              </c:tx>
              <c:showLegendKey val="0"/>
              <c:showVal val="0"/>
              <c:showCatName val="0"/>
              <c:showSerName val="0"/>
              <c:showPercent val="0"/>
              <c:showBubbleSize val="0"/>
            </c:dLbl>
            <c:dLbl>
              <c:idx val="4"/>
              <c:tx>
                <c:rich>
                  <a:bodyPr/>
                  <a:lstStyle/>
                  <a:p>
                    <a:r>
                      <a:rPr lang="es-ES"/>
                      <a:t>JMenores</a:t>
                    </a:r>
                  </a:p>
                </c:rich>
              </c:tx>
              <c:showLegendKey val="0"/>
              <c:showVal val="0"/>
              <c:showCatName val="0"/>
              <c:showSerName val="0"/>
              <c:showPercent val="0"/>
              <c:showBubbleSize val="0"/>
            </c:dLbl>
            <c:dLbl>
              <c:idx val="5"/>
              <c:tx>
                <c:rich>
                  <a:bodyPr/>
                  <a:lstStyle/>
                  <a:p>
                    <a:r>
                      <a:rPr lang="es-ES"/>
                      <a:t>JPenal</a:t>
                    </a:r>
                  </a:p>
                </c:rich>
              </c:tx>
              <c:showLegendKey val="0"/>
              <c:showVal val="0"/>
              <c:showCatName val="0"/>
              <c:showSerName val="0"/>
              <c:showPercent val="0"/>
              <c:showBubbleSize val="0"/>
            </c:dLbl>
            <c:dLbl>
              <c:idx val="6"/>
              <c:tx>
                <c:rich>
                  <a:bodyPr/>
                  <a:lstStyle/>
                  <a:p>
                    <a:r>
                      <a:rPr lang="es-ES"/>
                      <a:t>JVM</a:t>
                    </a:r>
                  </a:p>
                </c:rich>
              </c:tx>
              <c:showLegendKey val="0"/>
              <c:showVal val="0"/>
              <c:showCatName val="0"/>
              <c:showSerName val="0"/>
              <c:showPercent val="0"/>
              <c:showBubbleSize val="0"/>
            </c:dLbl>
            <c:dLbl>
              <c:idx val="7"/>
              <c:tx>
                <c:rich>
                  <a:bodyPr/>
                  <a:lstStyle/>
                  <a:p>
                    <a:r>
                      <a:rPr lang="es-ES"/>
                      <a:t>JMercantil</a:t>
                    </a:r>
                  </a:p>
                </c:rich>
              </c:tx>
              <c:showLegendKey val="0"/>
              <c:showVal val="0"/>
              <c:showCatName val="0"/>
              <c:showSerName val="0"/>
              <c:showPercent val="0"/>
              <c:showBubbleSize val="0"/>
            </c:dLbl>
            <c:dLbl>
              <c:idx val="8"/>
              <c:tx>
                <c:rich>
                  <a:bodyPr/>
                  <a:lstStyle/>
                  <a:p>
                    <a:r>
                      <a:rPr lang="es-ES"/>
                      <a:t>J1ii</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gestion!$C$13:$K$13</c:f>
              <c:numCache>
                <c:formatCode>0.00</c:formatCode>
                <c:ptCount val="9"/>
                <c:pt idx="0">
                  <c:v>1.3513513513513514E-2</c:v>
                </c:pt>
                <c:pt idx="1">
                  <c:v>9.3851132686084138E-2</c:v>
                </c:pt>
                <c:pt idx="2">
                  <c:v>6.7915690866510545E-2</c:v>
                </c:pt>
                <c:pt idx="3">
                  <c:v>9.878419452887538E-2</c:v>
                </c:pt>
                <c:pt idx="4">
                  <c:v>8.1081081081081086E-2</c:v>
                </c:pt>
                <c:pt idx="5">
                  <c:v>0.12348993288590604</c:v>
                </c:pt>
                <c:pt idx="6">
                  <c:v>9.5715587967183227E-2</c:v>
                </c:pt>
                <c:pt idx="7">
                  <c:v>9.4696969696969696E-2</c:v>
                </c:pt>
                <c:pt idx="8">
                  <c:v>9.6259871852182988E-2</c:v>
                </c:pt>
              </c:numCache>
            </c:numRef>
          </c:xVal>
          <c:yVal>
            <c:numRef>
              <c:f>gestion!$C$16:$K$16</c:f>
              <c:numCache>
                <c:formatCode>0.00</c:formatCode>
                <c:ptCount val="9"/>
                <c:pt idx="0">
                  <c:v>0.97875715546948427</c:v>
                </c:pt>
                <c:pt idx="1">
                  <c:v>0.89647116194529419</c:v>
                </c:pt>
                <c:pt idx="2">
                  <c:v>0.92763786853164798</c:v>
                </c:pt>
                <c:pt idx="3">
                  <c:v>0.87752394193150618</c:v>
                </c:pt>
                <c:pt idx="4">
                  <c:v>0.90941626558064914</c:v>
                </c:pt>
                <c:pt idx="5">
                  <c:v>0.7819950353957893</c:v>
                </c:pt>
                <c:pt idx="6">
                  <c:v>0.8463430776338956</c:v>
                </c:pt>
                <c:pt idx="7">
                  <c:v>0.81106268161062678</c:v>
                </c:pt>
                <c:pt idx="8">
                  <c:v>0.82850972539461898</c:v>
                </c:pt>
              </c:numCache>
            </c:numRef>
          </c:yVal>
          <c:smooth val="0"/>
        </c:ser>
        <c:dLbls>
          <c:showLegendKey val="0"/>
          <c:showVal val="0"/>
          <c:showCatName val="0"/>
          <c:showSerName val="0"/>
          <c:showPercent val="0"/>
          <c:showBubbleSize val="0"/>
        </c:dLbls>
        <c:axId val="309165376"/>
        <c:axId val="153001984"/>
      </c:scatterChart>
      <c:valAx>
        <c:axId val="309165376"/>
        <c:scaling>
          <c:orientation val="minMax"/>
          <c:max val="0.15000000000000002"/>
          <c:min val="0"/>
        </c:scaling>
        <c:delete val="0"/>
        <c:axPos val="b"/>
        <c:title>
          <c:tx>
            <c:rich>
              <a:bodyPr/>
              <a:lstStyle/>
              <a:p>
                <a:pPr>
                  <a:defRPr sz="1100" b="1" i="0" u="none" strike="noStrike" baseline="0">
                    <a:solidFill>
                      <a:srgbClr val="000000"/>
                    </a:solidFill>
                    <a:latin typeface="Arial"/>
                    <a:ea typeface="Arial"/>
                    <a:cs typeface="Arial"/>
                  </a:defRPr>
                </a:pPr>
                <a:r>
                  <a:rPr lang="es-ES"/>
                  <a:t>Índice de rotación</a:t>
                </a:r>
              </a:p>
            </c:rich>
          </c:tx>
          <c:layout>
            <c:manualLayout>
              <c:xMode val="edge"/>
              <c:yMode val="edge"/>
              <c:x val="0.39810094124937234"/>
              <c:y val="0.90869576885711378"/>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53001984"/>
        <c:crosses val="autoZero"/>
        <c:crossBetween val="midCat"/>
      </c:valAx>
      <c:valAx>
        <c:axId val="153001984"/>
        <c:scaling>
          <c:orientation val="minMax"/>
          <c:max val="1"/>
          <c:min val="0.75000000000000011"/>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s-ES"/>
                  <a:t>% días cubiertos por titulares</a:t>
                </a:r>
              </a:p>
            </c:rich>
          </c:tx>
          <c:layout>
            <c:manualLayout>
              <c:xMode val="edge"/>
              <c:yMode val="edge"/>
              <c:x val="1.9859008465190155E-2"/>
              <c:y val="0.2212670885464470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309165376"/>
        <c:crosses val="autoZero"/>
        <c:crossBetween val="midCat"/>
        <c:majorUnit val="0.05"/>
      </c:valAx>
      <c:spPr>
        <a:solidFill>
          <a:srgbClr val="99CC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Tramitación</a:t>
            </a:r>
          </a:p>
        </c:rich>
      </c:tx>
      <c:layout>
        <c:manualLayout>
          <c:xMode val="edge"/>
          <c:yMode val="edge"/>
          <c:x val="0.42857117419345653"/>
          <c:y val="3.0878808860548876E-2"/>
        </c:manualLayout>
      </c:layout>
      <c:overlay val="0"/>
      <c:spPr>
        <a:noFill/>
        <a:ln w="25400">
          <a:noFill/>
        </a:ln>
      </c:spPr>
    </c:title>
    <c:autoTitleDeleted val="0"/>
    <c:plotArea>
      <c:layout>
        <c:manualLayout>
          <c:layoutTarget val="inner"/>
          <c:xMode val="edge"/>
          <c:yMode val="edge"/>
          <c:x val="0.14112152195358213"/>
          <c:y val="0.12620002254319437"/>
          <c:w val="0.77293233082706769"/>
          <c:h val="0.68646160376800469"/>
        </c:manualLayout>
      </c:layout>
      <c:scatterChart>
        <c:scatterStyle val="lineMarker"/>
        <c:varyColors val="0"/>
        <c:ser>
          <c:idx val="0"/>
          <c:order val="0"/>
          <c:tx>
            <c:strRef>
              <c:f>tramitacion!$C$12:$K$12</c:f>
              <c:strCache>
                <c:ptCount val="1"/>
                <c:pt idx="0">
                  <c:v>TSJ A.P. JCA JSocial JMenores JPenal JVM JMercantil J1ii</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r>
                      <a:rPr lang="es-ES"/>
                      <a:t>TSJ</a:t>
                    </a:r>
                  </a:p>
                </c:rich>
              </c:tx>
              <c:showLegendKey val="0"/>
              <c:showVal val="0"/>
              <c:showCatName val="0"/>
              <c:showSerName val="0"/>
              <c:showPercent val="0"/>
              <c:showBubbleSize val="0"/>
            </c:dLbl>
            <c:dLbl>
              <c:idx val="1"/>
              <c:layout>
                <c:manualLayout>
                  <c:x val="-5.7570415638343718E-2"/>
                  <c:y val="-1.8708167614017574E-3"/>
                </c:manualLayout>
              </c:layout>
              <c:tx>
                <c:rich>
                  <a:bodyPr/>
                  <a:lstStyle/>
                  <a:p>
                    <a:r>
                      <a:rPr lang="es-ES"/>
                      <a:t>A.P.</a:t>
                    </a:r>
                  </a:p>
                </c:rich>
              </c:tx>
              <c:dLblPos val="r"/>
              <c:showLegendKey val="0"/>
              <c:showVal val="0"/>
              <c:showCatName val="0"/>
              <c:showSerName val="0"/>
              <c:showPercent val="0"/>
              <c:showBubbleSize val="0"/>
            </c:dLbl>
            <c:dLbl>
              <c:idx val="2"/>
              <c:layout>
                <c:manualLayout>
                  <c:x val="-2.2266975786780006E-3"/>
                  <c:y val="-6.6153540623373002E-4"/>
                </c:manualLayout>
              </c:layout>
              <c:tx>
                <c:rich>
                  <a:bodyPr/>
                  <a:lstStyle/>
                  <a:p>
                    <a:r>
                      <a:rPr lang="es-ES"/>
                      <a:t>JCA</a:t>
                    </a:r>
                  </a:p>
                </c:rich>
              </c:tx>
              <c:dLblPos val="r"/>
              <c:showLegendKey val="0"/>
              <c:showVal val="0"/>
              <c:showCatName val="0"/>
              <c:showSerName val="0"/>
              <c:showPercent val="0"/>
              <c:showBubbleSize val="0"/>
            </c:dLbl>
            <c:dLbl>
              <c:idx val="3"/>
              <c:layout>
                <c:manualLayout>
                  <c:x val="0"/>
                  <c:y val="3.0674846625766871E-2"/>
                </c:manualLayout>
              </c:layout>
              <c:tx>
                <c:rich>
                  <a:bodyPr/>
                  <a:lstStyle/>
                  <a:p>
                    <a:r>
                      <a:rPr lang="es-ES"/>
                      <a:t>JSocial</a:t>
                    </a:r>
                  </a:p>
                </c:rich>
              </c:tx>
              <c:dLblPos val="r"/>
              <c:showLegendKey val="0"/>
              <c:showVal val="0"/>
              <c:showCatName val="0"/>
              <c:showSerName val="0"/>
              <c:showPercent val="0"/>
              <c:showBubbleSize val="0"/>
            </c:dLbl>
            <c:dLbl>
              <c:idx val="4"/>
              <c:layout>
                <c:manualLayout>
                  <c:x val="-5.2013198146703764E-2"/>
                  <c:y val="-4.7716696455887803E-2"/>
                </c:manualLayout>
              </c:layout>
              <c:tx>
                <c:rich>
                  <a:bodyPr/>
                  <a:lstStyle/>
                  <a:p>
                    <a:r>
                      <a:rPr lang="es-ES"/>
                      <a:t>JMenores</a:t>
                    </a:r>
                  </a:p>
                </c:rich>
              </c:tx>
              <c:dLblPos val="r"/>
              <c:showLegendKey val="0"/>
              <c:showVal val="0"/>
              <c:showCatName val="0"/>
              <c:showSerName val="0"/>
              <c:showPercent val="0"/>
              <c:showBubbleSize val="0"/>
            </c:dLbl>
            <c:dLbl>
              <c:idx val="5"/>
              <c:layout>
                <c:manualLayout>
                  <c:x val="-2.6562233323647092E-3"/>
                  <c:y val="-4.1752997091579702E-2"/>
                </c:manualLayout>
              </c:layout>
              <c:tx>
                <c:rich>
                  <a:bodyPr/>
                  <a:lstStyle/>
                  <a:p>
                    <a:r>
                      <a:rPr lang="es-ES"/>
                      <a:t>JPenal</a:t>
                    </a:r>
                  </a:p>
                </c:rich>
              </c:tx>
              <c:dLblPos val="r"/>
              <c:showLegendKey val="0"/>
              <c:showVal val="0"/>
              <c:showCatName val="0"/>
              <c:showSerName val="0"/>
              <c:showPercent val="0"/>
              <c:showBubbleSize val="0"/>
            </c:dLbl>
            <c:dLbl>
              <c:idx val="6"/>
              <c:layout>
                <c:manualLayout>
                  <c:x val="-1.8091361374943465E-2"/>
                  <c:y val="-2.7266530334014997E-2"/>
                </c:manualLayout>
              </c:layout>
              <c:tx>
                <c:rich>
                  <a:bodyPr/>
                  <a:lstStyle/>
                  <a:p>
                    <a:r>
                      <a:rPr lang="es-ES"/>
                      <a:t>JVM</a:t>
                    </a:r>
                  </a:p>
                </c:rich>
              </c:tx>
              <c:dLblPos val="r"/>
              <c:showLegendKey val="0"/>
              <c:showVal val="0"/>
              <c:showCatName val="0"/>
              <c:showSerName val="0"/>
              <c:showPercent val="0"/>
              <c:showBubbleSize val="0"/>
            </c:dLbl>
            <c:dLbl>
              <c:idx val="7"/>
              <c:layout>
                <c:manualLayout>
                  <c:x val="-0.12463605415659676"/>
                  <c:y val="-2.9404792142917618E-2"/>
                </c:manualLayout>
              </c:layout>
              <c:tx>
                <c:rich>
                  <a:bodyPr/>
                  <a:lstStyle/>
                  <a:p>
                    <a:r>
                      <a:rPr lang="es-ES"/>
                      <a:t>JMercantil</a:t>
                    </a:r>
                  </a:p>
                </c:rich>
              </c:tx>
              <c:dLblPos val="r"/>
              <c:showLegendKey val="0"/>
              <c:showVal val="0"/>
              <c:showCatName val="0"/>
              <c:showSerName val="0"/>
              <c:showPercent val="0"/>
              <c:showBubbleSize val="0"/>
            </c:dLbl>
            <c:dLbl>
              <c:idx val="8"/>
              <c:layout>
                <c:manualLayout>
                  <c:x val="-7.0320417868558513E-4"/>
                  <c:y val="1.8263765416419723E-2"/>
                </c:manualLayout>
              </c:layout>
              <c:tx>
                <c:rich>
                  <a:bodyPr/>
                  <a:lstStyle/>
                  <a:p>
                    <a:r>
                      <a:rPr lang="es-ES"/>
                      <a:t>J1ii</a:t>
                    </a:r>
                  </a:p>
                </c:rich>
              </c:tx>
              <c:dLblPos val="r"/>
              <c:showLegendKey val="0"/>
              <c:showVal val="0"/>
              <c:showCatName val="0"/>
              <c:showSerName val="0"/>
              <c:showPercent val="0"/>
              <c:showBubbleSize val="0"/>
            </c:dLbl>
            <c:spPr>
              <a:noFill/>
              <a:ln w="25400">
                <a:noFill/>
              </a:ln>
            </c:spPr>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tramitacion!$C$13:$K$13</c:f>
              <c:numCache>
                <c:formatCode>0.00</c:formatCode>
                <c:ptCount val="9"/>
                <c:pt idx="0">
                  <c:v>1.6829533116178068E-2</c:v>
                </c:pt>
                <c:pt idx="1">
                  <c:v>9.1911764705882359E-2</c:v>
                </c:pt>
                <c:pt idx="2">
                  <c:v>9.114249037227215E-2</c:v>
                </c:pt>
                <c:pt idx="3">
                  <c:v>0.12380250552689757</c:v>
                </c:pt>
                <c:pt idx="4">
                  <c:v>8.755760368663594E-2</c:v>
                </c:pt>
                <c:pt idx="5">
                  <c:v>0.13204005006257821</c:v>
                </c:pt>
                <c:pt idx="6">
                  <c:v>0.12094907407407407</c:v>
                </c:pt>
                <c:pt idx="7">
                  <c:v>0.12637362637362637</c:v>
                </c:pt>
                <c:pt idx="8">
                  <c:v>0.11294928606597734</c:v>
                </c:pt>
              </c:numCache>
            </c:numRef>
          </c:xVal>
          <c:yVal>
            <c:numRef>
              <c:f>tramitacion!$C$16:$K$16</c:f>
              <c:numCache>
                <c:formatCode>0.00</c:formatCode>
                <c:ptCount val="9"/>
                <c:pt idx="0">
                  <c:v>0.98038611991135305</c:v>
                </c:pt>
                <c:pt idx="1">
                  <c:v>0.85752669218372279</c:v>
                </c:pt>
                <c:pt idx="2">
                  <c:v>0.88146024935375522</c:v>
                </c:pt>
                <c:pt idx="3">
                  <c:v>0.81012200047164684</c:v>
                </c:pt>
                <c:pt idx="4">
                  <c:v>0.89361782715737648</c:v>
                </c:pt>
                <c:pt idx="5">
                  <c:v>0.69247518301987077</c:v>
                </c:pt>
                <c:pt idx="6">
                  <c:v>0.81446600710299333</c:v>
                </c:pt>
                <c:pt idx="7">
                  <c:v>0.69909679361734156</c:v>
                </c:pt>
                <c:pt idx="8">
                  <c:v>0.78503335289316967</c:v>
                </c:pt>
              </c:numCache>
            </c:numRef>
          </c:yVal>
          <c:smooth val="0"/>
        </c:ser>
        <c:dLbls>
          <c:showLegendKey val="0"/>
          <c:showVal val="0"/>
          <c:showCatName val="0"/>
          <c:showSerName val="0"/>
          <c:showPercent val="0"/>
          <c:showBubbleSize val="0"/>
        </c:dLbls>
        <c:axId val="153003136"/>
        <c:axId val="153003712"/>
      </c:scatterChart>
      <c:valAx>
        <c:axId val="153003136"/>
        <c:scaling>
          <c:orientation val="minMax"/>
          <c:max val="0.14000000000000001"/>
          <c:min val="0"/>
        </c:scaling>
        <c:delete val="0"/>
        <c:axPos val="b"/>
        <c:title>
          <c:tx>
            <c:rich>
              <a:bodyPr/>
              <a:lstStyle/>
              <a:p>
                <a:pPr>
                  <a:defRPr sz="1100" b="1" i="0" u="none" strike="noStrike" baseline="0">
                    <a:solidFill>
                      <a:srgbClr val="000000"/>
                    </a:solidFill>
                    <a:latin typeface="Arial"/>
                    <a:ea typeface="Arial"/>
                    <a:cs typeface="Arial"/>
                  </a:defRPr>
                </a:pPr>
                <a:r>
                  <a:rPr lang="es-ES"/>
                  <a:t>Índice de rotación</a:t>
                </a:r>
              </a:p>
            </c:rich>
          </c:tx>
          <c:layout>
            <c:manualLayout>
              <c:xMode val="edge"/>
              <c:yMode val="edge"/>
              <c:x val="0.37536957303674895"/>
              <c:y val="0.91211508837468935"/>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53003712"/>
        <c:crossesAt val="0"/>
        <c:crossBetween val="midCat"/>
        <c:majorUnit val="2.0000000000000004E-2"/>
      </c:valAx>
      <c:valAx>
        <c:axId val="153003712"/>
        <c:scaling>
          <c:orientation val="minMax"/>
          <c:max val="1"/>
          <c:min val="0.65000000000000013"/>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s-ES"/>
                  <a:t>% días cubiertos por titulares</a:t>
                </a:r>
              </a:p>
            </c:rich>
          </c:tx>
          <c:layout>
            <c:manualLayout>
              <c:xMode val="edge"/>
              <c:yMode val="edge"/>
              <c:x val="1.4788263407372586E-2"/>
              <c:y val="0.225653350079706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53003136"/>
        <c:crosses val="autoZero"/>
        <c:crossBetween val="midCat"/>
        <c:majorUnit val="0.05"/>
        <c:minorUnit val="0.05"/>
      </c:valAx>
      <c:spPr>
        <a:solidFill>
          <a:srgbClr val="99CC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s-E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Auxilio</a:t>
            </a:r>
          </a:p>
        </c:rich>
      </c:tx>
      <c:layout>
        <c:manualLayout>
          <c:xMode val="edge"/>
          <c:yMode val="edge"/>
          <c:x val="0.45015113377221289"/>
          <c:y val="3.0550018273032331E-2"/>
        </c:manualLayout>
      </c:layout>
      <c:overlay val="0"/>
      <c:spPr>
        <a:noFill/>
        <a:ln w="25400">
          <a:noFill/>
        </a:ln>
      </c:spPr>
    </c:title>
    <c:autoTitleDeleted val="0"/>
    <c:plotArea>
      <c:layout>
        <c:manualLayout>
          <c:layoutTarget val="inner"/>
          <c:xMode val="edge"/>
          <c:yMode val="edge"/>
          <c:x val="0.14383571264696104"/>
          <c:y val="0.16866840731070495"/>
          <c:w val="0.77283407407407412"/>
          <c:h val="0.6392322222222222"/>
        </c:manualLayout>
      </c:layout>
      <c:scatterChart>
        <c:scatterStyle val="lineMarker"/>
        <c:varyColors val="0"/>
        <c:ser>
          <c:idx val="0"/>
          <c:order val="0"/>
          <c:tx>
            <c:strRef>
              <c:f>auxilio!$C$12:$K$12</c:f>
              <c:strCache>
                <c:ptCount val="1"/>
                <c:pt idx="0">
                  <c:v>TSJ A.P. JCA JSocial JMenores JPenal JVM JMercantil J1ii</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r>
                      <a:rPr lang="es-ES"/>
                      <a:t>TSJ</a:t>
                    </a:r>
                  </a:p>
                </c:rich>
              </c:tx>
              <c:showLegendKey val="0"/>
              <c:showVal val="0"/>
              <c:showCatName val="0"/>
              <c:showSerName val="0"/>
              <c:showPercent val="0"/>
              <c:showBubbleSize val="0"/>
            </c:dLbl>
            <c:dLbl>
              <c:idx val="1"/>
              <c:tx>
                <c:rich>
                  <a:bodyPr/>
                  <a:lstStyle/>
                  <a:p>
                    <a:r>
                      <a:rPr lang="es-ES"/>
                      <a:t>A.P.</a:t>
                    </a:r>
                  </a:p>
                </c:rich>
              </c:tx>
              <c:showLegendKey val="0"/>
              <c:showVal val="0"/>
              <c:showCatName val="0"/>
              <c:showSerName val="0"/>
              <c:showPercent val="0"/>
              <c:showBubbleSize val="0"/>
            </c:dLbl>
            <c:dLbl>
              <c:idx val="2"/>
              <c:tx>
                <c:rich>
                  <a:bodyPr/>
                  <a:lstStyle/>
                  <a:p>
                    <a:r>
                      <a:rPr lang="es-ES"/>
                      <a:t>JCA</a:t>
                    </a:r>
                  </a:p>
                </c:rich>
              </c:tx>
              <c:showLegendKey val="0"/>
              <c:showVal val="0"/>
              <c:showCatName val="0"/>
              <c:showSerName val="0"/>
              <c:showPercent val="0"/>
              <c:showBubbleSize val="0"/>
            </c:dLbl>
            <c:dLbl>
              <c:idx val="3"/>
              <c:tx>
                <c:rich>
                  <a:bodyPr/>
                  <a:lstStyle/>
                  <a:p>
                    <a:r>
                      <a:rPr lang="es-ES"/>
                      <a:t>JSocial</a:t>
                    </a:r>
                  </a:p>
                </c:rich>
              </c:tx>
              <c:showLegendKey val="0"/>
              <c:showVal val="0"/>
              <c:showCatName val="0"/>
              <c:showSerName val="0"/>
              <c:showPercent val="0"/>
              <c:showBubbleSize val="0"/>
            </c:dLbl>
            <c:dLbl>
              <c:idx val="4"/>
              <c:layout>
                <c:manualLayout>
                  <c:x val="-9.7905282331511842E-2"/>
                  <c:y val="2.8129395218002812E-2"/>
                </c:manualLayout>
              </c:layout>
              <c:tx>
                <c:rich>
                  <a:bodyPr/>
                  <a:lstStyle/>
                  <a:p>
                    <a:r>
                      <a:rPr lang="es-ES"/>
                      <a:t>JMenores</a:t>
                    </a:r>
                  </a:p>
                </c:rich>
              </c:tx>
              <c:dLblPos val="r"/>
              <c:showLegendKey val="0"/>
              <c:showVal val="0"/>
              <c:showCatName val="0"/>
              <c:showSerName val="0"/>
              <c:showPercent val="0"/>
              <c:showBubbleSize val="0"/>
            </c:dLbl>
            <c:dLbl>
              <c:idx val="5"/>
              <c:tx>
                <c:rich>
                  <a:bodyPr/>
                  <a:lstStyle/>
                  <a:p>
                    <a:r>
                      <a:rPr lang="es-ES"/>
                      <a:t>JPenal</a:t>
                    </a:r>
                  </a:p>
                </c:rich>
              </c:tx>
              <c:showLegendKey val="0"/>
              <c:showVal val="0"/>
              <c:showCatName val="0"/>
              <c:showSerName val="0"/>
              <c:showPercent val="0"/>
              <c:showBubbleSize val="0"/>
            </c:dLbl>
            <c:dLbl>
              <c:idx val="6"/>
              <c:tx>
                <c:rich>
                  <a:bodyPr/>
                  <a:lstStyle/>
                  <a:p>
                    <a:r>
                      <a:rPr lang="es-ES"/>
                      <a:t>JVM</a:t>
                    </a:r>
                  </a:p>
                </c:rich>
              </c:tx>
              <c:showLegendKey val="0"/>
              <c:showVal val="0"/>
              <c:showCatName val="0"/>
              <c:showSerName val="0"/>
              <c:showPercent val="0"/>
              <c:showBubbleSize val="0"/>
            </c:dLbl>
            <c:dLbl>
              <c:idx val="7"/>
              <c:layout>
                <c:manualLayout>
                  <c:x val="-0.12750455373406194"/>
                  <c:y val="-3.5161744022503515E-3"/>
                </c:manualLayout>
              </c:layout>
              <c:tx>
                <c:rich>
                  <a:bodyPr/>
                  <a:lstStyle/>
                  <a:p>
                    <a:r>
                      <a:rPr lang="es-ES"/>
                      <a:t>JMercantil</a:t>
                    </a:r>
                  </a:p>
                </c:rich>
              </c:tx>
              <c:dLblPos val="r"/>
              <c:showLegendKey val="0"/>
              <c:showVal val="0"/>
              <c:showCatName val="0"/>
              <c:showSerName val="0"/>
              <c:showPercent val="0"/>
              <c:showBubbleSize val="0"/>
            </c:dLbl>
            <c:dLbl>
              <c:idx val="8"/>
              <c:tx>
                <c:rich>
                  <a:bodyPr/>
                  <a:lstStyle/>
                  <a:p>
                    <a:r>
                      <a:rPr lang="es-ES"/>
                      <a:t>J1ii</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auxilio!$C$13:$K$13</c:f>
              <c:numCache>
                <c:formatCode>0.00</c:formatCode>
                <c:ptCount val="9"/>
                <c:pt idx="0">
                  <c:v>4.4117647058823532E-2</c:v>
                </c:pt>
                <c:pt idx="1">
                  <c:v>0.10688836104513064</c:v>
                </c:pt>
                <c:pt idx="2">
                  <c:v>0.19718309859154928</c:v>
                </c:pt>
                <c:pt idx="3">
                  <c:v>0.19453924914675769</c:v>
                </c:pt>
                <c:pt idx="4">
                  <c:v>0.18518518518518517</c:v>
                </c:pt>
                <c:pt idx="5">
                  <c:v>0.1951219512195122</c:v>
                </c:pt>
                <c:pt idx="6">
                  <c:v>0.12390670553935861</c:v>
                </c:pt>
                <c:pt idx="7">
                  <c:v>0.19191919191919191</c:v>
                </c:pt>
                <c:pt idx="8">
                  <c:v>0.14029760097175828</c:v>
                </c:pt>
              </c:numCache>
            </c:numRef>
          </c:xVal>
          <c:yVal>
            <c:numRef>
              <c:f>auxilio!$C$16:$K$16</c:f>
              <c:numCache>
                <c:formatCode>0.00</c:formatCode>
                <c:ptCount val="9"/>
                <c:pt idx="0">
                  <c:v>0.94076781397490505</c:v>
                </c:pt>
                <c:pt idx="1">
                  <c:v>0.76936192366511569</c:v>
                </c:pt>
                <c:pt idx="2">
                  <c:v>0.77225545051128686</c:v>
                </c:pt>
                <c:pt idx="3">
                  <c:v>0.66564341079902034</c:v>
                </c:pt>
                <c:pt idx="4">
                  <c:v>0.7729748012853036</c:v>
                </c:pt>
                <c:pt idx="5">
                  <c:v>0.61667000779596837</c:v>
                </c:pt>
                <c:pt idx="6">
                  <c:v>0.74562083150285552</c:v>
                </c:pt>
                <c:pt idx="7">
                  <c:v>0.62230524422305233</c:v>
                </c:pt>
                <c:pt idx="8">
                  <c:v>0.71576985635781998</c:v>
                </c:pt>
              </c:numCache>
            </c:numRef>
          </c:yVal>
          <c:smooth val="0"/>
        </c:ser>
        <c:dLbls>
          <c:showLegendKey val="0"/>
          <c:showVal val="0"/>
          <c:showCatName val="0"/>
          <c:showSerName val="0"/>
          <c:showPercent val="0"/>
          <c:showBubbleSize val="0"/>
        </c:dLbls>
        <c:axId val="153005440"/>
        <c:axId val="153006016"/>
      </c:scatterChart>
      <c:valAx>
        <c:axId val="153005440"/>
        <c:scaling>
          <c:orientation val="minMax"/>
          <c:max val="0.2"/>
          <c:min val="0"/>
        </c:scaling>
        <c:delete val="0"/>
        <c:axPos val="b"/>
        <c:title>
          <c:tx>
            <c:rich>
              <a:bodyPr/>
              <a:lstStyle/>
              <a:p>
                <a:pPr>
                  <a:defRPr sz="1100" b="1" i="0" u="none" strike="noStrike" baseline="0">
                    <a:solidFill>
                      <a:srgbClr val="000000"/>
                    </a:solidFill>
                    <a:latin typeface="Arial"/>
                    <a:ea typeface="Arial"/>
                    <a:cs typeface="Arial"/>
                  </a:defRPr>
                </a:pPr>
                <a:r>
                  <a:rPr lang="es-ES"/>
                  <a:t>Índice de rotación</a:t>
                </a:r>
              </a:p>
            </c:rich>
          </c:tx>
          <c:layout>
            <c:manualLayout>
              <c:xMode val="edge"/>
              <c:yMode val="edge"/>
              <c:x val="0.42598174203634387"/>
              <c:y val="0.9022406613730246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53006016"/>
        <c:crosses val="autoZero"/>
        <c:crossBetween val="midCat"/>
        <c:majorUnit val="5.000000000000001E-2"/>
      </c:valAx>
      <c:valAx>
        <c:axId val="153006016"/>
        <c:scaling>
          <c:orientation val="minMax"/>
          <c:max val="1"/>
          <c:min val="0.60000000000000009"/>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s-ES"/>
                  <a:t>% días cubiertos por titulares</a:t>
                </a:r>
              </a:p>
            </c:rich>
          </c:tx>
          <c:layout>
            <c:manualLayout>
              <c:xMode val="edge"/>
              <c:yMode val="edge"/>
              <c:x val="1.9637171378167891E-2"/>
              <c:y val="0.2606924925523550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53005440"/>
        <c:crosses val="autoZero"/>
        <c:crossBetween val="midCat"/>
        <c:majorUnit val="0.1"/>
      </c:valAx>
      <c:spPr>
        <a:solidFill>
          <a:srgbClr val="99CC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a:ea typeface="Verdana"/>
                <a:cs typeface="Verdana"/>
              </a:defRPr>
            </a:pPr>
            <a:r>
              <a:rPr lang="es-ES"/>
              <a:t>Jueces y magistrados</a:t>
            </a:r>
          </a:p>
        </c:rich>
      </c:tx>
      <c:layout>
        <c:manualLayout>
          <c:xMode val="edge"/>
          <c:yMode val="edge"/>
          <c:x val="0.38673224789990679"/>
          <c:y val="3.2581400297935728E-2"/>
        </c:manualLayout>
      </c:layout>
      <c:overlay val="0"/>
      <c:spPr>
        <a:noFill/>
        <a:ln w="25400">
          <a:noFill/>
        </a:ln>
      </c:spPr>
    </c:title>
    <c:autoTitleDeleted val="0"/>
    <c:plotArea>
      <c:layout>
        <c:manualLayout>
          <c:layoutTarget val="inner"/>
          <c:xMode val="edge"/>
          <c:yMode val="edge"/>
          <c:x val="0.10733566071231387"/>
          <c:y val="0.1470345154224143"/>
          <c:w val="0.85221279378912584"/>
          <c:h val="0.71011018359547162"/>
        </c:manualLayout>
      </c:layout>
      <c:scatterChart>
        <c:scatterStyle val="lineMarker"/>
        <c:varyColors val="0"/>
        <c:ser>
          <c:idx val="0"/>
          <c:order val="0"/>
          <c:tx>
            <c:strRef>
              <c:f>Hoja1!$D$5</c:f>
              <c:strCache>
                <c:ptCount val="1"/>
                <c:pt idx="0">
                  <c:v>%DIAS CUBIERTOS</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pPr>
                      <a:defRPr/>
                    </a:pPr>
                    <a:r>
                      <a:rPr lang="en-US"/>
                      <a:t>Andalucia</a:t>
                    </a:r>
                  </a:p>
                </c:rich>
              </c:tx>
              <c:spPr/>
              <c:showLegendKey val="0"/>
              <c:showVal val="0"/>
              <c:showCatName val="0"/>
              <c:showSerName val="0"/>
              <c:showPercent val="0"/>
              <c:showBubbleSize val="0"/>
            </c:dLbl>
            <c:dLbl>
              <c:idx val="1"/>
              <c:tx>
                <c:rich>
                  <a:bodyPr/>
                  <a:lstStyle/>
                  <a:p>
                    <a:pPr>
                      <a:defRPr/>
                    </a:pPr>
                    <a:r>
                      <a:rPr lang="en-US"/>
                      <a:t>Aragón</a:t>
                    </a:r>
                  </a:p>
                </c:rich>
              </c:tx>
              <c:spPr/>
              <c:showLegendKey val="0"/>
              <c:showVal val="0"/>
              <c:showCatName val="0"/>
              <c:showSerName val="0"/>
              <c:showPercent val="0"/>
              <c:showBubbleSize val="0"/>
            </c:dLbl>
            <c:dLbl>
              <c:idx val="2"/>
              <c:tx>
                <c:rich>
                  <a:bodyPr/>
                  <a:lstStyle/>
                  <a:p>
                    <a:pPr>
                      <a:defRPr/>
                    </a:pPr>
                    <a:r>
                      <a:rPr lang="en-US"/>
                      <a:t>Asturias</a:t>
                    </a:r>
                  </a:p>
                </c:rich>
              </c:tx>
              <c:spPr/>
              <c:showLegendKey val="0"/>
              <c:showVal val="0"/>
              <c:showCatName val="0"/>
              <c:showSerName val="0"/>
              <c:showPercent val="0"/>
              <c:showBubbleSize val="0"/>
            </c:dLbl>
            <c:dLbl>
              <c:idx val="3"/>
              <c:tx>
                <c:rich>
                  <a:bodyPr/>
                  <a:lstStyle/>
                  <a:p>
                    <a:pPr>
                      <a:defRPr/>
                    </a:pPr>
                    <a:r>
                      <a:rPr lang="en-US"/>
                      <a:t>Baleares</a:t>
                    </a:r>
                  </a:p>
                </c:rich>
              </c:tx>
              <c:spPr/>
              <c:showLegendKey val="0"/>
              <c:showVal val="0"/>
              <c:showCatName val="0"/>
              <c:showSerName val="0"/>
              <c:showPercent val="0"/>
              <c:showBubbleSize val="0"/>
            </c:dLbl>
            <c:dLbl>
              <c:idx val="4"/>
              <c:layout>
                <c:manualLayout>
                  <c:x val="-8.2805427044032474E-17"/>
                  <c:y val="2.0790020790020791E-2"/>
                </c:manualLayout>
              </c:layout>
              <c:tx>
                <c:rich>
                  <a:bodyPr/>
                  <a:lstStyle/>
                  <a:p>
                    <a:pPr>
                      <a:defRPr/>
                    </a:pPr>
                    <a:r>
                      <a:rPr lang="en-US"/>
                      <a:t>Canarias</a:t>
                    </a:r>
                  </a:p>
                </c:rich>
              </c:tx>
              <c:spPr/>
              <c:dLblPos val="r"/>
              <c:showLegendKey val="0"/>
              <c:showVal val="0"/>
              <c:showCatName val="0"/>
              <c:showSerName val="0"/>
              <c:showPercent val="0"/>
              <c:showBubbleSize val="0"/>
            </c:dLbl>
            <c:dLbl>
              <c:idx val="5"/>
              <c:layout>
                <c:manualLayout>
                  <c:x val="-3.6133694670280034E-2"/>
                  <c:y val="3.4650034650034647E-2"/>
                </c:manualLayout>
              </c:layout>
              <c:tx>
                <c:rich>
                  <a:bodyPr/>
                  <a:lstStyle/>
                  <a:p>
                    <a:pPr>
                      <a:defRPr/>
                    </a:pPr>
                    <a:r>
                      <a:rPr lang="en-US"/>
                      <a:t>Cantabria</a:t>
                    </a:r>
                  </a:p>
                </c:rich>
              </c:tx>
              <c:spPr/>
              <c:dLblPos val="r"/>
              <c:showLegendKey val="0"/>
              <c:showVal val="0"/>
              <c:showCatName val="0"/>
              <c:showSerName val="0"/>
              <c:showPercent val="0"/>
              <c:showBubbleSize val="0"/>
            </c:dLbl>
            <c:dLbl>
              <c:idx val="6"/>
              <c:tx>
                <c:rich>
                  <a:bodyPr/>
                  <a:lstStyle/>
                  <a:p>
                    <a:pPr>
                      <a:defRPr/>
                    </a:pPr>
                    <a:r>
                      <a:rPr lang="en-US"/>
                      <a:t>Castilla León</a:t>
                    </a:r>
                  </a:p>
                </c:rich>
              </c:tx>
              <c:spPr/>
              <c:showLegendKey val="0"/>
              <c:showVal val="0"/>
              <c:showCatName val="0"/>
              <c:showSerName val="0"/>
              <c:showPercent val="0"/>
              <c:showBubbleSize val="0"/>
            </c:dLbl>
            <c:dLbl>
              <c:idx val="7"/>
              <c:tx>
                <c:rich>
                  <a:bodyPr/>
                  <a:lstStyle/>
                  <a:p>
                    <a:pPr>
                      <a:defRPr/>
                    </a:pPr>
                    <a:r>
                      <a:rPr lang="en-US"/>
                      <a:t>Castilla la Mancha</a:t>
                    </a:r>
                  </a:p>
                </c:rich>
              </c:tx>
              <c:spPr/>
              <c:showLegendKey val="0"/>
              <c:showVal val="0"/>
              <c:showCatName val="0"/>
              <c:showSerName val="0"/>
              <c:showPercent val="0"/>
              <c:showBubbleSize val="0"/>
            </c:dLbl>
            <c:dLbl>
              <c:idx val="8"/>
              <c:tx>
                <c:rich>
                  <a:bodyPr/>
                  <a:lstStyle/>
                  <a:p>
                    <a:pPr>
                      <a:defRPr/>
                    </a:pPr>
                    <a:r>
                      <a:rPr lang="en-US"/>
                      <a:t>Cataluña</a:t>
                    </a:r>
                  </a:p>
                </c:rich>
              </c:tx>
              <c:spPr/>
              <c:showLegendKey val="0"/>
              <c:showVal val="0"/>
              <c:showCatName val="0"/>
              <c:showSerName val="0"/>
              <c:showPercent val="0"/>
              <c:showBubbleSize val="0"/>
            </c:dLbl>
            <c:dLbl>
              <c:idx val="9"/>
              <c:tx>
                <c:rich>
                  <a:bodyPr/>
                  <a:lstStyle/>
                  <a:p>
                    <a:pPr>
                      <a:defRPr/>
                    </a:pPr>
                    <a:r>
                      <a:rPr lang="en-US"/>
                      <a:t>Valencia</a:t>
                    </a:r>
                  </a:p>
                </c:rich>
              </c:tx>
              <c:spPr/>
              <c:showLegendKey val="0"/>
              <c:showVal val="0"/>
              <c:showCatName val="0"/>
              <c:showSerName val="0"/>
              <c:showPercent val="0"/>
              <c:showBubbleSize val="0"/>
            </c:dLbl>
            <c:dLbl>
              <c:idx val="10"/>
              <c:layout>
                <c:manualLayout>
                  <c:x val="-1.5808491418247597E-2"/>
                  <c:y val="2.7720027720027657E-2"/>
                </c:manualLayout>
              </c:layout>
              <c:tx>
                <c:rich>
                  <a:bodyPr/>
                  <a:lstStyle/>
                  <a:p>
                    <a:pPr>
                      <a:defRPr/>
                    </a:pPr>
                    <a:r>
                      <a:rPr lang="en-US"/>
                      <a:t>Extremadura</a:t>
                    </a:r>
                  </a:p>
                </c:rich>
              </c:tx>
              <c:spPr/>
              <c:dLblPos val="r"/>
              <c:showLegendKey val="0"/>
              <c:showVal val="0"/>
              <c:showCatName val="0"/>
              <c:showSerName val="0"/>
              <c:showPercent val="0"/>
              <c:showBubbleSize val="0"/>
            </c:dLbl>
            <c:dLbl>
              <c:idx val="11"/>
              <c:tx>
                <c:rich>
                  <a:bodyPr/>
                  <a:lstStyle/>
                  <a:p>
                    <a:pPr>
                      <a:defRPr/>
                    </a:pPr>
                    <a:r>
                      <a:rPr lang="en-US"/>
                      <a:t>Galicia</a:t>
                    </a:r>
                  </a:p>
                </c:rich>
              </c:tx>
              <c:spPr/>
              <c:showLegendKey val="0"/>
              <c:showVal val="0"/>
              <c:showCatName val="0"/>
              <c:showSerName val="0"/>
              <c:showPercent val="0"/>
              <c:showBubbleSize val="0"/>
            </c:dLbl>
            <c:dLbl>
              <c:idx val="12"/>
              <c:layout>
                <c:manualLayout>
                  <c:x val="-4.065040650406504E-2"/>
                  <c:y val="-3.1185031185031187E-2"/>
                </c:manualLayout>
              </c:layout>
              <c:tx>
                <c:rich>
                  <a:bodyPr/>
                  <a:lstStyle/>
                  <a:p>
                    <a:pPr>
                      <a:defRPr/>
                    </a:pPr>
                    <a:r>
                      <a:rPr lang="en-US"/>
                      <a:t>Madrid</a:t>
                    </a:r>
                  </a:p>
                </c:rich>
              </c:tx>
              <c:spPr/>
              <c:dLblPos val="r"/>
              <c:showLegendKey val="0"/>
              <c:showVal val="0"/>
              <c:showCatName val="0"/>
              <c:showSerName val="0"/>
              <c:showPercent val="0"/>
              <c:showBubbleSize val="0"/>
            </c:dLbl>
            <c:dLbl>
              <c:idx val="13"/>
              <c:tx>
                <c:rich>
                  <a:bodyPr/>
                  <a:lstStyle/>
                  <a:p>
                    <a:pPr>
                      <a:defRPr/>
                    </a:pPr>
                    <a:r>
                      <a:rPr lang="en-US"/>
                      <a:t>Murcia</a:t>
                    </a:r>
                  </a:p>
                </c:rich>
              </c:tx>
              <c:spPr/>
              <c:showLegendKey val="0"/>
              <c:showVal val="0"/>
              <c:showCatName val="0"/>
              <c:showSerName val="0"/>
              <c:showPercent val="0"/>
              <c:showBubbleSize val="0"/>
            </c:dLbl>
            <c:dLbl>
              <c:idx val="14"/>
              <c:tx>
                <c:rich>
                  <a:bodyPr/>
                  <a:lstStyle/>
                  <a:p>
                    <a:pPr>
                      <a:defRPr/>
                    </a:pPr>
                    <a:r>
                      <a:rPr lang="en-US"/>
                      <a:t>Navarra</a:t>
                    </a:r>
                  </a:p>
                </c:rich>
              </c:tx>
              <c:spPr/>
              <c:showLegendKey val="0"/>
              <c:showVal val="0"/>
              <c:showCatName val="0"/>
              <c:showSerName val="0"/>
              <c:showPercent val="0"/>
              <c:showBubbleSize val="0"/>
            </c:dLbl>
            <c:dLbl>
              <c:idx val="15"/>
              <c:layout>
                <c:manualLayout>
                  <c:x val="-2.2583559168925023E-2"/>
                  <c:y val="-4.1580041580041582E-2"/>
                </c:manualLayout>
              </c:layout>
              <c:tx>
                <c:rich>
                  <a:bodyPr/>
                  <a:lstStyle/>
                  <a:p>
                    <a:pPr>
                      <a:defRPr/>
                    </a:pPr>
                    <a:r>
                      <a:rPr lang="en-US"/>
                      <a:t>Pais Vasco</a:t>
                    </a:r>
                  </a:p>
                </c:rich>
              </c:tx>
              <c:spPr/>
              <c:dLblPos val="r"/>
              <c:showLegendKey val="0"/>
              <c:showVal val="0"/>
              <c:showCatName val="0"/>
              <c:showSerName val="0"/>
              <c:showPercent val="0"/>
              <c:showBubbleSize val="0"/>
            </c:dLbl>
            <c:dLbl>
              <c:idx val="16"/>
              <c:tx>
                <c:rich>
                  <a:bodyPr/>
                  <a:lstStyle/>
                  <a:p>
                    <a:pPr>
                      <a:defRPr/>
                    </a:pPr>
                    <a:r>
                      <a:rPr lang="en-US"/>
                      <a:t>Rioja </a:t>
                    </a:r>
                  </a:p>
                </c:rich>
              </c:tx>
              <c:spPr/>
              <c:showLegendKey val="0"/>
              <c:showVal val="0"/>
              <c:showCatName val="0"/>
              <c:showSerName val="0"/>
              <c:showPercent val="0"/>
              <c:showBubbleSize val="0"/>
            </c:dLbl>
            <c:dLbl>
              <c:idx val="17"/>
              <c:layout>
                <c:manualLayout>
                  <c:x val="-2.7100271002710029E-2"/>
                  <c:y val="-2.0790020790020791E-2"/>
                </c:manualLayout>
              </c:layout>
              <c:tx>
                <c:rich>
                  <a:bodyPr/>
                  <a:lstStyle/>
                  <a:p>
                    <a:pPr>
                      <a:defRPr/>
                    </a:pPr>
                    <a:r>
                      <a:rPr lang="en-US"/>
                      <a:t>España</a:t>
                    </a:r>
                  </a:p>
                </c:rich>
              </c:tx>
              <c:spPr/>
              <c:dLblPos val="r"/>
              <c:showLegendKey val="0"/>
              <c:showVal val="0"/>
              <c:showCatName val="0"/>
              <c:showSerName val="0"/>
              <c:showPercent val="0"/>
              <c:showBubbleSize val="0"/>
            </c:dLbl>
            <c:showLegendKey val="0"/>
            <c:showVal val="1"/>
            <c:showCatName val="0"/>
            <c:showSerName val="0"/>
            <c:showPercent val="0"/>
            <c:showBubbleSize val="0"/>
            <c:showLeaderLines val="0"/>
          </c:dLbls>
          <c:xVal>
            <c:numRef>
              <c:f>Hoja1!$C$6:$C$23</c:f>
              <c:numCache>
                <c:formatCode>0.00</c:formatCode>
                <c:ptCount val="18"/>
                <c:pt idx="0">
                  <c:v>0.1053864168618267</c:v>
                </c:pt>
                <c:pt idx="1">
                  <c:v>0.17741935483870969</c:v>
                </c:pt>
                <c:pt idx="2">
                  <c:v>1.5873015873015872E-2</c:v>
                </c:pt>
                <c:pt idx="3">
                  <c:v>0.12307692307692308</c:v>
                </c:pt>
                <c:pt idx="4">
                  <c:v>0.15</c:v>
                </c:pt>
                <c:pt idx="5">
                  <c:v>8.5714285714285715E-2</c:v>
                </c:pt>
                <c:pt idx="6">
                  <c:v>0.13768115942028986</c:v>
                </c:pt>
                <c:pt idx="7">
                  <c:v>0.11458333333333333</c:v>
                </c:pt>
                <c:pt idx="8">
                  <c:v>0.12532637075718014</c:v>
                </c:pt>
                <c:pt idx="9">
                  <c:v>6.2992125984251968E-2</c:v>
                </c:pt>
                <c:pt idx="10">
                  <c:v>0.12962962962962962</c:v>
                </c:pt>
                <c:pt idx="11">
                  <c:v>6.8750000000000006E-2</c:v>
                </c:pt>
                <c:pt idx="12">
                  <c:v>6.6225165562913912E-2</c:v>
                </c:pt>
                <c:pt idx="13">
                  <c:v>0.12676056338028169</c:v>
                </c:pt>
                <c:pt idx="14">
                  <c:v>0</c:v>
                </c:pt>
                <c:pt idx="15">
                  <c:v>0.1276595744680851</c:v>
                </c:pt>
                <c:pt idx="16">
                  <c:v>0.2</c:v>
                </c:pt>
                <c:pt idx="17">
                  <c:v>0.10236886632825719</c:v>
                </c:pt>
              </c:numCache>
            </c:numRef>
          </c:xVal>
          <c:yVal>
            <c:numRef>
              <c:f>Hoja1!$D$6:$D$23</c:f>
              <c:numCache>
                <c:formatCode>0.00</c:formatCode>
                <c:ptCount val="18"/>
                <c:pt idx="0">
                  <c:v>0.91817394372974881</c:v>
                </c:pt>
                <c:pt idx="1">
                  <c:v>0.9445868316394167</c:v>
                </c:pt>
                <c:pt idx="2">
                  <c:v>0.96908023483365946</c:v>
                </c:pt>
                <c:pt idx="3">
                  <c:v>0.90200210748155951</c:v>
                </c:pt>
                <c:pt idx="4">
                  <c:v>0.88050228310502288</c:v>
                </c:pt>
                <c:pt idx="5">
                  <c:v>0.94434442270058705</c:v>
                </c:pt>
                <c:pt idx="6">
                  <c:v>0.89575143934881873</c:v>
                </c:pt>
                <c:pt idx="7">
                  <c:v>0.86070205479452055</c:v>
                </c:pt>
                <c:pt idx="8">
                  <c:v>0.84052362387782109</c:v>
                </c:pt>
                <c:pt idx="9">
                  <c:v>0.90770143458095132</c:v>
                </c:pt>
                <c:pt idx="10">
                  <c:v>0.89203450025367836</c:v>
                </c:pt>
                <c:pt idx="11">
                  <c:v>0.88760273972602743</c:v>
                </c:pt>
                <c:pt idx="12">
                  <c:v>0.94650276694184887</c:v>
                </c:pt>
                <c:pt idx="13">
                  <c:v>0.92324908354235002</c:v>
                </c:pt>
                <c:pt idx="14">
                  <c:v>0.88569863013698624</c:v>
                </c:pt>
                <c:pt idx="15">
                  <c:v>0.92276304284465172</c:v>
                </c:pt>
                <c:pt idx="16">
                  <c:v>0.95726027397260272</c:v>
                </c:pt>
                <c:pt idx="17">
                  <c:v>0.902097675173261</c:v>
                </c:pt>
              </c:numCache>
            </c:numRef>
          </c:yVal>
          <c:smooth val="0"/>
        </c:ser>
        <c:dLbls>
          <c:showLegendKey val="0"/>
          <c:showVal val="0"/>
          <c:showCatName val="0"/>
          <c:showSerName val="0"/>
          <c:showPercent val="0"/>
          <c:showBubbleSize val="0"/>
        </c:dLbls>
        <c:axId val="153007744"/>
        <c:axId val="153008320"/>
      </c:scatterChart>
      <c:valAx>
        <c:axId val="153007744"/>
        <c:scaling>
          <c:orientation val="minMax"/>
          <c:max val="0.25"/>
          <c:min val="0"/>
        </c:scaling>
        <c:delete val="0"/>
        <c:axPos val="b"/>
        <c:title>
          <c:tx>
            <c:rich>
              <a:bodyPr/>
              <a:lstStyle/>
              <a:p>
                <a:pPr>
                  <a:defRPr sz="750" b="1" i="0" u="none" strike="noStrike" baseline="0">
                    <a:solidFill>
                      <a:srgbClr val="000000"/>
                    </a:solidFill>
                    <a:latin typeface="Verdana"/>
                    <a:ea typeface="Verdana"/>
                    <a:cs typeface="Verdana"/>
                  </a:defRPr>
                </a:pPr>
                <a:r>
                  <a:rPr lang="es-ES"/>
                  <a:t>INDICE DE ROTACIÓN</a:t>
                </a:r>
              </a:p>
            </c:rich>
          </c:tx>
          <c:layout>
            <c:manualLayout>
              <c:xMode val="edge"/>
              <c:yMode val="edge"/>
              <c:x val="0.44174828756161577"/>
              <c:y val="0.92481433583795769"/>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153008320"/>
        <c:crosses val="autoZero"/>
        <c:crossBetween val="midCat"/>
        <c:majorUnit val="5.000000000000001E-2"/>
      </c:valAx>
      <c:valAx>
        <c:axId val="153008320"/>
        <c:scaling>
          <c:orientation val="minMax"/>
          <c:max val="1"/>
          <c:min val="0.8"/>
        </c:scaling>
        <c:delete val="0"/>
        <c:axPos val="l"/>
        <c:title>
          <c:tx>
            <c:rich>
              <a:bodyPr/>
              <a:lstStyle/>
              <a:p>
                <a:pPr>
                  <a:defRPr sz="700" b="1" i="0" u="none" strike="noStrike" baseline="0">
                    <a:solidFill>
                      <a:srgbClr val="000000"/>
                    </a:solidFill>
                    <a:latin typeface="Verdana"/>
                    <a:ea typeface="Verdana"/>
                    <a:cs typeface="Verdana"/>
                  </a:defRPr>
                </a:pPr>
                <a:r>
                  <a:rPr lang="es-ES"/>
                  <a:t>%DIAS CUBIERTOS POR TITULAR</a:t>
                </a:r>
              </a:p>
            </c:rich>
          </c:tx>
          <c:layout>
            <c:manualLayout>
              <c:xMode val="edge"/>
              <c:yMode val="edge"/>
              <c:x val="1.8101878525346931E-2"/>
              <c:y val="0.2982462171438549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153007744"/>
        <c:crosses val="autoZero"/>
        <c:crossBetween val="midCat"/>
        <c:majorUnit val="5.000000000000001E-2"/>
        <c:minorUnit val="2.0000000000000004E-2"/>
      </c:valAx>
      <c:spPr>
        <a:solidFill>
          <a:srgbClr val="99CC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Verdana"/>
          <a:ea typeface="Verdana"/>
          <a:cs typeface="Verdana"/>
        </a:defRPr>
      </a:pPr>
      <a:endParaRPr lang="es-ES"/>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Verdana"/>
                <a:ea typeface="Verdana"/>
                <a:cs typeface="Verdana"/>
              </a:defRPr>
            </a:pPr>
            <a:r>
              <a:rPr lang="es-ES"/>
              <a:t>Letrados</a:t>
            </a:r>
          </a:p>
        </c:rich>
      </c:tx>
      <c:layout>
        <c:manualLayout>
          <c:xMode val="edge"/>
          <c:yMode val="edge"/>
          <c:x val="0.4385119855269109"/>
          <c:y val="3.2745732800530551E-2"/>
        </c:manualLayout>
      </c:layout>
      <c:overlay val="0"/>
      <c:spPr>
        <a:noFill/>
        <a:ln w="25400">
          <a:noFill/>
        </a:ln>
      </c:spPr>
    </c:title>
    <c:autoTitleDeleted val="0"/>
    <c:plotArea>
      <c:layout>
        <c:manualLayout>
          <c:layoutTarget val="inner"/>
          <c:xMode val="edge"/>
          <c:yMode val="edge"/>
          <c:x val="0.11165065531857062"/>
          <c:y val="0.1519733962725692"/>
          <c:w val="0.83657090123587496"/>
          <c:h val="0.69017717128607536"/>
        </c:manualLayout>
      </c:layout>
      <c:scatterChart>
        <c:scatterStyle val="lineMarker"/>
        <c:varyColors val="0"/>
        <c:ser>
          <c:idx val="0"/>
          <c:order val="0"/>
          <c:tx>
            <c:strRef>
              <c:f>Hoja1!$D$5</c:f>
              <c:strCache>
                <c:ptCount val="1"/>
                <c:pt idx="0">
                  <c:v>%DIAS CUBIERTOS</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r>
                      <a:rPr lang="es-ES"/>
                      <a:t>Andalucia</a:t>
                    </a:r>
                  </a:p>
                </c:rich>
              </c:tx>
              <c:showLegendKey val="0"/>
              <c:showVal val="0"/>
              <c:showCatName val="0"/>
              <c:showSerName val="0"/>
              <c:showPercent val="0"/>
              <c:showBubbleSize val="0"/>
            </c:dLbl>
            <c:dLbl>
              <c:idx val="1"/>
              <c:layout>
                <c:manualLayout>
                  <c:x val="-9.1710758377425039E-2"/>
                  <c:y val="0"/>
                </c:manualLayout>
              </c:layout>
              <c:tx>
                <c:rich>
                  <a:bodyPr/>
                  <a:lstStyle/>
                  <a:p>
                    <a:r>
                      <a:rPr lang="es-ES"/>
                      <a:t>Aragón</a:t>
                    </a:r>
                  </a:p>
                </c:rich>
              </c:tx>
              <c:dLblPos val="r"/>
              <c:showLegendKey val="0"/>
              <c:showVal val="0"/>
              <c:showCatName val="0"/>
              <c:showSerName val="0"/>
              <c:showPercent val="0"/>
              <c:showBubbleSize val="0"/>
            </c:dLbl>
            <c:dLbl>
              <c:idx val="2"/>
              <c:tx>
                <c:rich>
                  <a:bodyPr/>
                  <a:lstStyle/>
                  <a:p>
                    <a:r>
                      <a:rPr lang="es-ES"/>
                      <a:t>Asturias</a:t>
                    </a:r>
                  </a:p>
                </c:rich>
              </c:tx>
              <c:showLegendKey val="0"/>
              <c:showVal val="0"/>
              <c:showCatName val="0"/>
              <c:showSerName val="0"/>
              <c:showPercent val="0"/>
              <c:showBubbleSize val="0"/>
            </c:dLbl>
            <c:dLbl>
              <c:idx val="3"/>
              <c:tx>
                <c:rich>
                  <a:bodyPr/>
                  <a:lstStyle/>
                  <a:p>
                    <a:r>
                      <a:rPr lang="es-ES"/>
                      <a:t>Baleares</a:t>
                    </a:r>
                  </a:p>
                </c:rich>
              </c:tx>
              <c:showLegendKey val="0"/>
              <c:showVal val="0"/>
              <c:showCatName val="0"/>
              <c:showSerName val="0"/>
              <c:showPercent val="0"/>
              <c:showBubbleSize val="0"/>
            </c:dLbl>
            <c:dLbl>
              <c:idx val="4"/>
              <c:tx>
                <c:rich>
                  <a:bodyPr/>
                  <a:lstStyle/>
                  <a:p>
                    <a:r>
                      <a:rPr lang="es-ES"/>
                      <a:t>Canarias</a:t>
                    </a:r>
                  </a:p>
                </c:rich>
              </c:tx>
              <c:showLegendKey val="0"/>
              <c:showVal val="0"/>
              <c:showCatName val="0"/>
              <c:showSerName val="0"/>
              <c:showPercent val="0"/>
              <c:showBubbleSize val="0"/>
            </c:dLbl>
            <c:dLbl>
              <c:idx val="5"/>
              <c:layout>
                <c:manualLayout>
                  <c:x val="-6.7842605156038819E-3"/>
                  <c:y val="3.2119914346895075E-2"/>
                </c:manualLayout>
              </c:layout>
              <c:tx>
                <c:rich>
                  <a:bodyPr/>
                  <a:lstStyle/>
                  <a:p>
                    <a:r>
                      <a:rPr lang="es-ES"/>
                      <a:t>Cantabria</a:t>
                    </a:r>
                  </a:p>
                </c:rich>
              </c:tx>
              <c:dLblPos val="r"/>
              <c:showLegendKey val="0"/>
              <c:showVal val="0"/>
              <c:showCatName val="0"/>
              <c:showSerName val="0"/>
              <c:showPercent val="0"/>
              <c:showBubbleSize val="0"/>
            </c:dLbl>
            <c:dLbl>
              <c:idx val="6"/>
              <c:tx>
                <c:rich>
                  <a:bodyPr/>
                  <a:lstStyle/>
                  <a:p>
                    <a:r>
                      <a:rPr lang="es-ES"/>
                      <a:t>Castilla León</a:t>
                    </a:r>
                  </a:p>
                </c:rich>
              </c:tx>
              <c:showLegendKey val="0"/>
              <c:showVal val="0"/>
              <c:showCatName val="0"/>
              <c:showSerName val="0"/>
              <c:showPercent val="0"/>
              <c:showBubbleSize val="0"/>
            </c:dLbl>
            <c:dLbl>
              <c:idx val="7"/>
              <c:layout>
                <c:manualLayout>
                  <c:x val="-3.6182722749886931E-2"/>
                  <c:y val="1.3527738904157323E-2"/>
                </c:manualLayout>
              </c:layout>
              <c:tx>
                <c:rich>
                  <a:bodyPr/>
                  <a:lstStyle/>
                  <a:p>
                    <a:r>
                      <a:rPr lang="es-ES"/>
                      <a:t>Castilla la Mancha</a:t>
                    </a:r>
                  </a:p>
                </c:rich>
              </c:tx>
              <c:dLblPos val="r"/>
              <c:showLegendKey val="0"/>
              <c:showVal val="0"/>
              <c:showCatName val="0"/>
              <c:showSerName val="0"/>
              <c:showPercent val="0"/>
              <c:showBubbleSize val="0"/>
            </c:dLbl>
            <c:dLbl>
              <c:idx val="8"/>
              <c:tx>
                <c:rich>
                  <a:bodyPr/>
                  <a:lstStyle/>
                  <a:p>
                    <a:r>
                      <a:rPr lang="es-ES"/>
                      <a:t>Cataluña</a:t>
                    </a:r>
                  </a:p>
                </c:rich>
              </c:tx>
              <c:showLegendKey val="0"/>
              <c:showVal val="0"/>
              <c:showCatName val="0"/>
              <c:showSerName val="0"/>
              <c:showPercent val="0"/>
              <c:showBubbleSize val="0"/>
            </c:dLbl>
            <c:dLbl>
              <c:idx val="9"/>
              <c:layout>
                <c:manualLayout>
                  <c:x val="-3.6182722749886931E-2"/>
                  <c:y val="-2.4982155603140679E-2"/>
                </c:manualLayout>
              </c:layout>
              <c:tx>
                <c:rich>
                  <a:bodyPr/>
                  <a:lstStyle/>
                  <a:p>
                    <a:r>
                      <a:rPr lang="es-ES"/>
                      <a:t>Valencia</a:t>
                    </a:r>
                  </a:p>
                </c:rich>
              </c:tx>
              <c:dLblPos val="r"/>
              <c:showLegendKey val="0"/>
              <c:showVal val="0"/>
              <c:showCatName val="0"/>
              <c:showSerName val="0"/>
              <c:showPercent val="0"/>
              <c:showBubbleSize val="0"/>
            </c:dLbl>
            <c:dLbl>
              <c:idx val="10"/>
              <c:tx>
                <c:rich>
                  <a:bodyPr/>
                  <a:lstStyle/>
                  <a:p>
                    <a:r>
                      <a:rPr lang="es-ES"/>
                      <a:t>Extremadura</a:t>
                    </a:r>
                  </a:p>
                </c:rich>
              </c:tx>
              <c:showLegendKey val="0"/>
              <c:showVal val="0"/>
              <c:showCatName val="0"/>
              <c:showSerName val="0"/>
              <c:showPercent val="0"/>
              <c:showBubbleSize val="0"/>
            </c:dLbl>
            <c:dLbl>
              <c:idx val="11"/>
              <c:tx>
                <c:rich>
                  <a:bodyPr/>
                  <a:lstStyle/>
                  <a:p>
                    <a:r>
                      <a:rPr lang="es-ES"/>
                      <a:t>Galicia</a:t>
                    </a:r>
                  </a:p>
                </c:rich>
              </c:tx>
              <c:showLegendKey val="0"/>
              <c:showVal val="0"/>
              <c:showCatName val="0"/>
              <c:showSerName val="0"/>
              <c:showPercent val="0"/>
              <c:showBubbleSize val="0"/>
            </c:dLbl>
            <c:dLbl>
              <c:idx val="12"/>
              <c:tx>
                <c:rich>
                  <a:bodyPr/>
                  <a:lstStyle/>
                  <a:p>
                    <a:r>
                      <a:rPr lang="es-ES"/>
                      <a:t>Madrid</a:t>
                    </a:r>
                  </a:p>
                </c:rich>
              </c:tx>
              <c:showLegendKey val="0"/>
              <c:showVal val="0"/>
              <c:showCatName val="0"/>
              <c:showSerName val="0"/>
              <c:showPercent val="0"/>
              <c:showBubbleSize val="0"/>
            </c:dLbl>
            <c:dLbl>
              <c:idx val="13"/>
              <c:tx>
                <c:rich>
                  <a:bodyPr/>
                  <a:lstStyle/>
                  <a:p>
                    <a:r>
                      <a:rPr lang="es-ES"/>
                      <a:t>Murcia</a:t>
                    </a:r>
                  </a:p>
                </c:rich>
              </c:tx>
              <c:showLegendKey val="0"/>
              <c:showVal val="0"/>
              <c:showCatName val="0"/>
              <c:showSerName val="0"/>
              <c:showPercent val="0"/>
              <c:showBubbleSize val="0"/>
            </c:dLbl>
            <c:dLbl>
              <c:idx val="14"/>
              <c:layout>
                <c:manualLayout>
                  <c:x val="-3.3921302578018994E-2"/>
                  <c:y val="3.5688793718772309E-2"/>
                </c:manualLayout>
              </c:layout>
              <c:tx>
                <c:rich>
                  <a:bodyPr/>
                  <a:lstStyle/>
                  <a:p>
                    <a:r>
                      <a:rPr lang="es-ES"/>
                      <a:t>Navarra</a:t>
                    </a:r>
                  </a:p>
                </c:rich>
              </c:tx>
              <c:dLblPos val="r"/>
              <c:showLegendKey val="0"/>
              <c:showVal val="0"/>
              <c:showCatName val="0"/>
              <c:showSerName val="0"/>
              <c:showPercent val="0"/>
              <c:showBubbleSize val="0"/>
            </c:dLbl>
            <c:dLbl>
              <c:idx val="15"/>
              <c:layout>
                <c:manualLayout>
                  <c:x val="-7.0104025327905925E-2"/>
                  <c:y val="4.2826552462526764E-2"/>
                </c:manualLayout>
              </c:layout>
              <c:tx>
                <c:rich>
                  <a:bodyPr/>
                  <a:lstStyle/>
                  <a:p>
                    <a:r>
                      <a:rPr lang="es-ES"/>
                      <a:t>Pais Vasco</a:t>
                    </a:r>
                  </a:p>
                </c:rich>
              </c:tx>
              <c:dLblPos val="r"/>
              <c:showLegendKey val="0"/>
              <c:showVal val="0"/>
              <c:showCatName val="0"/>
              <c:showSerName val="0"/>
              <c:showPercent val="0"/>
              <c:showBubbleSize val="0"/>
            </c:dLbl>
            <c:dLbl>
              <c:idx val="16"/>
              <c:tx>
                <c:rich>
                  <a:bodyPr/>
                  <a:lstStyle/>
                  <a:p>
                    <a:r>
                      <a:rPr lang="es-ES"/>
                      <a:t>Rioja </a:t>
                    </a:r>
                  </a:p>
                </c:rich>
              </c:tx>
              <c:showLegendKey val="0"/>
              <c:showVal val="0"/>
              <c:showCatName val="0"/>
              <c:showSerName val="0"/>
              <c:showPercent val="0"/>
              <c:showBubbleSize val="0"/>
            </c:dLbl>
            <c:dLbl>
              <c:idx val="17"/>
              <c:tx>
                <c:rich>
                  <a:bodyPr/>
                  <a:lstStyle/>
                  <a:p>
                    <a:r>
                      <a:rPr lang="es-ES"/>
                      <a:t>España</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Hoja1!$C$6:$C$23</c:f>
              <c:numCache>
                <c:formatCode>#,##0.00;[Red]#,##0.00</c:formatCode>
                <c:ptCount val="18"/>
                <c:pt idx="0">
                  <c:v>0.21779859484777517</c:v>
                </c:pt>
                <c:pt idx="1">
                  <c:v>0.25806451612903225</c:v>
                </c:pt>
                <c:pt idx="2">
                  <c:v>0.17460317460317459</c:v>
                </c:pt>
                <c:pt idx="3">
                  <c:v>9.2307692307692313E-2</c:v>
                </c:pt>
                <c:pt idx="4">
                  <c:v>0.2</c:v>
                </c:pt>
                <c:pt idx="5">
                  <c:v>0.2</c:v>
                </c:pt>
                <c:pt idx="6">
                  <c:v>0.14492753623188406</c:v>
                </c:pt>
                <c:pt idx="7">
                  <c:v>0.22916666666666666</c:v>
                </c:pt>
                <c:pt idx="8">
                  <c:v>0.12010443864229765</c:v>
                </c:pt>
                <c:pt idx="9">
                  <c:v>0.13779527559055119</c:v>
                </c:pt>
                <c:pt idx="10">
                  <c:v>0.16666666666666666</c:v>
                </c:pt>
                <c:pt idx="11">
                  <c:v>0.17499999999999999</c:v>
                </c:pt>
                <c:pt idx="12">
                  <c:v>0.15894039735099338</c:v>
                </c:pt>
                <c:pt idx="13">
                  <c:v>0.11267605633802817</c:v>
                </c:pt>
                <c:pt idx="14">
                  <c:v>0.2</c:v>
                </c:pt>
                <c:pt idx="15">
                  <c:v>9.5744680851063829E-2</c:v>
                </c:pt>
                <c:pt idx="16">
                  <c:v>0.13333333333333333</c:v>
                </c:pt>
                <c:pt idx="17">
                  <c:v>0.16455160744500846</c:v>
                </c:pt>
              </c:numCache>
            </c:numRef>
          </c:xVal>
          <c:yVal>
            <c:numRef>
              <c:f>Hoja1!$D$6:$D$23</c:f>
              <c:numCache>
                <c:formatCode>#,##0.00;[Red]#,##0.00</c:formatCode>
                <c:ptCount val="18"/>
                <c:pt idx="0">
                  <c:v>0.85465977992364695</c:v>
                </c:pt>
                <c:pt idx="1">
                  <c:v>0.82244807777286788</c:v>
                </c:pt>
                <c:pt idx="2">
                  <c:v>0.95207653837790829</c:v>
                </c:pt>
                <c:pt idx="3">
                  <c:v>0.79852476290832453</c:v>
                </c:pt>
                <c:pt idx="4">
                  <c:v>0.74</c:v>
                </c:pt>
                <c:pt idx="5">
                  <c:v>0.81784735812133069</c:v>
                </c:pt>
                <c:pt idx="6">
                  <c:v>0.88022632519356758</c:v>
                </c:pt>
                <c:pt idx="7">
                  <c:v>0.75328196347031962</c:v>
                </c:pt>
                <c:pt idx="8">
                  <c:v>0.67375084945813513</c:v>
                </c:pt>
                <c:pt idx="9">
                  <c:v>0.84129004422392406</c:v>
                </c:pt>
                <c:pt idx="10">
                  <c:v>0.84992389649923894</c:v>
                </c:pt>
                <c:pt idx="11">
                  <c:v>0.83082191780821923</c:v>
                </c:pt>
                <c:pt idx="12">
                  <c:v>0.9238319876621609</c:v>
                </c:pt>
                <c:pt idx="13">
                  <c:v>0.92706926490449548</c:v>
                </c:pt>
                <c:pt idx="14">
                  <c:v>0.79189041095890411</c:v>
                </c:pt>
                <c:pt idx="15">
                  <c:v>0.79816380064121251</c:v>
                </c:pt>
                <c:pt idx="16">
                  <c:v>0.83689497716894978</c:v>
                </c:pt>
                <c:pt idx="17">
                  <c:v>0.82139860464038206</c:v>
                </c:pt>
              </c:numCache>
            </c:numRef>
          </c:yVal>
          <c:smooth val="0"/>
        </c:ser>
        <c:dLbls>
          <c:showLegendKey val="0"/>
          <c:showVal val="0"/>
          <c:showCatName val="0"/>
          <c:showSerName val="0"/>
          <c:showPercent val="0"/>
          <c:showBubbleSize val="0"/>
        </c:dLbls>
        <c:axId val="311181312"/>
        <c:axId val="311181888"/>
      </c:scatterChart>
      <c:valAx>
        <c:axId val="311181312"/>
        <c:scaling>
          <c:orientation val="minMax"/>
          <c:max val="0.30000000000000004"/>
          <c:min val="0"/>
        </c:scaling>
        <c:delete val="0"/>
        <c:axPos val="b"/>
        <c:title>
          <c:tx>
            <c:rich>
              <a:bodyPr/>
              <a:lstStyle/>
              <a:p>
                <a:pPr>
                  <a:defRPr sz="750" b="1" i="0" u="none" strike="noStrike" baseline="0">
                    <a:solidFill>
                      <a:srgbClr val="000000"/>
                    </a:solidFill>
                    <a:latin typeface="Verdana"/>
                    <a:ea typeface="Verdana"/>
                    <a:cs typeface="Verdana"/>
                  </a:defRPr>
                </a:pPr>
                <a:r>
                  <a:rPr lang="es-ES"/>
                  <a:t>INDICE DE ROTACIÓN</a:t>
                </a:r>
              </a:p>
            </c:rich>
          </c:tx>
          <c:layout>
            <c:manualLayout>
              <c:xMode val="edge"/>
              <c:yMode val="edge"/>
              <c:x val="0.4385119855269109"/>
              <c:y val="0.90680194686584958"/>
            </c:manualLayout>
          </c:layout>
          <c:overlay val="0"/>
          <c:spPr>
            <a:noFill/>
            <a:ln w="25400">
              <a:noFill/>
            </a:ln>
          </c:spPr>
        </c:title>
        <c:numFmt formatCode="#,##0.00;[Red]#,##0.00" sourceLinked="1"/>
        <c:majorTickMark val="in"/>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1888"/>
        <c:crosses val="autoZero"/>
        <c:crossBetween val="midCat"/>
      </c:valAx>
      <c:valAx>
        <c:axId val="311181888"/>
        <c:scaling>
          <c:orientation val="minMax"/>
          <c:max val="1"/>
          <c:min val="0.65000000000000013"/>
        </c:scaling>
        <c:delete val="0"/>
        <c:axPos val="l"/>
        <c:title>
          <c:tx>
            <c:rich>
              <a:bodyPr/>
              <a:lstStyle/>
              <a:p>
                <a:pPr>
                  <a:defRPr sz="600" b="1" i="0" u="none" strike="noStrike" baseline="0">
                    <a:solidFill>
                      <a:srgbClr val="000000"/>
                    </a:solidFill>
                    <a:latin typeface="Verdana"/>
                    <a:ea typeface="Verdana"/>
                    <a:cs typeface="Verdana"/>
                  </a:defRPr>
                </a:pPr>
                <a:r>
                  <a:rPr lang="es-ES"/>
                  <a:t>%DIAS CUBIERTOS POR TITULAR</a:t>
                </a:r>
              </a:p>
            </c:rich>
          </c:tx>
          <c:layout>
            <c:manualLayout>
              <c:xMode val="edge"/>
              <c:yMode val="edge"/>
              <c:x val="1.3939607616890495E-2"/>
              <c:y val="0.2921914605428068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1312"/>
        <c:crossesAt val="0"/>
        <c:crossBetween val="midCat"/>
      </c:valAx>
      <c:spPr>
        <a:solidFill>
          <a:srgbClr val="99CCFF"/>
        </a:solidFill>
        <a:ln w="3175">
          <a:solidFill>
            <a:schemeClr val="tx1"/>
          </a:solid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panose="020B0604030504040204" pitchFamily="34" charset="0"/>
                <a:ea typeface="Arial"/>
                <a:cs typeface="Arial"/>
              </a:defRPr>
            </a:pPr>
            <a:r>
              <a:rPr lang="es-ES" sz="1100" baseline="0">
                <a:latin typeface="Verdana" panose="020B0604030504040204" pitchFamily="34" charset="0"/>
              </a:rPr>
              <a:t>Gestión procesal</a:t>
            </a:r>
          </a:p>
        </c:rich>
      </c:tx>
      <c:layout>
        <c:manualLayout>
          <c:xMode val="edge"/>
          <c:yMode val="edge"/>
          <c:x val="0.41100403494339327"/>
          <c:y val="3.2745695371588064E-2"/>
        </c:manualLayout>
      </c:layout>
      <c:overlay val="0"/>
      <c:spPr>
        <a:noFill/>
        <a:ln w="25400">
          <a:noFill/>
        </a:ln>
      </c:spPr>
    </c:title>
    <c:autoTitleDeleted val="0"/>
    <c:plotArea>
      <c:layout>
        <c:manualLayout>
          <c:layoutTarget val="inner"/>
          <c:xMode val="edge"/>
          <c:yMode val="edge"/>
          <c:x val="0.1231261373875077"/>
          <c:y val="0.13552518408771841"/>
          <c:w val="0.83495277570156956"/>
          <c:h val="0.69017717128607536"/>
        </c:manualLayout>
      </c:layout>
      <c:scatterChart>
        <c:scatterStyle val="lineMarker"/>
        <c:varyColors val="0"/>
        <c:ser>
          <c:idx val="0"/>
          <c:order val="0"/>
          <c:tx>
            <c:strRef>
              <c:f>Hoja1!$D$5</c:f>
              <c:strCache>
                <c:ptCount val="1"/>
                <c:pt idx="0">
                  <c:v>%DIAS CUBIERTOS</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pPr>
                      <a:defRPr/>
                    </a:pPr>
                    <a:r>
                      <a:rPr lang="en-US"/>
                      <a:t>Andalucia</a:t>
                    </a:r>
                  </a:p>
                </c:rich>
              </c:tx>
              <c:spPr/>
              <c:showLegendKey val="0"/>
              <c:showVal val="0"/>
              <c:showCatName val="0"/>
              <c:showSerName val="0"/>
              <c:showPercent val="0"/>
              <c:showBubbleSize val="0"/>
            </c:dLbl>
            <c:dLbl>
              <c:idx val="1"/>
              <c:tx>
                <c:rich>
                  <a:bodyPr/>
                  <a:lstStyle/>
                  <a:p>
                    <a:pPr>
                      <a:defRPr/>
                    </a:pPr>
                    <a:r>
                      <a:rPr lang="en-US"/>
                      <a:t>Aragón</a:t>
                    </a:r>
                  </a:p>
                </c:rich>
              </c:tx>
              <c:spPr/>
              <c:showLegendKey val="0"/>
              <c:showVal val="0"/>
              <c:showCatName val="0"/>
              <c:showSerName val="0"/>
              <c:showPercent val="0"/>
              <c:showBubbleSize val="0"/>
            </c:dLbl>
            <c:dLbl>
              <c:idx val="2"/>
              <c:tx>
                <c:rich>
                  <a:bodyPr/>
                  <a:lstStyle/>
                  <a:p>
                    <a:pPr>
                      <a:defRPr/>
                    </a:pPr>
                    <a:r>
                      <a:rPr lang="en-US"/>
                      <a:t>Asturias</a:t>
                    </a:r>
                  </a:p>
                </c:rich>
              </c:tx>
              <c:spPr/>
              <c:showLegendKey val="0"/>
              <c:showVal val="0"/>
              <c:showCatName val="0"/>
              <c:showSerName val="0"/>
              <c:showPercent val="0"/>
              <c:showBubbleSize val="0"/>
            </c:dLbl>
            <c:dLbl>
              <c:idx val="3"/>
              <c:tx>
                <c:rich>
                  <a:bodyPr/>
                  <a:lstStyle/>
                  <a:p>
                    <a:pPr>
                      <a:defRPr/>
                    </a:pPr>
                    <a:r>
                      <a:rPr lang="en-US"/>
                      <a:t>Baleares</a:t>
                    </a:r>
                  </a:p>
                </c:rich>
              </c:tx>
              <c:spPr/>
              <c:showLegendKey val="0"/>
              <c:showVal val="0"/>
              <c:showCatName val="0"/>
              <c:showSerName val="0"/>
              <c:showPercent val="0"/>
              <c:showBubbleSize val="0"/>
            </c:dLbl>
            <c:dLbl>
              <c:idx val="4"/>
              <c:tx>
                <c:rich>
                  <a:bodyPr/>
                  <a:lstStyle/>
                  <a:p>
                    <a:pPr>
                      <a:defRPr/>
                    </a:pPr>
                    <a:r>
                      <a:rPr lang="en-US"/>
                      <a:t>Canarias</a:t>
                    </a:r>
                  </a:p>
                </c:rich>
              </c:tx>
              <c:spPr/>
              <c:showLegendKey val="0"/>
              <c:showVal val="0"/>
              <c:showCatName val="0"/>
              <c:showSerName val="0"/>
              <c:showPercent val="0"/>
              <c:showBubbleSize val="0"/>
            </c:dLbl>
            <c:dLbl>
              <c:idx val="5"/>
              <c:tx>
                <c:rich>
                  <a:bodyPr/>
                  <a:lstStyle/>
                  <a:p>
                    <a:pPr>
                      <a:defRPr/>
                    </a:pPr>
                    <a:r>
                      <a:rPr lang="en-US"/>
                      <a:t>Cantabria</a:t>
                    </a:r>
                  </a:p>
                </c:rich>
              </c:tx>
              <c:spPr/>
              <c:showLegendKey val="0"/>
              <c:showVal val="0"/>
              <c:showCatName val="0"/>
              <c:showSerName val="0"/>
              <c:showPercent val="0"/>
              <c:showBubbleSize val="0"/>
            </c:dLbl>
            <c:dLbl>
              <c:idx val="6"/>
              <c:layout>
                <c:manualLayout>
                  <c:x val="-6.1058344640434151E-2"/>
                  <c:y val="-3.8759967371943198E-2"/>
                </c:manualLayout>
              </c:layout>
              <c:tx>
                <c:rich>
                  <a:bodyPr/>
                  <a:lstStyle/>
                  <a:p>
                    <a:pPr>
                      <a:defRPr/>
                    </a:pPr>
                    <a:r>
                      <a:rPr lang="en-US"/>
                      <a:t>Castilla León</a:t>
                    </a:r>
                  </a:p>
                </c:rich>
              </c:tx>
              <c:spPr/>
              <c:dLblPos val="r"/>
              <c:showLegendKey val="0"/>
              <c:showVal val="0"/>
              <c:showCatName val="0"/>
              <c:showSerName val="0"/>
              <c:showPercent val="0"/>
              <c:showBubbleSize val="0"/>
            </c:dLbl>
            <c:dLbl>
              <c:idx val="7"/>
              <c:tx>
                <c:rich>
                  <a:bodyPr/>
                  <a:lstStyle/>
                  <a:p>
                    <a:pPr>
                      <a:defRPr/>
                    </a:pPr>
                    <a:r>
                      <a:rPr lang="en-US"/>
                      <a:t>Castilla la Mancha</a:t>
                    </a:r>
                  </a:p>
                </c:rich>
              </c:tx>
              <c:spPr/>
              <c:showLegendKey val="0"/>
              <c:showVal val="0"/>
              <c:showCatName val="0"/>
              <c:showSerName val="0"/>
              <c:showPercent val="0"/>
              <c:showBubbleSize val="0"/>
            </c:dLbl>
            <c:dLbl>
              <c:idx val="8"/>
              <c:tx>
                <c:rich>
                  <a:bodyPr/>
                  <a:lstStyle/>
                  <a:p>
                    <a:pPr>
                      <a:defRPr/>
                    </a:pPr>
                    <a:r>
                      <a:rPr lang="en-US"/>
                      <a:t>Cataluña</a:t>
                    </a:r>
                  </a:p>
                </c:rich>
              </c:tx>
              <c:spPr/>
              <c:showLegendKey val="0"/>
              <c:showVal val="0"/>
              <c:showCatName val="0"/>
              <c:showSerName val="0"/>
              <c:showPercent val="0"/>
              <c:showBubbleSize val="0"/>
            </c:dLbl>
            <c:dLbl>
              <c:idx val="9"/>
              <c:tx>
                <c:rich>
                  <a:bodyPr/>
                  <a:lstStyle/>
                  <a:p>
                    <a:pPr>
                      <a:defRPr/>
                    </a:pPr>
                    <a:r>
                      <a:rPr lang="en-US"/>
                      <a:t>Valencia</a:t>
                    </a:r>
                  </a:p>
                </c:rich>
              </c:tx>
              <c:spPr/>
              <c:showLegendKey val="0"/>
              <c:showVal val="0"/>
              <c:showCatName val="0"/>
              <c:showSerName val="0"/>
              <c:showPercent val="0"/>
              <c:showBubbleSize val="0"/>
            </c:dLbl>
            <c:dLbl>
              <c:idx val="10"/>
              <c:layout>
                <c:manualLayout>
                  <c:x val="-0.16282225237449119"/>
                  <c:y val="-2.8188865398167725E-2"/>
                </c:manualLayout>
              </c:layout>
              <c:tx>
                <c:rich>
                  <a:bodyPr/>
                  <a:lstStyle/>
                  <a:p>
                    <a:pPr>
                      <a:defRPr/>
                    </a:pPr>
                    <a:r>
                      <a:rPr lang="en-US"/>
                      <a:t>Extremadura</a:t>
                    </a:r>
                  </a:p>
                </c:rich>
              </c:tx>
              <c:spPr/>
              <c:dLblPos val="r"/>
              <c:showLegendKey val="0"/>
              <c:showVal val="0"/>
              <c:showCatName val="0"/>
              <c:showSerName val="0"/>
              <c:showPercent val="0"/>
              <c:showBubbleSize val="0"/>
            </c:dLbl>
            <c:dLbl>
              <c:idx val="11"/>
              <c:tx>
                <c:rich>
                  <a:bodyPr/>
                  <a:lstStyle/>
                  <a:p>
                    <a:pPr>
                      <a:defRPr/>
                    </a:pPr>
                    <a:r>
                      <a:rPr lang="en-US"/>
                      <a:t>Galicia</a:t>
                    </a:r>
                  </a:p>
                </c:rich>
              </c:tx>
              <c:spPr/>
              <c:showLegendKey val="0"/>
              <c:showVal val="0"/>
              <c:showCatName val="0"/>
              <c:showSerName val="0"/>
              <c:showPercent val="0"/>
              <c:showBubbleSize val="0"/>
            </c:dLbl>
            <c:dLbl>
              <c:idx val="12"/>
              <c:layout>
                <c:manualLayout>
                  <c:x val="-4.975124378109453E-2"/>
                  <c:y val="3.5236081747709654E-2"/>
                </c:manualLayout>
              </c:layout>
              <c:tx>
                <c:rich>
                  <a:bodyPr/>
                  <a:lstStyle/>
                  <a:p>
                    <a:pPr>
                      <a:defRPr/>
                    </a:pPr>
                    <a:r>
                      <a:rPr lang="en-US"/>
                      <a:t>Madrid</a:t>
                    </a:r>
                  </a:p>
                </c:rich>
              </c:tx>
              <c:spPr/>
              <c:dLblPos val="r"/>
              <c:showLegendKey val="0"/>
              <c:showVal val="0"/>
              <c:showCatName val="0"/>
              <c:showSerName val="0"/>
              <c:showPercent val="0"/>
              <c:showBubbleSize val="0"/>
            </c:dLbl>
            <c:dLbl>
              <c:idx val="13"/>
              <c:tx>
                <c:rich>
                  <a:bodyPr/>
                  <a:lstStyle/>
                  <a:p>
                    <a:pPr>
                      <a:defRPr/>
                    </a:pPr>
                    <a:r>
                      <a:rPr lang="en-US"/>
                      <a:t>Murcia</a:t>
                    </a:r>
                  </a:p>
                </c:rich>
              </c:tx>
              <c:spPr/>
              <c:showLegendKey val="0"/>
              <c:showVal val="0"/>
              <c:showCatName val="0"/>
              <c:showSerName val="0"/>
              <c:showPercent val="0"/>
              <c:showBubbleSize val="0"/>
            </c:dLbl>
            <c:dLbl>
              <c:idx val="14"/>
              <c:tx>
                <c:rich>
                  <a:bodyPr/>
                  <a:lstStyle/>
                  <a:p>
                    <a:pPr>
                      <a:defRPr/>
                    </a:pPr>
                    <a:r>
                      <a:rPr lang="en-US"/>
                      <a:t>Navarra</a:t>
                    </a:r>
                  </a:p>
                </c:rich>
              </c:tx>
              <c:spPr/>
              <c:showLegendKey val="0"/>
              <c:showVal val="0"/>
              <c:showCatName val="0"/>
              <c:showSerName val="0"/>
              <c:showPercent val="0"/>
              <c:showBubbleSize val="0"/>
            </c:dLbl>
            <c:dLbl>
              <c:idx val="15"/>
              <c:tx>
                <c:rich>
                  <a:bodyPr/>
                  <a:lstStyle/>
                  <a:p>
                    <a:pPr>
                      <a:defRPr/>
                    </a:pPr>
                    <a:r>
                      <a:rPr lang="en-US"/>
                      <a:t>Pais Vasco</a:t>
                    </a:r>
                  </a:p>
                </c:rich>
              </c:tx>
              <c:spPr/>
              <c:showLegendKey val="0"/>
              <c:showVal val="0"/>
              <c:showCatName val="0"/>
              <c:showSerName val="0"/>
              <c:showPercent val="0"/>
              <c:showBubbleSize val="0"/>
            </c:dLbl>
            <c:dLbl>
              <c:idx val="16"/>
              <c:tx>
                <c:rich>
                  <a:bodyPr/>
                  <a:lstStyle/>
                  <a:p>
                    <a:pPr>
                      <a:defRPr/>
                    </a:pPr>
                    <a:r>
                      <a:rPr lang="en-US"/>
                      <a:t>Rioja </a:t>
                    </a:r>
                  </a:p>
                </c:rich>
              </c:tx>
              <c:spPr/>
              <c:showLegendKey val="0"/>
              <c:showVal val="0"/>
              <c:showCatName val="0"/>
              <c:showSerName val="0"/>
              <c:showPercent val="0"/>
              <c:showBubbleSize val="0"/>
            </c:dLbl>
            <c:dLbl>
              <c:idx val="17"/>
              <c:layout>
                <c:manualLayout>
                  <c:x val="1.3568342966627053E-2"/>
                  <c:y val="-2.4665257223396759E-2"/>
                </c:manualLayout>
              </c:layout>
              <c:tx>
                <c:rich>
                  <a:bodyPr/>
                  <a:lstStyle/>
                  <a:p>
                    <a:pPr>
                      <a:defRPr/>
                    </a:pPr>
                    <a:r>
                      <a:rPr lang="en-US"/>
                      <a:t>España</a:t>
                    </a:r>
                  </a:p>
                </c:rich>
              </c:tx>
              <c:spPr/>
              <c:dLblPos val="r"/>
              <c:showLegendKey val="0"/>
              <c:showVal val="0"/>
              <c:showCatName val="0"/>
              <c:showSerName val="0"/>
              <c:showPercent val="0"/>
              <c:showBubbleSize val="0"/>
            </c:dLbl>
            <c:showLegendKey val="0"/>
            <c:showVal val="1"/>
            <c:showCatName val="0"/>
            <c:showSerName val="0"/>
            <c:showPercent val="0"/>
            <c:showBubbleSize val="0"/>
            <c:showLeaderLines val="0"/>
          </c:dLbls>
          <c:xVal>
            <c:numRef>
              <c:f>Hoja1!$C$6:$C$23</c:f>
              <c:numCache>
                <c:formatCode>0.00</c:formatCode>
                <c:ptCount val="18"/>
                <c:pt idx="0">
                  <c:v>8.8333333333333333E-2</c:v>
                </c:pt>
                <c:pt idx="1">
                  <c:v>7.1428571428571425E-2</c:v>
                </c:pt>
                <c:pt idx="2">
                  <c:v>3.5294117647058823E-2</c:v>
                </c:pt>
                <c:pt idx="3">
                  <c:v>0.10270270270270271</c:v>
                </c:pt>
                <c:pt idx="4">
                  <c:v>0.11627906976744186</c:v>
                </c:pt>
                <c:pt idx="5">
                  <c:v>5.434782608695652E-2</c:v>
                </c:pt>
                <c:pt idx="6">
                  <c:v>5.4662379421221867E-2</c:v>
                </c:pt>
                <c:pt idx="7">
                  <c:v>7.2961373390557943E-2</c:v>
                </c:pt>
                <c:pt idx="8">
                  <c:v>0.11281224818694602</c:v>
                </c:pt>
                <c:pt idx="9">
                  <c:v>0.10714285714285714</c:v>
                </c:pt>
                <c:pt idx="10">
                  <c:v>0.10236220472440945</c:v>
                </c:pt>
                <c:pt idx="11">
                  <c:v>5.9299191374663072E-2</c:v>
                </c:pt>
                <c:pt idx="12">
                  <c:v>8.981481481481482E-2</c:v>
                </c:pt>
                <c:pt idx="13">
                  <c:v>0.11176470588235295</c:v>
                </c:pt>
                <c:pt idx="14">
                  <c:v>0.2608695652173913</c:v>
                </c:pt>
                <c:pt idx="15">
                  <c:v>0.17622950819672131</c:v>
                </c:pt>
                <c:pt idx="16">
                  <c:v>0</c:v>
                </c:pt>
                <c:pt idx="17">
                  <c:v>9.6259871852182988E-2</c:v>
                </c:pt>
              </c:numCache>
            </c:numRef>
          </c:xVal>
          <c:yVal>
            <c:numRef>
              <c:f>Hoja1!$D$6:$D$23</c:f>
              <c:numCache>
                <c:formatCode>0.00</c:formatCode>
                <c:ptCount val="18"/>
                <c:pt idx="0">
                  <c:v>0.86440867579908676</c:v>
                </c:pt>
                <c:pt idx="1">
                  <c:v>0.90013046314416179</c:v>
                </c:pt>
                <c:pt idx="2">
                  <c:v>0.9565028203062047</c:v>
                </c:pt>
                <c:pt idx="3">
                  <c:v>0.61161051462421323</c:v>
                </c:pt>
                <c:pt idx="4">
                  <c:v>0.81138897738133164</c:v>
                </c:pt>
                <c:pt idx="5">
                  <c:v>0.96444312090530082</c:v>
                </c:pt>
                <c:pt idx="6">
                  <c:v>0.95898339426507506</c:v>
                </c:pt>
                <c:pt idx="7">
                  <c:v>0.7893468163913222</c:v>
                </c:pt>
                <c:pt idx="8">
                  <c:v>0.70067886039760241</c:v>
                </c:pt>
                <c:pt idx="9">
                  <c:v>0.88125407697325508</c:v>
                </c:pt>
                <c:pt idx="10">
                  <c:v>0.82782871319167295</c:v>
                </c:pt>
                <c:pt idx="11">
                  <c:v>0.92376029243436841</c:v>
                </c:pt>
                <c:pt idx="12">
                  <c:v>0.8311009639776763</c:v>
                </c:pt>
                <c:pt idx="13">
                  <c:v>0.93521353746978242</c:v>
                </c:pt>
                <c:pt idx="14">
                  <c:v>0.76279531467143147</c:v>
                </c:pt>
                <c:pt idx="15">
                  <c:v>0.79752975522119918</c:v>
                </c:pt>
                <c:pt idx="16">
                  <c:v>0.95455278001611599</c:v>
                </c:pt>
                <c:pt idx="17">
                  <c:v>0.82850972539461898</c:v>
                </c:pt>
              </c:numCache>
            </c:numRef>
          </c:yVal>
          <c:smooth val="0"/>
        </c:ser>
        <c:dLbls>
          <c:showLegendKey val="0"/>
          <c:showVal val="0"/>
          <c:showCatName val="0"/>
          <c:showSerName val="0"/>
          <c:showPercent val="0"/>
          <c:showBubbleSize val="0"/>
        </c:dLbls>
        <c:axId val="311183616"/>
        <c:axId val="311184192"/>
      </c:scatterChart>
      <c:valAx>
        <c:axId val="311183616"/>
        <c:scaling>
          <c:orientation val="minMax"/>
          <c:max val="0.30000000000000004"/>
          <c:min val="0"/>
        </c:scaling>
        <c:delete val="0"/>
        <c:axPos val="b"/>
        <c:title>
          <c:tx>
            <c:rich>
              <a:bodyPr/>
              <a:lstStyle/>
              <a:p>
                <a:pPr>
                  <a:defRPr sz="750" b="1" i="0" u="none" strike="noStrike" baseline="0">
                    <a:solidFill>
                      <a:srgbClr val="000000"/>
                    </a:solidFill>
                    <a:latin typeface="Verdana" panose="020B0604030504040204" pitchFamily="34" charset="0"/>
                    <a:ea typeface="Arial"/>
                    <a:cs typeface="Arial"/>
                  </a:defRPr>
                </a:pPr>
                <a:r>
                  <a:rPr lang="es-ES" sz="750" baseline="0">
                    <a:latin typeface="Verdana" panose="020B0604030504040204" pitchFamily="34" charset="0"/>
                  </a:rPr>
                  <a:t>INDICE DE ROTACIÓN</a:t>
                </a:r>
              </a:p>
            </c:rich>
          </c:tx>
          <c:layout>
            <c:manualLayout>
              <c:xMode val="edge"/>
              <c:yMode val="edge"/>
              <c:x val="0.40938560597157375"/>
              <c:y val="0.90428298735385337"/>
            </c:manualLayout>
          </c:layout>
          <c:overlay val="0"/>
          <c:spPr>
            <a:noFill/>
            <a:ln w="25400">
              <a:noFill/>
            </a:ln>
          </c:spPr>
        </c:title>
        <c:numFmt formatCode="0.00" sourceLinked="1"/>
        <c:majorTickMark val="in"/>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4192"/>
        <c:crosses val="autoZero"/>
        <c:crossBetween val="midCat"/>
        <c:majorUnit val="0.05"/>
        <c:minorUnit val="0.01"/>
      </c:valAx>
      <c:valAx>
        <c:axId val="311184192"/>
        <c:scaling>
          <c:orientation val="minMax"/>
          <c:max val="1"/>
          <c:min val="0.60000000000000009"/>
        </c:scaling>
        <c:delete val="0"/>
        <c:axPos val="l"/>
        <c:title>
          <c:tx>
            <c:rich>
              <a:bodyPr/>
              <a:lstStyle/>
              <a:p>
                <a:pPr>
                  <a:defRPr sz="600" b="1" i="0" u="none" strike="noStrike" baseline="0">
                    <a:solidFill>
                      <a:srgbClr val="000000"/>
                    </a:solidFill>
                    <a:latin typeface="Verdana" panose="020B0604030504040204" pitchFamily="34" charset="0"/>
                    <a:ea typeface="Arial"/>
                    <a:cs typeface="Arial"/>
                  </a:defRPr>
                </a:pPr>
                <a:r>
                  <a:rPr lang="es-ES" baseline="0">
                    <a:latin typeface="Verdana" panose="020B0604030504040204" pitchFamily="34" charset="0"/>
                  </a:rPr>
                  <a:t>%DIAS CUBIERTOS POR TITULARES</a:t>
                </a:r>
              </a:p>
            </c:rich>
          </c:tx>
          <c:layout>
            <c:manualLayout>
              <c:xMode val="edge"/>
              <c:yMode val="edge"/>
              <c:x val="8.0907203424538006E-3"/>
              <c:y val="0.2745592715286910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panose="020B0604030504040204" pitchFamily="34" charset="0"/>
                <a:ea typeface="Arial"/>
                <a:cs typeface="Arial"/>
              </a:defRPr>
            </a:pPr>
            <a:endParaRPr lang="es-ES"/>
          </a:p>
        </c:txPr>
        <c:crossAx val="311183616"/>
        <c:crossesAt val="0"/>
        <c:crossBetween val="midCat"/>
        <c:majorUnit val="5.000000000000001E-2"/>
      </c:valAx>
      <c:spPr>
        <a:solidFill>
          <a:srgbClr val="99CC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s-ES"/>
              <a:t>Tramitación</a:t>
            </a:r>
          </a:p>
        </c:rich>
      </c:tx>
      <c:layout>
        <c:manualLayout>
          <c:xMode val="edge"/>
          <c:yMode val="edge"/>
          <c:x val="0.43527583984159379"/>
          <c:y val="3.2745732800530551E-2"/>
        </c:manualLayout>
      </c:layout>
      <c:overlay val="0"/>
      <c:spPr>
        <a:noFill/>
        <a:ln w="25400">
          <a:noFill/>
        </a:ln>
      </c:spPr>
    </c:title>
    <c:autoTitleDeleted val="0"/>
    <c:plotArea>
      <c:layout>
        <c:manualLayout>
          <c:layoutTarget val="inner"/>
          <c:xMode val="edge"/>
          <c:yMode val="edge"/>
          <c:x val="0.10675350766339393"/>
          <c:y val="0.13719312863669819"/>
          <c:w val="0.84466152890740187"/>
          <c:h val="0.68765827650035971"/>
        </c:manualLayout>
      </c:layout>
      <c:scatterChart>
        <c:scatterStyle val="lineMarker"/>
        <c:varyColors val="0"/>
        <c:ser>
          <c:idx val="0"/>
          <c:order val="0"/>
          <c:tx>
            <c:strRef>
              <c:f>Hoja1!$D$5</c:f>
              <c:strCache>
                <c:ptCount val="1"/>
                <c:pt idx="0">
                  <c:v>%DIAS CUBIERTOS</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pPr>
                      <a:defRPr/>
                    </a:pPr>
                    <a:r>
                      <a:rPr lang="en-US"/>
                      <a:t>Andalucia</a:t>
                    </a:r>
                  </a:p>
                </c:rich>
              </c:tx>
              <c:spPr/>
              <c:showLegendKey val="0"/>
              <c:showVal val="0"/>
              <c:showCatName val="0"/>
              <c:showSerName val="0"/>
              <c:showPercent val="0"/>
              <c:showBubbleSize val="0"/>
            </c:dLbl>
            <c:dLbl>
              <c:idx val="1"/>
              <c:tx>
                <c:rich>
                  <a:bodyPr/>
                  <a:lstStyle/>
                  <a:p>
                    <a:pPr>
                      <a:defRPr/>
                    </a:pPr>
                    <a:r>
                      <a:rPr lang="en-US"/>
                      <a:t>Aragón</a:t>
                    </a:r>
                  </a:p>
                </c:rich>
              </c:tx>
              <c:spPr/>
              <c:showLegendKey val="0"/>
              <c:showVal val="0"/>
              <c:showCatName val="0"/>
              <c:showSerName val="0"/>
              <c:showPercent val="0"/>
              <c:showBubbleSize val="0"/>
            </c:dLbl>
            <c:dLbl>
              <c:idx val="2"/>
              <c:tx>
                <c:rich>
                  <a:bodyPr/>
                  <a:lstStyle/>
                  <a:p>
                    <a:pPr>
                      <a:defRPr/>
                    </a:pPr>
                    <a:r>
                      <a:rPr lang="en-US"/>
                      <a:t>Asturias</a:t>
                    </a:r>
                  </a:p>
                </c:rich>
              </c:tx>
              <c:spPr/>
              <c:showLegendKey val="0"/>
              <c:showVal val="0"/>
              <c:showCatName val="0"/>
              <c:showSerName val="0"/>
              <c:showPercent val="0"/>
              <c:showBubbleSize val="0"/>
            </c:dLbl>
            <c:dLbl>
              <c:idx val="3"/>
              <c:tx>
                <c:rich>
                  <a:bodyPr/>
                  <a:lstStyle/>
                  <a:p>
                    <a:pPr>
                      <a:defRPr/>
                    </a:pPr>
                    <a:r>
                      <a:rPr lang="en-US"/>
                      <a:t>Baleares</a:t>
                    </a:r>
                  </a:p>
                </c:rich>
              </c:tx>
              <c:spPr/>
              <c:showLegendKey val="0"/>
              <c:showVal val="0"/>
              <c:showCatName val="0"/>
              <c:showSerName val="0"/>
              <c:showPercent val="0"/>
              <c:showBubbleSize val="0"/>
            </c:dLbl>
            <c:dLbl>
              <c:idx val="4"/>
              <c:tx>
                <c:rich>
                  <a:bodyPr/>
                  <a:lstStyle/>
                  <a:p>
                    <a:pPr>
                      <a:defRPr/>
                    </a:pPr>
                    <a:r>
                      <a:rPr lang="en-US"/>
                      <a:t>Canarias</a:t>
                    </a:r>
                  </a:p>
                </c:rich>
              </c:tx>
              <c:spPr/>
              <c:showLegendKey val="0"/>
              <c:showVal val="0"/>
              <c:showCatName val="0"/>
              <c:showSerName val="0"/>
              <c:showPercent val="0"/>
              <c:showBubbleSize val="0"/>
            </c:dLbl>
            <c:dLbl>
              <c:idx val="5"/>
              <c:tx>
                <c:rich>
                  <a:bodyPr/>
                  <a:lstStyle/>
                  <a:p>
                    <a:pPr>
                      <a:defRPr/>
                    </a:pPr>
                    <a:r>
                      <a:rPr lang="en-US"/>
                      <a:t>Cantabria</a:t>
                    </a:r>
                  </a:p>
                </c:rich>
              </c:tx>
              <c:spPr/>
              <c:showLegendKey val="0"/>
              <c:showVal val="0"/>
              <c:showCatName val="0"/>
              <c:showSerName val="0"/>
              <c:showPercent val="0"/>
              <c:showBubbleSize val="0"/>
            </c:dLbl>
            <c:dLbl>
              <c:idx val="6"/>
              <c:layout>
                <c:manualLayout>
                  <c:x val="-2.0729445440466746E-17"/>
                  <c:y val="-3.2119914346895075E-2"/>
                </c:manualLayout>
              </c:layout>
              <c:tx>
                <c:rich>
                  <a:bodyPr/>
                  <a:lstStyle/>
                  <a:p>
                    <a:pPr>
                      <a:defRPr/>
                    </a:pPr>
                    <a:r>
                      <a:rPr lang="en-US"/>
                      <a:t>Castilla León</a:t>
                    </a:r>
                  </a:p>
                </c:rich>
              </c:tx>
              <c:spPr/>
              <c:dLblPos val="r"/>
              <c:showLegendKey val="0"/>
              <c:showVal val="0"/>
              <c:showCatName val="0"/>
              <c:showSerName val="0"/>
              <c:showPercent val="0"/>
              <c:showBubbleSize val="0"/>
            </c:dLbl>
            <c:dLbl>
              <c:idx val="7"/>
              <c:tx>
                <c:rich>
                  <a:bodyPr/>
                  <a:lstStyle/>
                  <a:p>
                    <a:pPr>
                      <a:defRPr/>
                    </a:pPr>
                    <a:r>
                      <a:rPr lang="en-US"/>
                      <a:t>Castilla la Mancha</a:t>
                    </a:r>
                  </a:p>
                </c:rich>
              </c:tx>
              <c:spPr/>
              <c:showLegendKey val="0"/>
              <c:showVal val="0"/>
              <c:showCatName val="0"/>
              <c:showSerName val="0"/>
              <c:showPercent val="0"/>
              <c:showBubbleSize val="0"/>
            </c:dLbl>
            <c:dLbl>
              <c:idx val="8"/>
              <c:tx>
                <c:rich>
                  <a:bodyPr/>
                  <a:lstStyle/>
                  <a:p>
                    <a:pPr>
                      <a:defRPr/>
                    </a:pPr>
                    <a:r>
                      <a:rPr lang="en-US"/>
                      <a:t>Cataluña</a:t>
                    </a:r>
                  </a:p>
                </c:rich>
              </c:tx>
              <c:spPr/>
              <c:showLegendKey val="0"/>
              <c:showVal val="0"/>
              <c:showCatName val="0"/>
              <c:showSerName val="0"/>
              <c:showPercent val="0"/>
              <c:showBubbleSize val="0"/>
            </c:dLbl>
            <c:dLbl>
              <c:idx val="9"/>
              <c:tx>
                <c:rich>
                  <a:bodyPr/>
                  <a:lstStyle/>
                  <a:p>
                    <a:pPr>
                      <a:defRPr/>
                    </a:pPr>
                    <a:r>
                      <a:rPr lang="en-US"/>
                      <a:t>Valencia</a:t>
                    </a:r>
                  </a:p>
                </c:rich>
              </c:tx>
              <c:spPr/>
              <c:showLegendKey val="0"/>
              <c:showVal val="0"/>
              <c:showCatName val="0"/>
              <c:showSerName val="0"/>
              <c:showPercent val="0"/>
              <c:showBubbleSize val="0"/>
            </c:dLbl>
            <c:dLbl>
              <c:idx val="10"/>
              <c:tx>
                <c:rich>
                  <a:bodyPr/>
                  <a:lstStyle/>
                  <a:p>
                    <a:pPr>
                      <a:defRPr/>
                    </a:pPr>
                    <a:r>
                      <a:rPr lang="en-US"/>
                      <a:t>Extremadura</a:t>
                    </a:r>
                  </a:p>
                </c:rich>
              </c:tx>
              <c:spPr/>
              <c:showLegendKey val="0"/>
              <c:showVal val="0"/>
              <c:showCatName val="0"/>
              <c:showSerName val="0"/>
              <c:showPercent val="0"/>
              <c:showBubbleSize val="0"/>
            </c:dLbl>
            <c:dLbl>
              <c:idx val="11"/>
              <c:layout>
                <c:manualLayout>
                  <c:x val="-5.6535504296698319E-2"/>
                  <c:y val="-4.6395431834403998E-2"/>
                </c:manualLayout>
              </c:layout>
              <c:tx>
                <c:rich>
                  <a:bodyPr/>
                  <a:lstStyle/>
                  <a:p>
                    <a:pPr>
                      <a:defRPr/>
                    </a:pPr>
                    <a:r>
                      <a:rPr lang="en-US"/>
                      <a:t>Galicia</a:t>
                    </a:r>
                  </a:p>
                </c:rich>
              </c:tx>
              <c:spPr/>
              <c:dLblPos val="r"/>
              <c:showLegendKey val="0"/>
              <c:showVal val="0"/>
              <c:showCatName val="0"/>
              <c:showSerName val="0"/>
              <c:showPercent val="0"/>
              <c:showBubbleSize val="0"/>
            </c:dLbl>
            <c:dLbl>
              <c:idx val="12"/>
              <c:tx>
                <c:rich>
                  <a:bodyPr/>
                  <a:lstStyle/>
                  <a:p>
                    <a:pPr>
                      <a:defRPr/>
                    </a:pPr>
                    <a:r>
                      <a:rPr lang="en-US"/>
                      <a:t>Madrid</a:t>
                    </a:r>
                  </a:p>
                </c:rich>
              </c:tx>
              <c:spPr/>
              <c:showLegendKey val="0"/>
              <c:showVal val="0"/>
              <c:showCatName val="0"/>
              <c:showSerName val="0"/>
              <c:showPercent val="0"/>
              <c:showBubbleSize val="0"/>
            </c:dLbl>
            <c:dLbl>
              <c:idx val="13"/>
              <c:tx>
                <c:rich>
                  <a:bodyPr/>
                  <a:lstStyle/>
                  <a:p>
                    <a:pPr>
                      <a:defRPr/>
                    </a:pPr>
                    <a:r>
                      <a:rPr lang="en-US"/>
                      <a:t>Murcia</a:t>
                    </a:r>
                  </a:p>
                </c:rich>
              </c:tx>
              <c:spPr/>
              <c:showLegendKey val="0"/>
              <c:showVal val="0"/>
              <c:showCatName val="0"/>
              <c:showSerName val="0"/>
              <c:showPercent val="0"/>
              <c:showBubbleSize val="0"/>
            </c:dLbl>
            <c:dLbl>
              <c:idx val="14"/>
              <c:tx>
                <c:rich>
                  <a:bodyPr/>
                  <a:lstStyle/>
                  <a:p>
                    <a:pPr>
                      <a:defRPr/>
                    </a:pPr>
                    <a:r>
                      <a:rPr lang="en-US"/>
                      <a:t>Navarra</a:t>
                    </a:r>
                  </a:p>
                </c:rich>
              </c:tx>
              <c:spPr/>
              <c:showLegendKey val="0"/>
              <c:showVal val="0"/>
              <c:showCatName val="0"/>
              <c:showSerName val="0"/>
              <c:showPercent val="0"/>
              <c:showBubbleSize val="0"/>
            </c:dLbl>
            <c:dLbl>
              <c:idx val="15"/>
              <c:tx>
                <c:rich>
                  <a:bodyPr/>
                  <a:lstStyle/>
                  <a:p>
                    <a:pPr>
                      <a:defRPr/>
                    </a:pPr>
                    <a:r>
                      <a:rPr lang="en-US"/>
                      <a:t>Pais Vasco</a:t>
                    </a:r>
                  </a:p>
                </c:rich>
              </c:tx>
              <c:spPr/>
              <c:showLegendKey val="0"/>
              <c:showVal val="0"/>
              <c:showCatName val="0"/>
              <c:showSerName val="0"/>
              <c:showPercent val="0"/>
              <c:showBubbleSize val="0"/>
            </c:dLbl>
            <c:dLbl>
              <c:idx val="16"/>
              <c:tx>
                <c:rich>
                  <a:bodyPr/>
                  <a:lstStyle/>
                  <a:p>
                    <a:pPr>
                      <a:defRPr/>
                    </a:pPr>
                    <a:r>
                      <a:rPr lang="en-US"/>
                      <a:t>Rioja </a:t>
                    </a:r>
                  </a:p>
                </c:rich>
              </c:tx>
              <c:spPr/>
              <c:showLegendKey val="0"/>
              <c:showVal val="0"/>
              <c:showCatName val="0"/>
              <c:showSerName val="0"/>
              <c:showPercent val="0"/>
              <c:showBubbleSize val="0"/>
            </c:dLbl>
            <c:dLbl>
              <c:idx val="17"/>
              <c:tx>
                <c:rich>
                  <a:bodyPr/>
                  <a:lstStyle/>
                  <a:p>
                    <a:pPr>
                      <a:defRPr/>
                    </a:pPr>
                    <a:r>
                      <a:rPr lang="en-US"/>
                      <a:t>España</a:t>
                    </a:r>
                  </a:p>
                </c:rich>
              </c:tx>
              <c:spPr/>
              <c:showLegendKey val="0"/>
              <c:showVal val="0"/>
              <c:showCatName val="0"/>
              <c:showSerName val="0"/>
              <c:showPercent val="0"/>
              <c:showBubbleSize val="0"/>
            </c:dLbl>
            <c:showLegendKey val="0"/>
            <c:showVal val="1"/>
            <c:showCatName val="0"/>
            <c:showSerName val="0"/>
            <c:showPercent val="0"/>
            <c:showBubbleSize val="0"/>
            <c:showLeaderLines val="0"/>
          </c:dLbls>
          <c:xVal>
            <c:numRef>
              <c:f>Hoja1!$C$6:$C$23</c:f>
              <c:numCache>
                <c:formatCode>0.00</c:formatCode>
                <c:ptCount val="18"/>
                <c:pt idx="0">
                  <c:v>6.3112078346028291E-2</c:v>
                </c:pt>
                <c:pt idx="1">
                  <c:v>0.124</c:v>
                </c:pt>
                <c:pt idx="2">
                  <c:v>9.056603773584905E-2</c:v>
                </c:pt>
                <c:pt idx="3">
                  <c:v>0.13333333333333333</c:v>
                </c:pt>
                <c:pt idx="4">
                  <c:v>0.16498316498316498</c:v>
                </c:pt>
                <c:pt idx="5">
                  <c:v>0.14569536423841059</c:v>
                </c:pt>
                <c:pt idx="6">
                  <c:v>5.7971014492753624E-2</c:v>
                </c:pt>
                <c:pt idx="7">
                  <c:v>0.1601123595505618</c:v>
                </c:pt>
                <c:pt idx="8">
                  <c:v>0.13041002277904329</c:v>
                </c:pt>
                <c:pt idx="9">
                  <c:v>0.11359724612736662</c:v>
                </c:pt>
                <c:pt idx="10">
                  <c:v>9.7938144329896906E-2</c:v>
                </c:pt>
                <c:pt idx="11">
                  <c:v>5.6122448979591837E-2</c:v>
                </c:pt>
                <c:pt idx="12">
                  <c:v>0.1309192200557103</c:v>
                </c:pt>
                <c:pt idx="13">
                  <c:v>0.1299638989169675</c:v>
                </c:pt>
                <c:pt idx="14">
                  <c:v>0.24242424242424243</c:v>
                </c:pt>
                <c:pt idx="15">
                  <c:v>0.17101449275362318</c:v>
                </c:pt>
                <c:pt idx="16">
                  <c:v>0.17105263157894737</c:v>
                </c:pt>
                <c:pt idx="17">
                  <c:v>0.11294928606597734</c:v>
                </c:pt>
              </c:numCache>
            </c:numRef>
          </c:xVal>
          <c:yVal>
            <c:numRef>
              <c:f>Hoja1!$D$6:$D$23</c:f>
              <c:numCache>
                <c:formatCode>0.00</c:formatCode>
                <c:ptCount val="18"/>
                <c:pt idx="0">
                  <c:v>0.90442559661335276</c:v>
                </c:pt>
                <c:pt idx="1">
                  <c:v>0.82545753424657531</c:v>
                </c:pt>
                <c:pt idx="2">
                  <c:v>0.88858102868958388</c:v>
                </c:pt>
                <c:pt idx="3">
                  <c:v>0.56990146599375158</c:v>
                </c:pt>
                <c:pt idx="4">
                  <c:v>0.68917946589179468</c:v>
                </c:pt>
                <c:pt idx="5">
                  <c:v>0.85849587226707791</c:v>
                </c:pt>
                <c:pt idx="6">
                  <c:v>0.91158002212201139</c:v>
                </c:pt>
                <c:pt idx="7">
                  <c:v>0.72892104048022155</c:v>
                </c:pt>
                <c:pt idx="8">
                  <c:v>0.63671482510063349</c:v>
                </c:pt>
                <c:pt idx="9">
                  <c:v>0.87040294249404671</c:v>
                </c:pt>
                <c:pt idx="10">
                  <c:v>0.76027397260273966</c:v>
                </c:pt>
                <c:pt idx="11">
                  <c:v>0.90790699841580469</c:v>
                </c:pt>
                <c:pt idx="12">
                  <c:v>0.71084633876445225</c:v>
                </c:pt>
                <c:pt idx="13">
                  <c:v>0.89623658572770881</c:v>
                </c:pt>
                <c:pt idx="14">
                  <c:v>0.73242009132420094</c:v>
                </c:pt>
                <c:pt idx="15">
                  <c:v>0.75368671828469325</c:v>
                </c:pt>
                <c:pt idx="16">
                  <c:v>0.71366258111031</c:v>
                </c:pt>
                <c:pt idx="17">
                  <c:v>0.78503335289316956</c:v>
                </c:pt>
              </c:numCache>
            </c:numRef>
          </c:yVal>
          <c:smooth val="0"/>
        </c:ser>
        <c:dLbls>
          <c:showLegendKey val="0"/>
          <c:showVal val="0"/>
          <c:showCatName val="0"/>
          <c:showSerName val="0"/>
          <c:showPercent val="0"/>
          <c:showBubbleSize val="0"/>
        </c:dLbls>
        <c:axId val="311185920"/>
        <c:axId val="311186496"/>
      </c:scatterChart>
      <c:valAx>
        <c:axId val="311185920"/>
        <c:scaling>
          <c:orientation val="minMax"/>
          <c:max val="0.25"/>
          <c:min val="5.000000000000001E-2"/>
        </c:scaling>
        <c:delete val="0"/>
        <c:axPos val="b"/>
        <c:title>
          <c:tx>
            <c:rich>
              <a:bodyPr/>
              <a:lstStyle/>
              <a:p>
                <a:pPr>
                  <a:defRPr sz="750" b="1" i="0" u="none" strike="noStrike" baseline="0">
                    <a:solidFill>
                      <a:srgbClr val="000000"/>
                    </a:solidFill>
                    <a:latin typeface="Verdana"/>
                    <a:ea typeface="Verdana"/>
                    <a:cs typeface="Verdana"/>
                  </a:defRPr>
                </a:pPr>
                <a:r>
                  <a:rPr lang="es-ES"/>
                  <a:t>INDICE DE ROTACIÓN</a:t>
                </a:r>
              </a:p>
            </c:rich>
          </c:tx>
          <c:layout>
            <c:manualLayout>
              <c:xMode val="edge"/>
              <c:yMode val="edge"/>
              <c:x val="0.44983902961926236"/>
              <c:y val="0.9168777082736178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6496"/>
        <c:crosses val="autoZero"/>
        <c:crossBetween val="midCat"/>
        <c:majorUnit val="5.000000000000001E-2"/>
      </c:valAx>
      <c:valAx>
        <c:axId val="311186496"/>
        <c:scaling>
          <c:orientation val="minMax"/>
          <c:max val="1"/>
          <c:min val="0.5"/>
        </c:scaling>
        <c:delete val="0"/>
        <c:axPos val="l"/>
        <c:title>
          <c:tx>
            <c:rich>
              <a:bodyPr/>
              <a:lstStyle/>
              <a:p>
                <a:pPr>
                  <a:defRPr sz="600" b="1" i="0" u="none" strike="noStrike" baseline="0">
                    <a:solidFill>
                      <a:srgbClr val="000000"/>
                    </a:solidFill>
                    <a:latin typeface="Verdana"/>
                    <a:ea typeface="Verdana"/>
                    <a:cs typeface="Verdana"/>
                  </a:defRPr>
                </a:pPr>
                <a:r>
                  <a:rPr lang="es-ES"/>
                  <a:t>%DIAS CUBIERTOS POR TITULAR</a:t>
                </a:r>
              </a:p>
            </c:rich>
          </c:tx>
          <c:layout>
            <c:manualLayout>
              <c:xMode val="edge"/>
              <c:yMode val="edge"/>
              <c:x val="2.487455350306449E-2"/>
              <c:y val="0.291683949035278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5920"/>
        <c:crosses val="autoZero"/>
        <c:crossBetween val="midCat"/>
        <c:majorUnit val="0.1"/>
      </c:valAx>
      <c:spPr>
        <a:solidFill>
          <a:srgbClr val="99CC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resueltos en todas las jurisdicciones</a:t>
            </a:r>
          </a:p>
        </c:rich>
      </c:tx>
      <c:layout/>
      <c:overlay val="0"/>
    </c:title>
    <c:autoTitleDeleted val="0"/>
    <c:plotArea>
      <c:layout/>
      <c:lineChart>
        <c:grouping val="stacked"/>
        <c:varyColors val="0"/>
        <c:ser>
          <c:idx val="0"/>
          <c:order val="0"/>
          <c:dLbls>
            <c:dLbl>
              <c:idx val="0"/>
              <c:layout>
                <c:manualLayout>
                  <c:x val="-6.2577487765089729E-2"/>
                  <c:y val="5.0473169403721027E-2"/>
                </c:manualLayout>
              </c:layout>
              <c:dLblPos val="r"/>
              <c:showLegendKey val="0"/>
              <c:showVal val="1"/>
              <c:showCatName val="0"/>
              <c:showSerName val="0"/>
              <c:showPercent val="0"/>
              <c:showBubbleSize val="0"/>
            </c:dLbl>
            <c:dLbl>
              <c:idx val="1"/>
              <c:layout>
                <c:manualLayout>
                  <c:x val="-4.1098850636809334E-2"/>
                  <c:y val="3.257278886650801E-2"/>
                </c:manualLayout>
              </c:layout>
              <c:dLblPos val="r"/>
              <c:showLegendKey val="0"/>
              <c:showVal val="1"/>
              <c:showCatName val="0"/>
              <c:showSerName val="0"/>
              <c:showPercent val="0"/>
              <c:showBubbleSize val="0"/>
            </c:dLbl>
            <c:dLbl>
              <c:idx val="2"/>
              <c:layout>
                <c:manualLayout>
                  <c:x val="-0.12627850335174656"/>
                  <c:y val="-2.4342306048953141E-2"/>
                </c:manualLayout>
              </c:layout>
              <c:dLblPos val="r"/>
              <c:showLegendKey val="0"/>
              <c:showVal val="1"/>
              <c:showCatName val="0"/>
              <c:showSerName val="0"/>
              <c:showPercent val="0"/>
              <c:showBubbleSize val="0"/>
            </c:dLbl>
            <c:dLbl>
              <c:idx val="3"/>
              <c:layout>
                <c:manualLayout>
                  <c:x val="-6.257740080946142E-2"/>
                  <c:y val="-4.6085402115433244E-2"/>
                </c:manualLayout>
              </c:layout>
              <c:dLblPos val="r"/>
              <c:showLegendKey val="0"/>
              <c:showVal val="1"/>
              <c:showCatName val="0"/>
              <c:showSerName val="0"/>
              <c:showPercent val="0"/>
              <c:showBubbleSize val="0"/>
            </c:dLbl>
            <c:dLbl>
              <c:idx val="4"/>
              <c:layout>
                <c:manualLayout>
                  <c:x val="-6.5200271921412908E-2"/>
                  <c:y val="4.6085053321823187E-2"/>
                </c:manualLayout>
              </c:layout>
              <c:dLblPos val="r"/>
              <c:showLegendKey val="0"/>
              <c:showVal val="1"/>
              <c:showCatName val="0"/>
              <c:showSerName val="0"/>
              <c:showPercent val="0"/>
              <c:showBubbleSize val="0"/>
            </c:dLbl>
            <c:dLbl>
              <c:idx val="5"/>
              <c:layout>
                <c:manualLayout>
                  <c:x val="-9.8640843136459586E-3"/>
                  <c:y val="-1.950732902573225E-2"/>
                </c:manualLayout>
              </c:layout>
              <c:dLblPos val="r"/>
              <c:showLegendKey val="0"/>
              <c:showVal val="1"/>
              <c:showCatName val="0"/>
              <c:showSerName val="0"/>
              <c:showPercent val="0"/>
              <c:showBubbleSize val="0"/>
            </c:dLbl>
            <c:dLbl>
              <c:idx val="6"/>
              <c:layout>
                <c:manualLayout>
                  <c:x val="-9.7218748171058383E-2"/>
                  <c:y val="4.1879299971224568E-2"/>
                </c:manualLayout>
              </c:layout>
              <c:dLblPos val="r"/>
              <c:showLegendKey val="0"/>
              <c:showVal val="1"/>
              <c:showCatName val="0"/>
              <c:showSerName val="0"/>
              <c:showPercent val="0"/>
              <c:showBubbleSize val="0"/>
            </c:dLbl>
            <c:dLbl>
              <c:idx val="7"/>
              <c:layout>
                <c:manualLayout>
                  <c:x val="-5.6052202283850001E-2"/>
                  <c:y val="3.7854877052790788E-2"/>
                </c:manualLayout>
              </c:layout>
              <c:dLblPos val="r"/>
              <c:showLegendKey val="0"/>
              <c:showVal val="1"/>
              <c:showCatName val="0"/>
              <c:showSerName val="0"/>
              <c:showPercent val="0"/>
              <c:showBubbleSize val="0"/>
            </c:dLbl>
            <c:dLbl>
              <c:idx val="8"/>
              <c:layout>
                <c:manualLayout>
                  <c:x val="-8.2001087547580211E-3"/>
                  <c:y val="-4.2060974503100538E-3"/>
                </c:manualLayout>
              </c:layout>
              <c:dLblPos val="r"/>
              <c:showLegendKey val="0"/>
              <c:showVal val="1"/>
              <c:showCatName val="0"/>
              <c:showSerName val="0"/>
              <c:showPercent val="0"/>
              <c:showBubbleSize val="0"/>
            </c:dLbl>
            <c:dLbl>
              <c:idx val="9"/>
              <c:layout>
                <c:manualLayout>
                  <c:x val="-1.861293067354574E-2"/>
                  <c:y val="-4.4520365186909779E-2"/>
                </c:manualLayout>
              </c:layout>
              <c:dLblPos val="r"/>
              <c:showLegendKey val="0"/>
              <c:showVal val="1"/>
              <c:showCatName val="0"/>
              <c:showSerName val="0"/>
              <c:showPercent val="0"/>
              <c:showBubbleSize val="0"/>
            </c:dLbl>
            <c:dLbl>
              <c:idx val="10"/>
              <c:layout>
                <c:manualLayout>
                  <c:x val="-1.2110655825444332E-2"/>
                  <c:y val="3.7854877052790829E-2"/>
                </c:manualLayout>
              </c:layout>
              <c:dLblPos val="r"/>
              <c:showLegendKey val="0"/>
              <c:showVal val="1"/>
              <c:showCatName val="0"/>
              <c:showSerName val="0"/>
              <c:showPercent val="0"/>
              <c:showBubbleSize val="0"/>
            </c:dLbl>
            <c:numFmt formatCode="#,##0" sourceLinked="0"/>
            <c:txPr>
              <a:bodyPr/>
              <a:lstStyle/>
              <a:p>
                <a:pPr>
                  <a:defRPr sz="800" b="1" i="0" baseline="0">
                    <a:latin typeface="Verdana" panose="020B0604030504040204" pitchFamily="34" charset="0"/>
                  </a:defRPr>
                </a:pPr>
                <a:endParaRPr lang="es-ES"/>
              </a:p>
            </c:txPr>
            <c:dLblPos val="ctr"/>
            <c:showLegendKey val="0"/>
            <c:showVal val="1"/>
            <c:showCatName val="0"/>
            <c:showSerName val="0"/>
            <c:showPercent val="0"/>
            <c:showBubbleSize val="0"/>
            <c:showLeaderLines val="0"/>
          </c:dLbls>
          <c:cat>
            <c:numRef>
              <c:f>resueltos!$Q$10:$AA$10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resueltos!$Q$17:$AA$17</c:f>
              <c:numCache>
                <c:formatCode>General</c:formatCode>
                <c:ptCount val="11"/>
                <c:pt idx="0">
                  <c:v>8278683</c:v>
                </c:pt>
                <c:pt idx="1">
                  <c:v>8645670</c:v>
                </c:pt>
                <c:pt idx="2">
                  <c:v>9153958</c:v>
                </c:pt>
                <c:pt idx="3">
                  <c:v>9217395</c:v>
                </c:pt>
                <c:pt idx="4">
                  <c:v>9143077</c:v>
                </c:pt>
                <c:pt idx="5">
                  <c:v>9102591</c:v>
                </c:pt>
                <c:pt idx="6">
                  <c:v>8875557</c:v>
                </c:pt>
                <c:pt idx="7">
                  <c:v>8786800</c:v>
                </c:pt>
                <c:pt idx="8">
                  <c:v>8719537</c:v>
                </c:pt>
                <c:pt idx="9">
                  <c:v>6010185</c:v>
                </c:pt>
                <c:pt idx="10">
                  <c:v>5748410</c:v>
                </c:pt>
              </c:numCache>
            </c:numRef>
          </c:val>
          <c:smooth val="0"/>
        </c:ser>
        <c:dLbls>
          <c:showLegendKey val="0"/>
          <c:showVal val="0"/>
          <c:showCatName val="0"/>
          <c:showSerName val="0"/>
          <c:showPercent val="0"/>
          <c:showBubbleSize val="0"/>
        </c:dLbls>
        <c:marker val="1"/>
        <c:smooth val="0"/>
        <c:axId val="149654016"/>
        <c:axId val="245398272"/>
      </c:lineChart>
      <c:catAx>
        <c:axId val="149654016"/>
        <c:scaling>
          <c:orientation val="minMax"/>
        </c:scaling>
        <c:delete val="0"/>
        <c:axPos val="b"/>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245398272"/>
        <c:crosses val="autoZero"/>
        <c:auto val="1"/>
        <c:lblAlgn val="ctr"/>
        <c:lblOffset val="100"/>
        <c:tickLblSkip val="1"/>
        <c:tickMarkSkip val="1"/>
        <c:noMultiLvlLbl val="0"/>
      </c:catAx>
      <c:valAx>
        <c:axId val="245398272"/>
        <c:scaling>
          <c:orientation val="minMax"/>
          <c:min val="5000000"/>
        </c:scaling>
        <c:delete val="0"/>
        <c:axPos val="l"/>
        <c:majorGridlines/>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149654016"/>
        <c:crosses val="autoZero"/>
        <c:crossBetween val="between"/>
        <c:majorUnit val="1000000"/>
      </c:valAx>
    </c:plotArea>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Verdana"/>
                <a:ea typeface="Verdana"/>
                <a:cs typeface="Verdana"/>
              </a:defRPr>
            </a:pPr>
            <a:r>
              <a:rPr lang="es-ES"/>
              <a:t>Auxilio Judicial</a:t>
            </a:r>
          </a:p>
        </c:rich>
      </c:tx>
      <c:layout>
        <c:manualLayout>
          <c:xMode val="edge"/>
          <c:yMode val="edge"/>
          <c:x val="0.41747632631402759"/>
          <c:y val="3.2745753478928344E-2"/>
        </c:manualLayout>
      </c:layout>
      <c:overlay val="0"/>
      <c:spPr>
        <a:noFill/>
        <a:ln w="25400">
          <a:noFill/>
        </a:ln>
      </c:spPr>
    </c:title>
    <c:autoTitleDeleted val="0"/>
    <c:plotArea>
      <c:layout>
        <c:manualLayout>
          <c:layoutTarget val="inner"/>
          <c:xMode val="edge"/>
          <c:yMode val="edge"/>
          <c:x val="0.10340855541205497"/>
          <c:y val="0.15145304397925868"/>
          <c:w val="0.84142394822006472"/>
          <c:h val="0.69017632241813598"/>
        </c:manualLayout>
      </c:layout>
      <c:scatterChart>
        <c:scatterStyle val="lineMarker"/>
        <c:varyColors val="0"/>
        <c:ser>
          <c:idx val="0"/>
          <c:order val="0"/>
          <c:tx>
            <c:strRef>
              <c:f>Hoja1!$D$5</c:f>
              <c:strCache>
                <c:ptCount val="1"/>
                <c:pt idx="0">
                  <c:v>%DIAS CUBIERTOS</c:v>
                </c:pt>
              </c:strCache>
            </c:strRef>
          </c:tx>
          <c:spPr>
            <a:ln w="28575">
              <a:noFill/>
            </a:ln>
          </c:spPr>
          <c:marker>
            <c:symbol val="diamond"/>
            <c:size val="5"/>
            <c:spPr>
              <a:solidFill>
                <a:srgbClr val="000080"/>
              </a:solidFill>
              <a:ln>
                <a:solidFill>
                  <a:srgbClr val="000080"/>
                </a:solidFill>
                <a:prstDash val="solid"/>
              </a:ln>
            </c:spPr>
          </c:marker>
          <c:dLbls>
            <c:dLbl>
              <c:idx val="0"/>
              <c:tx>
                <c:rich>
                  <a:bodyPr/>
                  <a:lstStyle/>
                  <a:p>
                    <a:r>
                      <a:rPr lang="es-ES"/>
                      <a:t>Andalucia</a:t>
                    </a:r>
                  </a:p>
                </c:rich>
              </c:tx>
              <c:showLegendKey val="0"/>
              <c:showVal val="0"/>
              <c:showCatName val="0"/>
              <c:showSerName val="0"/>
              <c:showPercent val="0"/>
              <c:showBubbleSize val="0"/>
            </c:dLbl>
            <c:dLbl>
              <c:idx val="1"/>
              <c:layout>
                <c:manualLayout>
                  <c:x val="-6.7842605156037995E-3"/>
                  <c:y val="-1.8867924528301886E-2"/>
                </c:manualLayout>
              </c:layout>
              <c:tx>
                <c:rich>
                  <a:bodyPr/>
                  <a:lstStyle/>
                  <a:p>
                    <a:r>
                      <a:rPr lang="es-ES"/>
                      <a:t>Aragón</a:t>
                    </a:r>
                  </a:p>
                </c:rich>
              </c:tx>
              <c:dLblPos val="r"/>
              <c:showLegendKey val="0"/>
              <c:showVal val="0"/>
              <c:showCatName val="0"/>
              <c:showSerName val="0"/>
              <c:showPercent val="0"/>
              <c:showBubbleSize val="0"/>
            </c:dLbl>
            <c:dLbl>
              <c:idx val="2"/>
              <c:layout>
                <c:manualLayout>
                  <c:x val="2.2614201718679332E-3"/>
                  <c:y val="9.4337146535927712E-3"/>
                </c:manualLayout>
              </c:layout>
              <c:tx>
                <c:rich>
                  <a:bodyPr/>
                  <a:lstStyle/>
                  <a:p>
                    <a:r>
                      <a:rPr lang="es-ES"/>
                      <a:t>Asturias</a:t>
                    </a:r>
                  </a:p>
                </c:rich>
              </c:tx>
              <c:dLblPos val="r"/>
              <c:showLegendKey val="0"/>
              <c:showVal val="0"/>
              <c:showCatName val="0"/>
              <c:showSerName val="0"/>
              <c:showPercent val="0"/>
              <c:showBubbleSize val="0"/>
            </c:dLbl>
            <c:dLbl>
              <c:idx val="3"/>
              <c:tx>
                <c:rich>
                  <a:bodyPr/>
                  <a:lstStyle/>
                  <a:p>
                    <a:r>
                      <a:rPr lang="es-ES"/>
                      <a:t>Baleares</a:t>
                    </a:r>
                  </a:p>
                </c:rich>
              </c:tx>
              <c:showLegendKey val="0"/>
              <c:showVal val="0"/>
              <c:showCatName val="0"/>
              <c:showSerName val="0"/>
              <c:showPercent val="0"/>
              <c:showBubbleSize val="0"/>
            </c:dLbl>
            <c:dLbl>
              <c:idx val="4"/>
              <c:layout>
                <c:manualLayout>
                  <c:x val="-4.7031158142269254E-3"/>
                  <c:y val="-1.3008130081300813E-2"/>
                </c:manualLayout>
              </c:layout>
              <c:tx>
                <c:rich>
                  <a:bodyPr/>
                  <a:lstStyle/>
                  <a:p>
                    <a:r>
                      <a:rPr lang="es-ES"/>
                      <a:t>Canarias</a:t>
                    </a:r>
                  </a:p>
                </c:rich>
              </c:tx>
              <c:dLblPos val="r"/>
              <c:showLegendKey val="0"/>
              <c:showVal val="0"/>
              <c:showCatName val="0"/>
              <c:showSerName val="0"/>
              <c:showPercent val="0"/>
              <c:showBubbleSize val="0"/>
            </c:dLbl>
            <c:dLbl>
              <c:idx val="5"/>
              <c:tx>
                <c:rich>
                  <a:bodyPr/>
                  <a:lstStyle/>
                  <a:p>
                    <a:r>
                      <a:rPr lang="es-ES"/>
                      <a:t>Cantabria</a:t>
                    </a:r>
                  </a:p>
                </c:rich>
              </c:tx>
              <c:showLegendKey val="0"/>
              <c:showVal val="0"/>
              <c:showCatName val="0"/>
              <c:showSerName val="0"/>
              <c:showPercent val="0"/>
              <c:showBubbleSize val="0"/>
            </c:dLbl>
            <c:dLbl>
              <c:idx val="6"/>
              <c:layout>
                <c:manualLayout>
                  <c:x val="-7.0546737213403876E-2"/>
                  <c:y val="-2.6016260162601626E-2"/>
                </c:manualLayout>
              </c:layout>
              <c:tx>
                <c:rich>
                  <a:bodyPr/>
                  <a:lstStyle/>
                  <a:p>
                    <a:r>
                      <a:rPr lang="es-ES"/>
                      <a:t>Castilla León</a:t>
                    </a:r>
                  </a:p>
                </c:rich>
              </c:tx>
              <c:dLblPos val="r"/>
              <c:showLegendKey val="0"/>
              <c:showVal val="0"/>
              <c:showCatName val="0"/>
              <c:showSerName val="0"/>
              <c:showPercent val="0"/>
              <c:showBubbleSize val="0"/>
            </c:dLbl>
            <c:dLbl>
              <c:idx val="7"/>
              <c:layout>
                <c:manualLayout>
                  <c:x val="-3.7624926513815403E-2"/>
                  <c:y val="1.9512195121951219E-2"/>
                </c:manualLayout>
              </c:layout>
              <c:tx>
                <c:rich>
                  <a:bodyPr/>
                  <a:lstStyle/>
                  <a:p>
                    <a:r>
                      <a:rPr lang="es-ES"/>
                      <a:t>Castilla la Mancha</a:t>
                    </a:r>
                  </a:p>
                </c:rich>
              </c:tx>
              <c:dLblPos val="r"/>
              <c:showLegendKey val="0"/>
              <c:showVal val="0"/>
              <c:showCatName val="0"/>
              <c:showSerName val="0"/>
              <c:showPercent val="0"/>
              <c:showBubbleSize val="0"/>
            </c:dLbl>
            <c:dLbl>
              <c:idx val="8"/>
              <c:layout>
                <c:manualLayout>
                  <c:x val="-0.1011169900058789"/>
                  <c:y val="-6.5040650406504663E-3"/>
                </c:manualLayout>
              </c:layout>
              <c:tx>
                <c:rich>
                  <a:bodyPr/>
                  <a:lstStyle/>
                  <a:p>
                    <a:r>
                      <a:rPr lang="es-ES"/>
                      <a:t>Cataluña</a:t>
                    </a:r>
                  </a:p>
                </c:rich>
              </c:tx>
              <c:dLblPos val="r"/>
              <c:showLegendKey val="0"/>
              <c:showVal val="0"/>
              <c:showCatName val="0"/>
              <c:showSerName val="0"/>
              <c:showPercent val="0"/>
              <c:showBubbleSize val="0"/>
            </c:dLbl>
            <c:dLbl>
              <c:idx val="9"/>
              <c:layout>
                <c:manualLayout>
                  <c:x val="-0.11251420065029184"/>
                  <c:y val="-1.2041796662209676E-2"/>
                </c:manualLayout>
              </c:layout>
              <c:tx>
                <c:rich>
                  <a:bodyPr/>
                  <a:lstStyle/>
                  <a:p>
                    <a:r>
                      <a:rPr lang="es-ES"/>
                      <a:t>Valencia</a:t>
                    </a:r>
                  </a:p>
                </c:rich>
              </c:tx>
              <c:dLblPos val="r"/>
              <c:showLegendKey val="0"/>
              <c:showVal val="0"/>
              <c:showCatName val="0"/>
              <c:showSerName val="0"/>
              <c:showPercent val="0"/>
              <c:showBubbleSize val="0"/>
            </c:dLbl>
            <c:dLbl>
              <c:idx val="10"/>
              <c:tx>
                <c:rich>
                  <a:bodyPr/>
                  <a:lstStyle/>
                  <a:p>
                    <a:r>
                      <a:rPr lang="es-ES"/>
                      <a:t>Extremadura</a:t>
                    </a:r>
                  </a:p>
                </c:rich>
              </c:tx>
              <c:showLegendKey val="0"/>
              <c:showVal val="0"/>
              <c:showCatName val="0"/>
              <c:showSerName val="0"/>
              <c:showPercent val="0"/>
              <c:showBubbleSize val="0"/>
            </c:dLbl>
            <c:dLbl>
              <c:idx val="11"/>
              <c:tx>
                <c:rich>
                  <a:bodyPr/>
                  <a:lstStyle/>
                  <a:p>
                    <a:r>
                      <a:rPr lang="es-ES"/>
                      <a:t>Galicia</a:t>
                    </a:r>
                  </a:p>
                </c:rich>
              </c:tx>
              <c:showLegendKey val="0"/>
              <c:showVal val="0"/>
              <c:showCatName val="0"/>
              <c:showSerName val="0"/>
              <c:showPercent val="0"/>
              <c:showBubbleSize val="0"/>
            </c:dLbl>
            <c:dLbl>
              <c:idx val="12"/>
              <c:layout>
                <c:manualLayout>
                  <c:x val="-4.2328042328042326E-2"/>
                  <c:y val="-2.2764483707829204E-2"/>
                </c:manualLayout>
              </c:layout>
              <c:tx>
                <c:rich>
                  <a:bodyPr/>
                  <a:lstStyle/>
                  <a:p>
                    <a:r>
                      <a:rPr lang="es-ES"/>
                      <a:t>Madrid</a:t>
                    </a:r>
                  </a:p>
                </c:rich>
              </c:tx>
              <c:dLblPos val="r"/>
              <c:showLegendKey val="0"/>
              <c:showVal val="0"/>
              <c:showCatName val="0"/>
              <c:showSerName val="0"/>
              <c:showPercent val="0"/>
              <c:showBubbleSize val="0"/>
            </c:dLbl>
            <c:dLbl>
              <c:idx val="13"/>
              <c:layout>
                <c:manualLayout>
                  <c:x val="-7.0546737213403876E-3"/>
                  <c:y val="1.6260162601626018E-2"/>
                </c:manualLayout>
              </c:layout>
              <c:tx>
                <c:rich>
                  <a:bodyPr/>
                  <a:lstStyle/>
                  <a:p>
                    <a:r>
                      <a:rPr lang="es-ES"/>
                      <a:t>Murcia</a:t>
                    </a:r>
                  </a:p>
                </c:rich>
              </c:tx>
              <c:dLblPos val="r"/>
              <c:showLegendKey val="0"/>
              <c:showVal val="0"/>
              <c:showCatName val="0"/>
              <c:showSerName val="0"/>
              <c:showPercent val="0"/>
              <c:showBubbleSize val="0"/>
            </c:dLbl>
            <c:dLbl>
              <c:idx val="14"/>
              <c:layout>
                <c:manualLayout>
                  <c:x val="-6.1058344640434192E-2"/>
                  <c:y val="-4.0880503144654086E-2"/>
                </c:manualLayout>
              </c:layout>
              <c:tx>
                <c:rich>
                  <a:bodyPr/>
                  <a:lstStyle/>
                  <a:p>
                    <a:r>
                      <a:rPr lang="es-ES"/>
                      <a:t>Navarra</a:t>
                    </a:r>
                  </a:p>
                </c:rich>
              </c:tx>
              <c:dLblPos val="r"/>
              <c:showLegendKey val="0"/>
              <c:showVal val="0"/>
              <c:showCatName val="0"/>
              <c:showSerName val="0"/>
              <c:showPercent val="0"/>
              <c:showBubbleSize val="0"/>
            </c:dLbl>
            <c:dLbl>
              <c:idx val="15"/>
              <c:layout>
                <c:manualLayout>
                  <c:x val="-1.1307100859339687E-2"/>
                  <c:y val="-3.7735849056603772E-2"/>
                </c:manualLayout>
              </c:layout>
              <c:tx>
                <c:rich>
                  <a:bodyPr/>
                  <a:lstStyle/>
                  <a:p>
                    <a:r>
                      <a:rPr lang="es-ES"/>
                      <a:t>Pais Vasco</a:t>
                    </a:r>
                  </a:p>
                </c:rich>
              </c:tx>
              <c:dLblPos val="r"/>
              <c:showLegendKey val="0"/>
              <c:showVal val="0"/>
              <c:showCatName val="0"/>
              <c:showSerName val="0"/>
              <c:showPercent val="0"/>
              <c:showBubbleSize val="0"/>
            </c:dLbl>
            <c:dLbl>
              <c:idx val="16"/>
              <c:tx>
                <c:rich>
                  <a:bodyPr/>
                  <a:lstStyle/>
                  <a:p>
                    <a:r>
                      <a:rPr lang="es-ES"/>
                      <a:t>Rioja </a:t>
                    </a:r>
                  </a:p>
                </c:rich>
              </c:tx>
              <c:showLegendKey val="0"/>
              <c:showVal val="0"/>
              <c:showCatName val="0"/>
              <c:showSerName val="0"/>
              <c:showPercent val="0"/>
              <c:showBubbleSize val="0"/>
            </c:dLbl>
            <c:dLbl>
              <c:idx val="17"/>
              <c:tx>
                <c:rich>
                  <a:bodyPr/>
                  <a:lstStyle/>
                  <a:p>
                    <a:r>
                      <a:rPr lang="es-ES"/>
                      <a:t>España</a:t>
                    </a:r>
                  </a:p>
                </c:rich>
              </c:tx>
              <c:showLegendKey val="0"/>
              <c:showVal val="0"/>
              <c:showCatName val="0"/>
              <c:showSerName val="0"/>
              <c:showPercent val="0"/>
              <c:showBubbleSize val="0"/>
            </c:dLbl>
            <c:txPr>
              <a:bodyPr/>
              <a:lstStyle/>
              <a:p>
                <a:pPr>
                  <a:defRPr sz="800" b="0"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xVal>
            <c:numRef>
              <c:f>Hoja1!$C$6:$C$23</c:f>
              <c:numCache>
                <c:formatCode>0.00</c:formatCode>
                <c:ptCount val="18"/>
                <c:pt idx="0">
                  <c:v>7.8711985688729877E-2</c:v>
                </c:pt>
                <c:pt idx="1">
                  <c:v>6.3157894736842107E-2</c:v>
                </c:pt>
                <c:pt idx="2">
                  <c:v>9.8901098901098897E-2</c:v>
                </c:pt>
                <c:pt idx="3">
                  <c:v>6.0606060606060608E-2</c:v>
                </c:pt>
                <c:pt idx="4">
                  <c:v>0.20187793427230047</c:v>
                </c:pt>
                <c:pt idx="5">
                  <c:v>0.1702127659574468</c:v>
                </c:pt>
                <c:pt idx="6">
                  <c:v>0.11392405063291139</c:v>
                </c:pt>
                <c:pt idx="7">
                  <c:v>0.1206896551724138</c:v>
                </c:pt>
                <c:pt idx="8">
                  <c:v>0.18611521418020679</c:v>
                </c:pt>
                <c:pt idx="9">
                  <c:v>0.1198501872659176</c:v>
                </c:pt>
                <c:pt idx="10">
                  <c:v>0.1891891891891892</c:v>
                </c:pt>
                <c:pt idx="11">
                  <c:v>7.4889867841409691E-2</c:v>
                </c:pt>
                <c:pt idx="12">
                  <c:v>0.18385650224215247</c:v>
                </c:pt>
                <c:pt idx="13">
                  <c:v>0.11607142857142858</c:v>
                </c:pt>
                <c:pt idx="14">
                  <c:v>0.29411764705882354</c:v>
                </c:pt>
                <c:pt idx="15">
                  <c:v>0.26315789473684209</c:v>
                </c:pt>
                <c:pt idx="16">
                  <c:v>0.23809523809523808</c:v>
                </c:pt>
                <c:pt idx="17">
                  <c:v>0.14029760097175828</c:v>
                </c:pt>
              </c:numCache>
            </c:numRef>
          </c:xVal>
          <c:yVal>
            <c:numRef>
              <c:f>Hoja1!$D$6:$D$23</c:f>
              <c:numCache>
                <c:formatCode>0.00</c:formatCode>
                <c:ptCount val="18"/>
                <c:pt idx="0">
                  <c:v>0.84086553777538164</c:v>
                </c:pt>
                <c:pt idx="1">
                  <c:v>0.77776496034607068</c:v>
                </c:pt>
                <c:pt idx="2">
                  <c:v>0.78557880475688702</c:v>
                </c:pt>
                <c:pt idx="3">
                  <c:v>0.55419952954199525</c:v>
                </c:pt>
                <c:pt idx="4">
                  <c:v>0.54854974596437067</c:v>
                </c:pt>
                <c:pt idx="5">
                  <c:v>0.6484989798892451</c:v>
                </c:pt>
                <c:pt idx="6">
                  <c:v>0.8779954915900815</c:v>
                </c:pt>
                <c:pt idx="7">
                  <c:v>0.55944733112895606</c:v>
                </c:pt>
                <c:pt idx="8">
                  <c:v>0.58738997592116715</c:v>
                </c:pt>
                <c:pt idx="9">
                  <c:v>0.80583859217074549</c:v>
                </c:pt>
                <c:pt idx="10">
                  <c:v>0.59714920399851912</c:v>
                </c:pt>
                <c:pt idx="11">
                  <c:v>0.88972301007784682</c:v>
                </c:pt>
                <c:pt idx="12">
                  <c:v>0.70316358498679277</c:v>
                </c:pt>
                <c:pt idx="13">
                  <c:v>0.8189823874755382</c:v>
                </c:pt>
                <c:pt idx="14">
                  <c:v>0.50926672038678489</c:v>
                </c:pt>
                <c:pt idx="15">
                  <c:v>0.76957462148521993</c:v>
                </c:pt>
                <c:pt idx="16">
                  <c:v>0.49093281148075674</c:v>
                </c:pt>
                <c:pt idx="17">
                  <c:v>0.71576985635782009</c:v>
                </c:pt>
              </c:numCache>
            </c:numRef>
          </c:yVal>
          <c:smooth val="0"/>
        </c:ser>
        <c:dLbls>
          <c:showLegendKey val="0"/>
          <c:showVal val="0"/>
          <c:showCatName val="0"/>
          <c:showSerName val="0"/>
          <c:showPercent val="0"/>
          <c:showBubbleSize val="0"/>
        </c:dLbls>
        <c:axId val="311188224"/>
        <c:axId val="311188800"/>
      </c:scatterChart>
      <c:valAx>
        <c:axId val="311188224"/>
        <c:scaling>
          <c:orientation val="minMax"/>
          <c:max val="0.30000000000000004"/>
          <c:min val="5.000000000000001E-2"/>
        </c:scaling>
        <c:delete val="0"/>
        <c:axPos val="b"/>
        <c:title>
          <c:tx>
            <c:rich>
              <a:bodyPr/>
              <a:lstStyle/>
              <a:p>
                <a:pPr>
                  <a:defRPr sz="750" b="1" i="0" u="none" strike="noStrike" baseline="0">
                    <a:solidFill>
                      <a:srgbClr val="000000"/>
                    </a:solidFill>
                    <a:latin typeface="Verdana"/>
                    <a:ea typeface="Verdana"/>
                    <a:cs typeface="Verdana"/>
                  </a:defRPr>
                </a:pPr>
                <a:r>
                  <a:rPr lang="es-ES"/>
                  <a:t>INDICE DE ROTACIÓN</a:t>
                </a:r>
              </a:p>
            </c:rich>
          </c:tx>
          <c:layout>
            <c:manualLayout>
              <c:xMode val="edge"/>
              <c:yMode val="edge"/>
              <c:x val="0.44498445496212569"/>
              <c:y val="0.91939657306987566"/>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8800"/>
        <c:crosses val="autoZero"/>
        <c:crossBetween val="midCat"/>
        <c:majorUnit val="5.000000000000001E-2"/>
      </c:valAx>
      <c:valAx>
        <c:axId val="311188800"/>
        <c:scaling>
          <c:orientation val="minMax"/>
          <c:max val="1"/>
          <c:min val="0.4"/>
        </c:scaling>
        <c:delete val="0"/>
        <c:axPos val="l"/>
        <c:title>
          <c:tx>
            <c:rich>
              <a:bodyPr/>
              <a:lstStyle/>
              <a:p>
                <a:pPr>
                  <a:defRPr sz="600" b="1" i="0" u="none" strike="noStrike" baseline="0">
                    <a:solidFill>
                      <a:srgbClr val="000000"/>
                    </a:solidFill>
                    <a:latin typeface="Verdana"/>
                    <a:ea typeface="Verdana"/>
                    <a:cs typeface="Verdana"/>
                  </a:defRPr>
                </a:pPr>
                <a:r>
                  <a:rPr lang="es-ES"/>
                  <a:t>%DIAS CUBIERTOS POR TITULAR</a:t>
                </a:r>
              </a:p>
            </c:rich>
          </c:tx>
          <c:layout>
            <c:manualLayout>
              <c:xMode val="edge"/>
              <c:yMode val="edge"/>
              <c:x val="1.7799513527566178E-2"/>
              <c:y val="0.3081444064774921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311188224"/>
        <c:crosses val="autoZero"/>
        <c:crossBetween val="midCat"/>
      </c:valAx>
      <c:spPr>
        <a:solidFill>
          <a:srgbClr val="99CC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750" b="1" i="0" u="none" strike="noStrike" baseline="0">
          <a:solidFill>
            <a:srgbClr val="000000"/>
          </a:solidFill>
          <a:latin typeface="Verdana"/>
          <a:ea typeface="Verdana"/>
          <a:cs typeface="Verdana"/>
        </a:defRPr>
      </a:pPr>
      <a:endParaRPr lang="es-E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latin typeface="Verdana" panose="020B0604030504040204" pitchFamily="34" charset="0"/>
                <a:ea typeface="Verdana" panose="020B0604030504040204" pitchFamily="34" charset="0"/>
                <a:cs typeface="Verdana" panose="020B0604030504040204" pitchFamily="34" charset="0"/>
              </a:rPr>
              <a:t>Asuntos en trámite al final del año en todas las jurisdicciones</a:t>
            </a:r>
          </a:p>
        </c:rich>
      </c:tx>
      <c:layout/>
      <c:overlay val="0"/>
    </c:title>
    <c:autoTitleDeleted val="0"/>
    <c:plotArea>
      <c:layout/>
      <c:lineChart>
        <c:grouping val="stacked"/>
        <c:varyColors val="0"/>
        <c:ser>
          <c:idx val="0"/>
          <c:order val="0"/>
          <c:dLbls>
            <c:dLbl>
              <c:idx val="0"/>
              <c:layout>
                <c:manualLayout>
                  <c:x val="-7.1286307053941914E-2"/>
                  <c:y val="4.5267504380125202E-2"/>
                </c:manualLayout>
              </c:layout>
              <c:dLblPos val="r"/>
              <c:showLegendKey val="0"/>
              <c:showVal val="1"/>
              <c:showCatName val="0"/>
              <c:showSerName val="0"/>
              <c:showPercent val="0"/>
              <c:showBubbleSize val="0"/>
            </c:dLbl>
            <c:dLbl>
              <c:idx val="1"/>
              <c:layout>
                <c:manualLayout>
                  <c:x val="-0.12384508990318119"/>
                  <c:y val="-3.7037049038284253E-2"/>
                </c:manualLayout>
              </c:layout>
              <c:dLblPos val="r"/>
              <c:showLegendKey val="0"/>
              <c:showVal val="1"/>
              <c:showCatName val="0"/>
              <c:showSerName val="0"/>
              <c:showPercent val="0"/>
              <c:showBubbleSize val="0"/>
            </c:dLbl>
            <c:dLbl>
              <c:idx val="2"/>
              <c:layout>
                <c:manualLayout>
                  <c:x val="-0.18746931529824334"/>
                  <c:y val="2.4691033991121481E-2"/>
                </c:manualLayout>
              </c:layout>
              <c:dLblPos val="r"/>
              <c:showLegendKey val="0"/>
              <c:showVal val="1"/>
              <c:showCatName val="0"/>
              <c:showSerName val="0"/>
              <c:showPercent val="0"/>
              <c:showBubbleSize val="0"/>
            </c:dLbl>
            <c:dLbl>
              <c:idx val="3"/>
              <c:layout>
                <c:manualLayout>
                  <c:x val="-0.17363762102351313"/>
                  <c:y val="-4.1152263374485973E-3"/>
                </c:manualLayout>
              </c:layout>
              <c:dLblPos val="r"/>
              <c:showLegendKey val="0"/>
              <c:showVal val="1"/>
              <c:showCatName val="0"/>
              <c:showSerName val="0"/>
              <c:showPercent val="0"/>
              <c:showBubbleSize val="0"/>
            </c:dLbl>
            <c:dLbl>
              <c:idx val="4"/>
              <c:layout>
                <c:manualLayout>
                  <c:x val="-8.2351531784668044E-2"/>
                  <c:y val="-3.2921821367363782E-2"/>
                </c:manualLayout>
              </c:layout>
              <c:dLblPos val="r"/>
              <c:showLegendKey val="0"/>
              <c:showVal val="1"/>
              <c:showCatName val="0"/>
              <c:showSerName val="0"/>
              <c:showPercent val="0"/>
              <c:showBubbleSize val="0"/>
            </c:dLbl>
            <c:dLbl>
              <c:idx val="5"/>
              <c:layout>
                <c:manualLayout>
                  <c:x val="-1.3195020746888069E-2"/>
                  <c:y val="-1.2345683012761456E-2"/>
                </c:manualLayout>
              </c:layout>
              <c:dLblPos val="r"/>
              <c:showLegendKey val="0"/>
              <c:showVal val="1"/>
              <c:showCatName val="0"/>
              <c:showSerName val="0"/>
              <c:showPercent val="0"/>
              <c:showBubbleSize val="0"/>
            </c:dLbl>
            <c:dLbl>
              <c:idx val="6"/>
              <c:layout>
                <c:manualLayout>
                  <c:x val="-0.15427385892116183"/>
                  <c:y val="2.0576138354602362E-2"/>
                </c:manualLayout>
              </c:layout>
              <c:dLblPos val="r"/>
              <c:showLegendKey val="0"/>
              <c:showVal val="1"/>
              <c:showCatName val="0"/>
              <c:showSerName val="0"/>
              <c:showPercent val="0"/>
              <c:showBubbleSize val="0"/>
            </c:dLbl>
            <c:dLbl>
              <c:idx val="7"/>
              <c:layout>
                <c:manualLayout>
                  <c:x val="-2.7026279391424619E-2"/>
                  <c:y val="-4.5267504380125279E-2"/>
                </c:manualLayout>
              </c:layout>
              <c:dLblPos val="r"/>
              <c:showLegendKey val="0"/>
              <c:showVal val="1"/>
              <c:showCatName val="0"/>
              <c:showSerName val="0"/>
              <c:showPercent val="0"/>
              <c:showBubbleSize val="0"/>
            </c:dLbl>
            <c:dLbl>
              <c:idx val="8"/>
              <c:layout>
                <c:manualLayout>
                  <c:x val="-0.14874157327844392"/>
                  <c:y val="1.2345683012761342E-2"/>
                </c:manualLayout>
              </c:layout>
              <c:dLblPos val="r"/>
              <c:showLegendKey val="0"/>
              <c:showVal val="1"/>
              <c:showCatName val="0"/>
              <c:showSerName val="0"/>
              <c:showPercent val="0"/>
              <c:showBubbleSize val="0"/>
            </c:dLbl>
            <c:dLbl>
              <c:idx val="9"/>
              <c:layout>
                <c:manualLayout>
                  <c:x val="-0.14341904357391011"/>
                  <c:y val="3.2921821367363706E-2"/>
                </c:manualLayout>
              </c:layout>
              <c:dLblPos val="r"/>
              <c:showLegendKey val="0"/>
              <c:showVal val="1"/>
              <c:showCatName val="0"/>
              <c:showSerName val="0"/>
              <c:showPercent val="0"/>
              <c:showBubbleSize val="0"/>
            </c:dLbl>
            <c:dLbl>
              <c:idx val="10"/>
              <c:layout>
                <c:manualLayout>
                  <c:x val="-6.9438363772993006E-2"/>
                  <c:y val="3.7037049038284253E-2"/>
                </c:manualLayout>
              </c:layout>
              <c:dLblPos val="r"/>
              <c:showLegendKey val="0"/>
              <c:showVal val="1"/>
              <c:showCatName val="0"/>
              <c:showSerName val="0"/>
              <c:showPercent val="0"/>
              <c:showBubbleSize val="0"/>
            </c:dLbl>
            <c:dLbl>
              <c:idx val="11"/>
              <c:layout>
                <c:manualLayout>
                  <c:x val="-2.7664695440040949E-3"/>
                  <c:y val="-3.7037373071959055E-2"/>
                </c:manualLayout>
              </c:layout>
              <c:dLblPos val="r"/>
              <c:showLegendKey val="0"/>
              <c:showVal val="1"/>
              <c:showCatName val="0"/>
              <c:showSerName val="0"/>
              <c:showPercent val="0"/>
              <c:showBubbleSize val="0"/>
            </c:dLbl>
            <c:numFmt formatCode="#,##0" sourceLinked="0"/>
            <c:txPr>
              <a:bodyPr/>
              <a:lstStyle/>
              <a:p>
                <a:pPr>
                  <a:defRPr sz="800" b="1" i="0" baseline="0">
                    <a:latin typeface="Verdana" panose="020B0604030504040204" pitchFamily="34" charset="0"/>
                  </a:defRPr>
                </a:pPr>
                <a:endParaRPr lang="es-ES"/>
              </a:p>
            </c:txPr>
            <c:dLblPos val="ctr"/>
            <c:showLegendKey val="0"/>
            <c:showVal val="1"/>
            <c:showCatName val="0"/>
            <c:showSerName val="0"/>
            <c:showPercent val="0"/>
            <c:showBubbleSize val="0"/>
            <c:showLeaderLines val="0"/>
          </c:dLbls>
          <c:cat>
            <c:numRef>
              <c:f>pendientes!$P$12:$AA$12</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pendientes!$P$19:$AA$19</c:f>
              <c:numCache>
                <c:formatCode>General</c:formatCode>
                <c:ptCount val="12"/>
                <c:pt idx="0">
                  <c:v>2337362</c:v>
                </c:pt>
                <c:pt idx="1">
                  <c:v>2407071</c:v>
                </c:pt>
                <c:pt idx="2">
                  <c:v>2786798</c:v>
                </c:pt>
                <c:pt idx="3" formatCode="#,##0">
                  <c:v>3133006</c:v>
                </c:pt>
                <c:pt idx="4" formatCode="#,##0">
                  <c:v>3225063</c:v>
                </c:pt>
                <c:pt idx="5" formatCode="#,##0">
                  <c:v>3063263</c:v>
                </c:pt>
                <c:pt idx="6" formatCode="#,##0">
                  <c:v>2913464</c:v>
                </c:pt>
                <c:pt idx="7">
                  <c:v>2680933</c:v>
                </c:pt>
                <c:pt idx="8">
                  <c:v>2562153</c:v>
                </c:pt>
                <c:pt idx="9">
                  <c:v>2435778</c:v>
                </c:pt>
                <c:pt idx="10" formatCode="#,##0">
                  <c:v>2234476</c:v>
                </c:pt>
                <c:pt idx="11" formatCode="#,##0">
                  <c:v>2379293</c:v>
                </c:pt>
              </c:numCache>
            </c:numRef>
          </c:val>
          <c:smooth val="0"/>
        </c:ser>
        <c:dLbls>
          <c:showLegendKey val="0"/>
          <c:showVal val="0"/>
          <c:showCatName val="0"/>
          <c:showSerName val="0"/>
          <c:showPercent val="0"/>
          <c:showBubbleSize val="0"/>
        </c:dLbls>
        <c:marker val="1"/>
        <c:smooth val="0"/>
        <c:axId val="242409984"/>
        <c:axId val="295903232"/>
      </c:lineChart>
      <c:catAx>
        <c:axId val="242409984"/>
        <c:scaling>
          <c:orientation val="minMax"/>
        </c:scaling>
        <c:delete val="0"/>
        <c:axPos val="b"/>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295903232"/>
        <c:crosses val="autoZero"/>
        <c:auto val="1"/>
        <c:lblAlgn val="ctr"/>
        <c:lblOffset val="100"/>
        <c:tickLblSkip val="1"/>
        <c:tickMarkSkip val="1"/>
        <c:noMultiLvlLbl val="0"/>
      </c:catAx>
      <c:valAx>
        <c:axId val="295903232"/>
        <c:scaling>
          <c:orientation val="minMax"/>
          <c:min val="2049999.9999999998"/>
        </c:scaling>
        <c:delete val="0"/>
        <c:axPos val="l"/>
        <c:majorGridlines/>
        <c:numFmt formatCode="#,##0" sourceLinked="0"/>
        <c:majorTickMark val="none"/>
        <c:minorTickMark val="none"/>
        <c:tickLblPos val="nextTo"/>
        <c:txPr>
          <a:bodyPr rot="0" vert="horz"/>
          <a:lstStyle/>
          <a:p>
            <a:pPr>
              <a:defRPr sz="800" b="1" i="0" baseline="0">
                <a:latin typeface="Verdana" panose="020B0604030504040204" pitchFamily="34" charset="0"/>
              </a:defRPr>
            </a:pPr>
            <a:endParaRPr lang="es-ES"/>
          </a:p>
        </c:txPr>
        <c:crossAx val="242409984"/>
        <c:crosses val="autoZero"/>
        <c:crossBetween val="between"/>
        <c:majorUnit val="250000"/>
        <c:minorUnit val="6000"/>
      </c:val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Verdana"/>
                <a:ea typeface="Verdana"/>
                <a:cs typeface="Verdana"/>
              </a:defRPr>
            </a:pPr>
            <a:r>
              <a:rPr lang="es-ES"/>
              <a:t>Tasa de resolución</a:t>
            </a:r>
          </a:p>
        </c:rich>
      </c:tx>
      <c:layout>
        <c:manualLayout>
          <c:xMode val="edge"/>
          <c:yMode val="edge"/>
          <c:x val="0.37088424605503167"/>
          <c:y val="3.3846227937104192E-2"/>
        </c:manualLayout>
      </c:layout>
      <c:overlay val="0"/>
      <c:spPr>
        <a:noFill/>
        <a:ln w="25400">
          <a:noFill/>
        </a:ln>
      </c:spPr>
    </c:title>
    <c:autoTitleDeleted val="0"/>
    <c:plotArea>
      <c:layout>
        <c:manualLayout>
          <c:layoutTarget val="inner"/>
          <c:xMode val="edge"/>
          <c:yMode val="edge"/>
          <c:x val="9.7053808300788275E-2"/>
          <c:y val="0.20923108358035394"/>
          <c:w val="0.68977528042345948"/>
          <c:h val="0.46769301035608529"/>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TR!$B$4:$B$21</c:f>
              <c:numCache>
                <c:formatCode>0.00</c:formatCode>
                <c:ptCount val="18"/>
                <c:pt idx="0">
                  <c:v>1.0266319485426658</c:v>
                </c:pt>
                <c:pt idx="1">
                  <c:v>1.0106474337939075</c:v>
                </c:pt>
                <c:pt idx="2">
                  <c:v>1.0427887075019766</c:v>
                </c:pt>
                <c:pt idx="3">
                  <c:v>1.0217792025646164</c:v>
                </c:pt>
                <c:pt idx="4">
                  <c:v>1.0192029300428298</c:v>
                </c:pt>
                <c:pt idx="5">
                  <c:v>1.0514534644784788</c:v>
                </c:pt>
                <c:pt idx="6">
                  <c:v>1.0389713379404102</c:v>
                </c:pt>
                <c:pt idx="7">
                  <c:v>1.0245652350915508</c:v>
                </c:pt>
                <c:pt idx="8">
                  <c:v>1.0160284699519146</c:v>
                </c:pt>
                <c:pt idx="9">
                  <c:v>1.0338832544287189</c:v>
                </c:pt>
                <c:pt idx="10">
                  <c:v>1.0633101915696734</c:v>
                </c:pt>
                <c:pt idx="11">
                  <c:v>1.0193789735888421</c:v>
                </c:pt>
                <c:pt idx="12">
                  <c:v>1.0226428635507312</c:v>
                </c:pt>
                <c:pt idx="13">
                  <c:v>1.0666658425174462</c:v>
                </c:pt>
                <c:pt idx="14">
                  <c:v>1.0429375059591284</c:v>
                </c:pt>
                <c:pt idx="15">
                  <c:v>1.032723963934155</c:v>
                </c:pt>
                <c:pt idx="16">
                  <c:v>1.0223321279905815</c:v>
                </c:pt>
                <c:pt idx="17">
                  <c:v>1.0730507901948272</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0"/>
              <c:layout>
                <c:manualLayout>
                  <c:x val="-3.1734421412228258E-3"/>
                  <c:y val="-2.8036954096334287E-2"/>
                </c:manualLayout>
              </c:layout>
              <c:dLblPos val="outEnd"/>
              <c:showLegendKey val="0"/>
              <c:showVal val="1"/>
              <c:showCatName val="0"/>
              <c:showSerName val="0"/>
              <c:showPercent val="0"/>
              <c:showBubbleSize val="0"/>
            </c:dLbl>
            <c:dLbl>
              <c:idx val="1"/>
              <c:layout>
                <c:manualLayout>
                  <c:x val="1.0499051570026884E-2"/>
                  <c:y val="1.7850979636719721E-3"/>
                </c:manualLayout>
              </c:layout>
              <c:dLblPos val="outEnd"/>
              <c:showLegendKey val="0"/>
              <c:showVal val="1"/>
              <c:showCatName val="0"/>
              <c:showSerName val="0"/>
              <c:showPercent val="0"/>
              <c:showBubbleSize val="0"/>
            </c:dLbl>
            <c:dLbl>
              <c:idx val="2"/>
              <c:layout>
                <c:manualLayout>
                  <c:x val="7.4180415489658244E-3"/>
                  <c:y val="-3.7221239652735716E-2"/>
                </c:manualLayout>
              </c:layout>
              <c:dLblPos val="outEnd"/>
              <c:showLegendKey val="0"/>
              <c:showVal val="1"/>
              <c:showCatName val="0"/>
              <c:showSerName val="0"/>
              <c:showPercent val="0"/>
              <c:showBubbleSize val="0"/>
            </c:dLbl>
            <c:dLbl>
              <c:idx val="3"/>
              <c:layout>
                <c:manualLayout>
                  <c:x val="-4.6216060080878103E-3"/>
                  <c:y val="-3.9519372005104867E-3"/>
                </c:manualLayout>
              </c:layout>
              <c:dLblPos val="outEnd"/>
              <c:showLegendKey val="0"/>
              <c:showVal val="1"/>
              <c:showCatName val="0"/>
              <c:showSerName val="0"/>
              <c:showPercent val="0"/>
              <c:showBubbleSize val="0"/>
            </c:dLbl>
            <c:dLbl>
              <c:idx val="5"/>
              <c:layout>
                <c:manualLayout>
                  <c:x val="2.3108030040439051E-3"/>
                  <c:y val="-3.669724770642202E-2"/>
                </c:manualLayout>
              </c:layout>
              <c:showLegendKey val="0"/>
              <c:showVal val="1"/>
              <c:showCatName val="0"/>
              <c:showSerName val="0"/>
              <c:showPercent val="0"/>
              <c:showBubbleSize val="0"/>
            </c:dLbl>
            <c:dLbl>
              <c:idx val="6"/>
              <c:layout>
                <c:manualLayout>
                  <c:x val="4.3369477471047252E-3"/>
                  <c:y val="4.5955322949400492E-3"/>
                </c:manualLayout>
              </c:layout>
              <c:dLblPos val="outEnd"/>
              <c:showLegendKey val="0"/>
              <c:showVal val="1"/>
              <c:showCatName val="0"/>
              <c:showSerName val="0"/>
              <c:showPercent val="0"/>
              <c:showBubbleSize val="0"/>
            </c:dLbl>
            <c:dLbl>
              <c:idx val="7"/>
              <c:layout>
                <c:manualLayout>
                  <c:x val="4.2364232345577792E-17"/>
                  <c:y val="-2.4615384615384615E-2"/>
                </c:manualLayout>
              </c:layout>
              <c:dLblPos val="outEnd"/>
              <c:showLegendKey val="0"/>
              <c:showVal val="1"/>
              <c:showCatName val="0"/>
              <c:showSerName val="0"/>
              <c:showPercent val="0"/>
              <c:showBubbleSize val="0"/>
            </c:dLbl>
            <c:dLbl>
              <c:idx val="8"/>
              <c:layout>
                <c:manualLayout>
                  <c:x val="-2.9805719692317491E-3"/>
                  <c:y val="4.7027660004037956E-3"/>
                </c:manualLayout>
              </c:layout>
              <c:dLblPos val="outEnd"/>
              <c:showLegendKey val="0"/>
              <c:showVal val="1"/>
              <c:showCatName val="0"/>
              <c:showSerName val="0"/>
              <c:showPercent val="0"/>
              <c:showBubbleSize val="0"/>
            </c:dLbl>
            <c:dLbl>
              <c:idx val="9"/>
              <c:layout>
                <c:manualLayout>
                  <c:x val="6.9324090121317154E-3"/>
                  <c:y val="-1.2307692307692308E-2"/>
                </c:manualLayout>
              </c:layout>
              <c:dLblPos val="outEnd"/>
              <c:showLegendKey val="0"/>
              <c:showVal val="1"/>
              <c:showCatName val="0"/>
              <c:showSerName val="0"/>
              <c:showPercent val="0"/>
              <c:showBubbleSize val="0"/>
            </c:dLbl>
            <c:dLbl>
              <c:idx val="10"/>
              <c:layout>
                <c:manualLayout>
                  <c:x val="3.5666878400075854E-3"/>
                  <c:y val="-2.8145241349994157E-2"/>
                </c:manualLayout>
              </c:layout>
              <c:dLblPos val="outEnd"/>
              <c:showLegendKey val="0"/>
              <c:showVal val="1"/>
              <c:showCatName val="0"/>
              <c:showSerName val="0"/>
              <c:showPercent val="0"/>
              <c:showBubbleSize val="0"/>
            </c:dLbl>
            <c:dLbl>
              <c:idx val="11"/>
              <c:layout>
                <c:manualLayout>
                  <c:x val="-1.2476516691912645E-3"/>
                  <c:y val="-2.2090587300440657E-2"/>
                </c:manualLayout>
              </c:layout>
              <c:dLblPos val="outEnd"/>
              <c:showLegendKey val="0"/>
              <c:showVal val="1"/>
              <c:showCatName val="0"/>
              <c:showSerName val="0"/>
              <c:showPercent val="0"/>
              <c:showBubbleSize val="0"/>
            </c:dLbl>
            <c:dLbl>
              <c:idx val="12"/>
              <c:layout>
                <c:manualLayout>
                  <c:x val="3.181557886458877E-3"/>
                  <c:y val="3.6574341725899586E-3"/>
                </c:manualLayout>
              </c:layout>
              <c:dLblPos val="outEnd"/>
              <c:showLegendKey val="0"/>
              <c:showVal val="1"/>
              <c:showCatName val="0"/>
              <c:showSerName val="0"/>
              <c:showPercent val="0"/>
              <c:showBubbleSize val="0"/>
            </c:dLbl>
            <c:dLbl>
              <c:idx val="13"/>
              <c:layout>
                <c:manualLayout>
                  <c:x val="6.9324090121316313E-3"/>
                  <c:y val="-2.0387359836901122E-2"/>
                </c:manualLayout>
              </c:layout>
              <c:showLegendKey val="0"/>
              <c:showVal val="1"/>
              <c:showCatName val="0"/>
              <c:showSerName val="0"/>
              <c:showPercent val="0"/>
              <c:showBubbleSize val="0"/>
            </c:dLbl>
            <c:dLbl>
              <c:idx val="14"/>
              <c:layout>
                <c:manualLayout>
                  <c:x val="4.5295316525672379E-3"/>
                  <c:y val="-1.7798333128021083E-4"/>
                </c:manualLayout>
              </c:layout>
              <c:dLblPos val="outEnd"/>
              <c:showLegendKey val="0"/>
              <c:showVal val="1"/>
              <c:showCatName val="0"/>
              <c:showSerName val="0"/>
              <c:showPercent val="0"/>
              <c:showBubbleSize val="0"/>
            </c:dLbl>
            <c:dLbl>
              <c:idx val="15"/>
              <c:layout>
                <c:manualLayout>
                  <c:x val="4.3368495749123211E-3"/>
                  <c:y val="-2.0222087623662427E-2"/>
                </c:manualLayout>
              </c:layout>
              <c:dLblPos val="outEnd"/>
              <c:showLegendKey val="0"/>
              <c:showVal val="1"/>
              <c:showCatName val="0"/>
              <c:showSerName val="0"/>
              <c:showPercent val="0"/>
              <c:showBubbleSize val="0"/>
            </c:dLbl>
            <c:dLbl>
              <c:idx val="17"/>
              <c:layout>
                <c:manualLayout>
                  <c:x val="0"/>
                  <c:y val="-2.4464831804281346E-2"/>
                </c:manualLayout>
              </c:layout>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TR!$C$4:$C$21</c:f>
              <c:numCache>
                <c:formatCode>0.00</c:formatCode>
                <c:ptCount val="18"/>
                <c:pt idx="0">
                  <c:v>0.99</c:v>
                </c:pt>
                <c:pt idx="1">
                  <c:v>0.96</c:v>
                </c:pt>
                <c:pt idx="2">
                  <c:v>0.97</c:v>
                </c:pt>
                <c:pt idx="3">
                  <c:v>0.95</c:v>
                </c:pt>
                <c:pt idx="4">
                  <c:v>0.96</c:v>
                </c:pt>
                <c:pt idx="5">
                  <c:v>0.97</c:v>
                </c:pt>
                <c:pt idx="6">
                  <c:v>0.96</c:v>
                </c:pt>
                <c:pt idx="7">
                  <c:v>0.96</c:v>
                </c:pt>
                <c:pt idx="8">
                  <c:v>0.97</c:v>
                </c:pt>
                <c:pt idx="9">
                  <c:v>0.98</c:v>
                </c:pt>
                <c:pt idx="10">
                  <c:v>0.99</c:v>
                </c:pt>
                <c:pt idx="11">
                  <c:v>0.93</c:v>
                </c:pt>
                <c:pt idx="12">
                  <c:v>0.98</c:v>
                </c:pt>
                <c:pt idx="13">
                  <c:v>1.01</c:v>
                </c:pt>
                <c:pt idx="14">
                  <c:v>0.98</c:v>
                </c:pt>
                <c:pt idx="15">
                  <c:v>0.99</c:v>
                </c:pt>
                <c:pt idx="16">
                  <c:v>0.95</c:v>
                </c:pt>
                <c:pt idx="17">
                  <c:v>0.97</c:v>
                </c:pt>
              </c:numCache>
            </c:numRef>
          </c:val>
        </c:ser>
        <c:dLbls>
          <c:showLegendKey val="0"/>
          <c:showVal val="0"/>
          <c:showCatName val="0"/>
          <c:showSerName val="0"/>
          <c:showPercent val="0"/>
          <c:showBubbleSize val="0"/>
        </c:dLbls>
        <c:gapWidth val="150"/>
        <c:axId val="242409472"/>
        <c:axId val="295904384"/>
      </c:barChart>
      <c:lineChart>
        <c:grouping val="standard"/>
        <c:varyColors val="0"/>
        <c:ser>
          <c:idx val="2"/>
          <c:order val="2"/>
          <c:tx>
            <c:v>España 2017</c:v>
          </c:tx>
          <c:spPr>
            <a:ln w="25400">
              <a:solidFill>
                <a:srgbClr val="000000"/>
              </a:solidFill>
              <a:prstDash val="solid"/>
            </a:ln>
          </c:spPr>
          <c:marker>
            <c:symbol val="none"/>
          </c:marker>
          <c:val>
            <c:numRef>
              <c:f>TR!$D$4:$D$21</c:f>
              <c:numCache>
                <c:formatCode>0.00</c:formatCode>
                <c:ptCount val="18"/>
                <c:pt idx="0">
                  <c:v>0.98</c:v>
                </c:pt>
                <c:pt idx="1">
                  <c:v>0.98</c:v>
                </c:pt>
                <c:pt idx="2">
                  <c:v>0.98</c:v>
                </c:pt>
                <c:pt idx="3">
                  <c:v>0.98</c:v>
                </c:pt>
                <c:pt idx="4">
                  <c:v>0.98</c:v>
                </c:pt>
                <c:pt idx="5">
                  <c:v>0.98</c:v>
                </c:pt>
                <c:pt idx="6">
                  <c:v>0.98</c:v>
                </c:pt>
                <c:pt idx="7">
                  <c:v>0.98</c:v>
                </c:pt>
                <c:pt idx="8">
                  <c:v>0.98</c:v>
                </c:pt>
                <c:pt idx="9">
                  <c:v>0.98</c:v>
                </c:pt>
                <c:pt idx="10">
                  <c:v>0.98</c:v>
                </c:pt>
                <c:pt idx="11">
                  <c:v>0.98</c:v>
                </c:pt>
                <c:pt idx="12">
                  <c:v>0.98</c:v>
                </c:pt>
                <c:pt idx="13">
                  <c:v>0.98</c:v>
                </c:pt>
                <c:pt idx="14">
                  <c:v>0.98</c:v>
                </c:pt>
                <c:pt idx="15">
                  <c:v>0.98</c:v>
                </c:pt>
                <c:pt idx="16">
                  <c:v>0.98</c:v>
                </c:pt>
                <c:pt idx="17">
                  <c:v>0.98</c:v>
                </c:pt>
              </c:numCache>
            </c:numRef>
          </c:val>
          <c:smooth val="0"/>
        </c:ser>
        <c:dLbls>
          <c:showLegendKey val="0"/>
          <c:showVal val="0"/>
          <c:showCatName val="0"/>
          <c:showSerName val="0"/>
          <c:showPercent val="0"/>
          <c:showBubbleSize val="0"/>
        </c:dLbls>
        <c:marker val="1"/>
        <c:smooth val="0"/>
        <c:axId val="242411520"/>
        <c:axId val="295904960"/>
      </c:lineChart>
      <c:catAx>
        <c:axId val="2424094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295904384"/>
        <c:crosses val="autoZero"/>
        <c:auto val="0"/>
        <c:lblAlgn val="ctr"/>
        <c:lblOffset val="100"/>
        <c:tickLblSkip val="1"/>
        <c:tickMarkSkip val="1"/>
        <c:noMultiLvlLbl val="0"/>
      </c:catAx>
      <c:valAx>
        <c:axId val="295904384"/>
        <c:scaling>
          <c:orientation val="minMax"/>
          <c:max val="1.2"/>
          <c:min val="0"/>
        </c:scaling>
        <c:delete val="0"/>
        <c:axPos val="l"/>
        <c:numFmt formatCode="0.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242409472"/>
        <c:crosses val="autoZero"/>
        <c:crossBetween val="between"/>
        <c:majorUnit val="0.5"/>
        <c:minorUnit val="0.5"/>
      </c:valAx>
      <c:catAx>
        <c:axId val="242411520"/>
        <c:scaling>
          <c:orientation val="minMax"/>
        </c:scaling>
        <c:delete val="1"/>
        <c:axPos val="b"/>
        <c:majorTickMark val="out"/>
        <c:minorTickMark val="none"/>
        <c:tickLblPos val="nextTo"/>
        <c:crossAx val="295904960"/>
        <c:crosses val="autoZero"/>
        <c:auto val="0"/>
        <c:lblAlgn val="ctr"/>
        <c:lblOffset val="100"/>
        <c:noMultiLvlLbl val="0"/>
      </c:catAx>
      <c:valAx>
        <c:axId val="295904960"/>
        <c:scaling>
          <c:orientation val="minMax"/>
        </c:scaling>
        <c:delete val="1"/>
        <c:axPos val="l"/>
        <c:numFmt formatCode="0.00" sourceLinked="1"/>
        <c:majorTickMark val="out"/>
        <c:minorTickMark val="none"/>
        <c:tickLblPos val="nextTo"/>
        <c:crossAx val="242411520"/>
        <c:crosses val="autoZero"/>
        <c:crossBetween val="between"/>
      </c:valAx>
      <c:spPr>
        <a:solidFill>
          <a:srgbClr val="99CCFF"/>
        </a:solidFill>
        <a:ln w="12700">
          <a:solidFill>
            <a:srgbClr val="808080"/>
          </a:solidFill>
          <a:prstDash val="solid"/>
        </a:ln>
      </c:spPr>
    </c:plotArea>
    <c:legend>
      <c:legendPos val="r"/>
      <c:layout>
        <c:manualLayout>
          <c:xMode val="edge"/>
          <c:yMode val="edge"/>
          <c:x val="0.80589327547228173"/>
          <c:y val="0.35384687005867388"/>
          <c:w val="0.18024281626841698"/>
          <c:h val="0.17846195831025713"/>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Tasa de pendencia</a:t>
            </a:r>
          </a:p>
        </c:rich>
      </c:tx>
      <c:layout>
        <c:manualLayout>
          <c:xMode val="edge"/>
          <c:yMode val="edge"/>
          <c:x val="0.37133042307535391"/>
          <c:y val="3.3639143730886847E-2"/>
        </c:manualLayout>
      </c:layout>
      <c:overlay val="0"/>
      <c:spPr>
        <a:noFill/>
        <a:ln w="25400">
          <a:noFill/>
        </a:ln>
      </c:spPr>
    </c:title>
    <c:autoTitleDeleted val="0"/>
    <c:plotArea>
      <c:layout>
        <c:manualLayout>
          <c:layoutTarget val="inner"/>
          <c:xMode val="edge"/>
          <c:yMode val="edge"/>
          <c:x val="9.6718643267357629E-2"/>
          <c:y val="0.20795169136949115"/>
          <c:w val="0.69084745190969732"/>
          <c:h val="0.47094941868972995"/>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TP!$B$49:$B$66</c:f>
              <c:numCache>
                <c:formatCode>0.00</c:formatCode>
                <c:ptCount val="18"/>
                <c:pt idx="0">
                  <c:v>0.17978351499750642</c:v>
                </c:pt>
                <c:pt idx="1">
                  <c:v>0.15723483948354097</c:v>
                </c:pt>
                <c:pt idx="2">
                  <c:v>0.15352837899644434</c:v>
                </c:pt>
                <c:pt idx="3">
                  <c:v>0.22831310666793414</c:v>
                </c:pt>
                <c:pt idx="4">
                  <c:v>0.14593337506339465</c:v>
                </c:pt>
                <c:pt idx="5">
                  <c:v>0.16811990506655661</c:v>
                </c:pt>
                <c:pt idx="6">
                  <c:v>0.20690862651396555</c:v>
                </c:pt>
                <c:pt idx="7">
                  <c:v>0.32740124201475196</c:v>
                </c:pt>
                <c:pt idx="8">
                  <c:v>0.23888157608674168</c:v>
                </c:pt>
                <c:pt idx="9">
                  <c:v>0.2070780385230141</c:v>
                </c:pt>
                <c:pt idx="10">
                  <c:v>0.26237107614327188</c:v>
                </c:pt>
                <c:pt idx="11">
                  <c:v>0.19117733844791973</c:v>
                </c:pt>
                <c:pt idx="12">
                  <c:v>0.20458933650964586</c:v>
                </c:pt>
                <c:pt idx="13">
                  <c:v>0.18668130751449213</c:v>
                </c:pt>
                <c:pt idx="14">
                  <c:v>0.23115056191440214</c:v>
                </c:pt>
                <c:pt idx="15">
                  <c:v>0.15714864317537464</c:v>
                </c:pt>
                <c:pt idx="16">
                  <c:v>0.20796258617024507</c:v>
                </c:pt>
                <c:pt idx="17">
                  <c:v>0.31856236786469344</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0"/>
              <c:layout>
                <c:manualLayout>
                  <c:x val="-5.5886019428918535E-3"/>
                  <c:y val="-1.4296515687832674E-2"/>
                </c:manualLayout>
              </c:layout>
              <c:dLblPos val="outEnd"/>
              <c:showLegendKey val="0"/>
              <c:showVal val="1"/>
              <c:showCatName val="0"/>
              <c:showSerName val="0"/>
              <c:showPercent val="0"/>
              <c:showBubbleSize val="0"/>
            </c:dLbl>
            <c:dLbl>
              <c:idx val="1"/>
              <c:layout>
                <c:manualLayout>
                  <c:x val="-4.8210553991631664E-3"/>
                  <c:y val="9.1345003892862008E-3"/>
                </c:manualLayout>
              </c:layout>
              <c:dLblPos val="outEnd"/>
              <c:showLegendKey val="0"/>
              <c:showVal val="1"/>
              <c:showCatName val="0"/>
              <c:showSerName val="0"/>
              <c:showPercent val="0"/>
              <c:showBubbleSize val="0"/>
            </c:dLbl>
            <c:dLbl>
              <c:idx val="2"/>
              <c:layout>
                <c:manualLayout>
                  <c:x val="-5.9916744429109117E-4"/>
                  <c:y val="-3.3433322014870835E-2"/>
                </c:manualLayout>
              </c:layout>
              <c:dLblPos val="outEnd"/>
              <c:showLegendKey val="0"/>
              <c:showVal val="1"/>
              <c:showCatName val="0"/>
              <c:showSerName val="0"/>
              <c:showPercent val="0"/>
              <c:showBubbleSize val="0"/>
            </c:dLbl>
            <c:dLbl>
              <c:idx val="6"/>
              <c:layout>
                <c:manualLayout>
                  <c:x val="3.0469890544723858E-3"/>
                  <c:y val="3.4954196502555131E-3"/>
                </c:manualLayout>
              </c:layout>
              <c:dLblPos val="outEnd"/>
              <c:showLegendKey val="0"/>
              <c:showVal val="1"/>
              <c:showCatName val="0"/>
              <c:showSerName val="0"/>
              <c:showPercent val="0"/>
              <c:showBubbleSize val="0"/>
            </c:dLbl>
            <c:dLbl>
              <c:idx val="8"/>
              <c:layout>
                <c:manualLayout>
                  <c:x val="4.0065079889669668E-3"/>
                  <c:y val="-8.7841830544158981E-3"/>
                </c:manualLayout>
              </c:layout>
              <c:dLblPos val="outEnd"/>
              <c:showLegendKey val="0"/>
              <c:showVal val="1"/>
              <c:showCatName val="0"/>
              <c:showSerName val="0"/>
              <c:showPercent val="0"/>
              <c:showBubbleSize val="0"/>
            </c:dLbl>
            <c:dLbl>
              <c:idx val="9"/>
              <c:layout>
                <c:manualLayout>
                  <c:x val="0"/>
                  <c:y val="8.1549439347604492E-3"/>
                </c:manualLayout>
              </c:layout>
              <c:showLegendKey val="0"/>
              <c:showVal val="1"/>
              <c:showCatName val="0"/>
              <c:showSerName val="0"/>
              <c:showPercent val="0"/>
              <c:showBubbleSize val="0"/>
            </c:dLbl>
            <c:dLbl>
              <c:idx val="10"/>
              <c:layout>
                <c:manualLayout>
                  <c:x val="3.2389082936873422E-3"/>
                  <c:y val="-2.8052140927199588E-2"/>
                </c:manualLayout>
              </c:layout>
              <c:dLblPos val="outEnd"/>
              <c:showLegendKey val="0"/>
              <c:showVal val="1"/>
              <c:showCatName val="0"/>
              <c:showSerName val="0"/>
              <c:showPercent val="0"/>
              <c:showBubbleSize val="0"/>
            </c:dLbl>
            <c:dLbl>
              <c:idx val="11"/>
              <c:layout>
                <c:manualLayout>
                  <c:x val="2.8549540115775682E-3"/>
                  <c:y val="1.0967436409898305E-3"/>
                </c:manualLayout>
              </c:layout>
              <c:dLblPos val="outEnd"/>
              <c:showLegendKey val="0"/>
              <c:showVal val="1"/>
              <c:showCatName val="0"/>
              <c:showSerName val="0"/>
              <c:showPercent val="0"/>
              <c:showBubbleSize val="0"/>
            </c:dLbl>
            <c:dLbl>
              <c:idx val="12"/>
              <c:layout>
                <c:manualLayout>
                  <c:x val="6.5012080743793877E-3"/>
                  <c:y val="-9.3576376347451976E-3"/>
                </c:manualLayout>
              </c:layout>
              <c:dLblPos val="outEnd"/>
              <c:showLegendKey val="0"/>
              <c:showVal val="1"/>
              <c:showCatName val="0"/>
              <c:showSerName val="0"/>
              <c:showPercent val="0"/>
              <c:showBubbleSize val="0"/>
            </c:dLbl>
            <c:dLbl>
              <c:idx val="13"/>
              <c:layout>
                <c:manualLayout>
                  <c:x val="0"/>
                  <c:y val="1.6309887869520822E-2"/>
                </c:manualLayout>
              </c:layout>
              <c:showLegendKey val="0"/>
              <c:showVal val="1"/>
              <c:showCatName val="0"/>
              <c:showSerName val="0"/>
              <c:showPercent val="0"/>
              <c:showBubbleSize val="0"/>
            </c:dLbl>
            <c:dLbl>
              <c:idx val="14"/>
              <c:layout>
                <c:manualLayout>
                  <c:x val="3.4308275329022436E-3"/>
                  <c:y val="-7.7148300413736378E-3"/>
                </c:manualLayout>
              </c:layout>
              <c:dLblPos val="outEnd"/>
              <c:showLegendKey val="0"/>
              <c:showVal val="1"/>
              <c:showCatName val="0"/>
              <c:showSerName val="0"/>
              <c:showPercent val="0"/>
              <c:showBubbleSize val="0"/>
            </c:dLbl>
            <c:dLbl>
              <c:idx val="15"/>
              <c:layout>
                <c:manualLayout>
                  <c:x val="3.0470276852623485E-3"/>
                  <c:y val="2.0142095801502558E-3"/>
                </c:manualLayout>
              </c:layout>
              <c:dLblPos val="outEnd"/>
              <c:showLegendKey val="0"/>
              <c:showVal val="1"/>
              <c:showCatName val="0"/>
              <c:showSerName val="0"/>
              <c:showPercent val="0"/>
              <c:showBubbleSize val="0"/>
            </c:dLbl>
            <c:dLbl>
              <c:idx val="17"/>
              <c:layout>
                <c:manualLayout>
                  <c:x val="5.7336652495311889E-3"/>
                  <c:y val="-2.9208877270754691E-2"/>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TC!$A$77:$A$94</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TP!$C$49:$C$66</c:f>
              <c:numCache>
                <c:formatCode>0.00</c:formatCode>
                <c:ptCount val="18"/>
                <c:pt idx="0">
                  <c:v>0.19</c:v>
                </c:pt>
                <c:pt idx="1">
                  <c:v>0.15</c:v>
                </c:pt>
                <c:pt idx="2">
                  <c:v>0.17</c:v>
                </c:pt>
                <c:pt idx="3">
                  <c:v>0.26</c:v>
                </c:pt>
                <c:pt idx="4">
                  <c:v>0.15</c:v>
                </c:pt>
                <c:pt idx="5">
                  <c:v>0.17</c:v>
                </c:pt>
                <c:pt idx="6">
                  <c:v>0.22</c:v>
                </c:pt>
                <c:pt idx="7">
                  <c:v>0.35</c:v>
                </c:pt>
                <c:pt idx="8">
                  <c:v>0.23</c:v>
                </c:pt>
                <c:pt idx="9">
                  <c:v>0.22</c:v>
                </c:pt>
                <c:pt idx="10">
                  <c:v>0.26</c:v>
                </c:pt>
                <c:pt idx="11">
                  <c:v>0.21</c:v>
                </c:pt>
                <c:pt idx="12">
                  <c:v>0.23</c:v>
                </c:pt>
                <c:pt idx="13">
                  <c:v>0.19</c:v>
                </c:pt>
                <c:pt idx="14">
                  <c:v>0.27</c:v>
                </c:pt>
                <c:pt idx="15">
                  <c:v>0.14000000000000001</c:v>
                </c:pt>
                <c:pt idx="16">
                  <c:v>0.24</c:v>
                </c:pt>
                <c:pt idx="17">
                  <c:v>0.33</c:v>
                </c:pt>
              </c:numCache>
            </c:numRef>
          </c:val>
        </c:ser>
        <c:dLbls>
          <c:showLegendKey val="0"/>
          <c:showVal val="0"/>
          <c:showCatName val="0"/>
          <c:showSerName val="0"/>
          <c:showPercent val="0"/>
          <c:showBubbleSize val="0"/>
        </c:dLbls>
        <c:gapWidth val="150"/>
        <c:axId val="233286656"/>
        <c:axId val="295908416"/>
      </c:barChart>
      <c:lineChart>
        <c:grouping val="standard"/>
        <c:varyColors val="0"/>
        <c:ser>
          <c:idx val="2"/>
          <c:order val="2"/>
          <c:tx>
            <c:v>España 2017</c:v>
          </c:tx>
          <c:spPr>
            <a:ln w="25400">
              <a:solidFill>
                <a:srgbClr val="000000"/>
              </a:solidFill>
              <a:prstDash val="solid"/>
            </a:ln>
          </c:spPr>
          <c:marker>
            <c:symbol val="none"/>
          </c:marker>
          <c:val>
            <c:numRef>
              <c:f>TP!$D$49:$D$66</c:f>
              <c:numCache>
                <c:formatCode>0.00</c:formatCode>
                <c:ptCount val="18"/>
                <c:pt idx="0">
                  <c:v>0.22</c:v>
                </c:pt>
                <c:pt idx="1">
                  <c:v>0.22</c:v>
                </c:pt>
                <c:pt idx="2">
                  <c:v>0.22</c:v>
                </c:pt>
                <c:pt idx="3">
                  <c:v>0.22</c:v>
                </c:pt>
                <c:pt idx="4">
                  <c:v>0.22</c:v>
                </c:pt>
                <c:pt idx="5">
                  <c:v>0.22</c:v>
                </c:pt>
                <c:pt idx="6">
                  <c:v>0.22</c:v>
                </c:pt>
                <c:pt idx="7">
                  <c:v>0.22</c:v>
                </c:pt>
                <c:pt idx="8">
                  <c:v>0.22</c:v>
                </c:pt>
                <c:pt idx="9">
                  <c:v>0.22</c:v>
                </c:pt>
                <c:pt idx="10">
                  <c:v>0.22</c:v>
                </c:pt>
                <c:pt idx="11">
                  <c:v>0.22</c:v>
                </c:pt>
                <c:pt idx="12">
                  <c:v>0.22</c:v>
                </c:pt>
                <c:pt idx="13">
                  <c:v>0.22</c:v>
                </c:pt>
                <c:pt idx="14">
                  <c:v>0.22</c:v>
                </c:pt>
                <c:pt idx="15">
                  <c:v>0.22</c:v>
                </c:pt>
                <c:pt idx="16">
                  <c:v>0.22</c:v>
                </c:pt>
                <c:pt idx="17">
                  <c:v>0.22</c:v>
                </c:pt>
              </c:numCache>
            </c:numRef>
          </c:val>
          <c:smooth val="0"/>
        </c:ser>
        <c:dLbls>
          <c:showLegendKey val="0"/>
          <c:showVal val="0"/>
          <c:showCatName val="0"/>
          <c:showSerName val="0"/>
          <c:showPercent val="0"/>
          <c:showBubbleSize val="0"/>
        </c:dLbls>
        <c:marker val="1"/>
        <c:smooth val="0"/>
        <c:axId val="288571392"/>
        <c:axId val="295908992"/>
      </c:lineChart>
      <c:catAx>
        <c:axId val="2332866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s-ES"/>
          </a:p>
        </c:txPr>
        <c:crossAx val="295908416"/>
        <c:crosses val="autoZero"/>
        <c:auto val="0"/>
        <c:lblAlgn val="ctr"/>
        <c:lblOffset val="100"/>
        <c:tickLblSkip val="1"/>
        <c:tickMarkSkip val="1"/>
        <c:noMultiLvlLbl val="0"/>
      </c:catAx>
      <c:valAx>
        <c:axId val="295908416"/>
        <c:scaling>
          <c:orientation val="minMax"/>
          <c:max val="0.5"/>
          <c:min val="0"/>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Verdana" panose="020B0604030504040204" pitchFamily="34" charset="0"/>
                <a:ea typeface="Arial"/>
                <a:cs typeface="Arial"/>
              </a:defRPr>
            </a:pPr>
            <a:endParaRPr lang="es-ES"/>
          </a:p>
        </c:txPr>
        <c:crossAx val="233286656"/>
        <c:crosses val="autoZero"/>
        <c:crossBetween val="between"/>
        <c:majorUnit val="0.2"/>
        <c:minorUnit val="0.1"/>
      </c:valAx>
      <c:catAx>
        <c:axId val="288571392"/>
        <c:scaling>
          <c:orientation val="minMax"/>
        </c:scaling>
        <c:delete val="1"/>
        <c:axPos val="b"/>
        <c:majorTickMark val="out"/>
        <c:minorTickMark val="none"/>
        <c:tickLblPos val="nextTo"/>
        <c:crossAx val="295908992"/>
        <c:crosses val="autoZero"/>
        <c:auto val="0"/>
        <c:lblAlgn val="ctr"/>
        <c:lblOffset val="100"/>
        <c:noMultiLvlLbl val="0"/>
      </c:catAx>
      <c:valAx>
        <c:axId val="295908992"/>
        <c:scaling>
          <c:orientation val="minMax"/>
        </c:scaling>
        <c:delete val="1"/>
        <c:axPos val="l"/>
        <c:numFmt formatCode="0.00" sourceLinked="1"/>
        <c:majorTickMark val="out"/>
        <c:minorTickMark val="none"/>
        <c:tickLblPos val="nextTo"/>
        <c:crossAx val="288571392"/>
        <c:crosses val="autoZero"/>
        <c:crossBetween val="between"/>
      </c:valAx>
      <c:spPr>
        <a:solidFill>
          <a:srgbClr val="99CCFF"/>
        </a:solidFill>
        <a:ln w="12700">
          <a:solidFill>
            <a:srgbClr val="808080"/>
          </a:solidFill>
          <a:prstDash val="solid"/>
        </a:ln>
      </c:spPr>
    </c:plotArea>
    <c:legend>
      <c:legendPos val="r"/>
      <c:layout>
        <c:manualLayout>
          <c:xMode val="edge"/>
          <c:yMode val="edge"/>
          <c:x val="0.80656449031953903"/>
          <c:y val="0.35474102434443405"/>
          <c:w val="0.17962039719128375"/>
          <c:h val="0.17737067270260937"/>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Tasa de congestión</a:t>
            </a:r>
          </a:p>
        </c:rich>
      </c:tx>
      <c:layout>
        <c:manualLayout>
          <c:xMode val="edge"/>
          <c:yMode val="edge"/>
          <c:x val="0.36568493929593288"/>
          <c:y val="3.5502958579881658E-2"/>
        </c:manualLayout>
      </c:layout>
      <c:overlay val="0"/>
      <c:spPr>
        <a:noFill/>
        <a:ln w="25400">
          <a:noFill/>
        </a:ln>
      </c:spPr>
    </c:title>
    <c:autoTitleDeleted val="0"/>
    <c:plotArea>
      <c:layout>
        <c:manualLayout>
          <c:layoutTarget val="inner"/>
          <c:xMode val="edge"/>
          <c:yMode val="edge"/>
          <c:x val="9.7053808300788275E-2"/>
          <c:y val="0.20118343195266272"/>
          <c:w val="0.68977528042345948"/>
          <c:h val="0.48816568047337278"/>
        </c:manualLayout>
      </c:layout>
      <c:barChart>
        <c:barDir val="col"/>
        <c:grouping val="clustered"/>
        <c:varyColors val="0"/>
        <c:ser>
          <c:idx val="1"/>
          <c:order val="0"/>
          <c:tx>
            <c:v>2016</c:v>
          </c:tx>
          <c:spPr>
            <a:solidFill>
              <a:srgbClr val="FFCC00"/>
            </a:solidFill>
            <a:ln w="12700">
              <a:solidFill>
                <a:srgbClr val="000000"/>
              </a:solidFill>
              <a:prstDash val="solid"/>
            </a:ln>
          </c:spPr>
          <c:invertIfNegative val="0"/>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TC!$B$4:$B$21</c:f>
              <c:numCache>
                <c:formatCode>0.00</c:formatCode>
                <c:ptCount val="18"/>
                <c:pt idx="0">
                  <c:v>1.3797109088804562</c:v>
                </c:pt>
                <c:pt idx="1">
                  <c:v>1.269149994473306</c:v>
                </c:pt>
                <c:pt idx="2">
                  <c:v>1.2647963962356719</c:v>
                </c:pt>
                <c:pt idx="3">
                  <c:v>1.3779830186089377</c:v>
                </c:pt>
                <c:pt idx="4">
                  <c:v>1.3016315055844072</c:v>
                </c:pt>
                <c:pt idx="5">
                  <c:v>1.2667092268806837</c:v>
                </c:pt>
                <c:pt idx="6">
                  <c:v>1.3104983802378465</c:v>
                </c:pt>
                <c:pt idx="7">
                  <c:v>1.5116959611069558</c:v>
                </c:pt>
                <c:pt idx="8">
                  <c:v>1.393786818446114</c:v>
                </c:pt>
                <c:pt idx="9">
                  <c:v>1.371540929817366</c:v>
                </c:pt>
                <c:pt idx="10">
                  <c:v>1.3960795357696041</c:v>
                </c:pt>
                <c:pt idx="11">
                  <c:v>1.3055099772402476</c:v>
                </c:pt>
                <c:pt idx="12">
                  <c:v>1.3769028779292478</c:v>
                </c:pt>
                <c:pt idx="13">
                  <c:v>1.3463299190350029</c:v>
                </c:pt>
                <c:pt idx="14">
                  <c:v>1.4744987099526643</c:v>
                </c:pt>
                <c:pt idx="15">
                  <c:v>1.2417538407317816</c:v>
                </c:pt>
                <c:pt idx="16">
                  <c:v>1.3193565468631916</c:v>
                </c:pt>
                <c:pt idx="17">
                  <c:v>1.4123141507783803</c:v>
                </c:pt>
              </c:numCache>
            </c:numRef>
          </c:val>
        </c:ser>
        <c:ser>
          <c:idx val="0"/>
          <c:order val="1"/>
          <c:tx>
            <c:v>2017</c:v>
          </c:tx>
          <c:spPr>
            <a:solidFill>
              <a:srgbClr val="0000FF"/>
            </a:solidFill>
            <a:ln w="12700">
              <a:solidFill>
                <a:srgbClr val="000000"/>
              </a:solidFill>
              <a:prstDash val="solid"/>
            </a:ln>
          </c:spPr>
          <c:invertIfNegative val="0"/>
          <c:dPt>
            <c:idx val="9"/>
            <c:invertIfNegative val="0"/>
            <c:bubble3D val="0"/>
            <c:spPr>
              <a:solidFill>
                <a:srgbClr val="FF0000"/>
              </a:solidFill>
              <a:ln w="12700">
                <a:solidFill>
                  <a:srgbClr val="000000"/>
                </a:solidFill>
                <a:prstDash val="solid"/>
              </a:ln>
            </c:spPr>
          </c:dPt>
          <c:dLbls>
            <c:dLbl>
              <c:idx val="1"/>
              <c:layout>
                <c:manualLayout>
                  <c:x val="1.3965200252764707E-2"/>
                  <c:y val="-3.2371989004333031E-2"/>
                </c:manualLayout>
              </c:layout>
              <c:dLblPos val="outEnd"/>
              <c:showLegendKey val="0"/>
              <c:showVal val="1"/>
              <c:showCatName val="0"/>
              <c:showSerName val="0"/>
              <c:showPercent val="0"/>
              <c:showBubbleSize val="0"/>
            </c:dLbl>
            <c:dLbl>
              <c:idx val="2"/>
              <c:layout>
                <c:manualLayout>
                  <c:x val="2.1182116172788896E-17"/>
                  <c:y val="1.5779092702169588E-2"/>
                </c:manualLayout>
              </c:layout>
              <c:dLblPos val="outEnd"/>
              <c:showLegendKey val="0"/>
              <c:showVal val="1"/>
              <c:showCatName val="0"/>
              <c:showSerName val="0"/>
              <c:showPercent val="0"/>
              <c:showBubbleSize val="0"/>
            </c:dLbl>
            <c:dLbl>
              <c:idx val="5"/>
              <c:layout>
                <c:manualLayout>
                  <c:x val="2.3108030040439051E-3"/>
                  <c:y val="2.3668639053254437E-2"/>
                </c:manualLayout>
              </c:layout>
              <c:dLblPos val="outEnd"/>
              <c:showLegendKey val="0"/>
              <c:showVal val="1"/>
              <c:showCatName val="0"/>
              <c:showSerName val="0"/>
              <c:showPercent val="0"/>
              <c:showBubbleSize val="0"/>
            </c:dLbl>
            <c:dLbl>
              <c:idx val="6"/>
              <c:layout>
                <c:manualLayout>
                  <c:x val="4.6216060080878103E-3"/>
                  <c:y val="-1.9723865877712032E-2"/>
                </c:manualLayout>
              </c:layout>
              <c:dLblPos val="outEnd"/>
              <c:showLegendKey val="0"/>
              <c:showVal val="1"/>
              <c:showCatName val="0"/>
              <c:showSerName val="0"/>
              <c:showPercent val="0"/>
              <c:showBubbleSize val="0"/>
            </c:dLbl>
            <c:dLbl>
              <c:idx val="9"/>
              <c:layout>
                <c:manualLayout>
                  <c:x val="6.9324090121317154E-3"/>
                  <c:y val="1.1834319526627182E-2"/>
                </c:manualLayout>
              </c:layout>
              <c:dLblPos val="outEnd"/>
              <c:showLegendKey val="0"/>
              <c:showVal val="1"/>
              <c:showCatName val="0"/>
              <c:showSerName val="0"/>
              <c:showPercent val="0"/>
              <c:showBubbleSize val="0"/>
            </c:dLbl>
            <c:dLbl>
              <c:idx val="10"/>
              <c:layout>
                <c:manualLayout>
                  <c:x val="3.5666878400075854E-3"/>
                  <c:y val="-2.7452825793225562E-2"/>
                </c:manualLayout>
              </c:layout>
              <c:dLblPos val="outEnd"/>
              <c:showLegendKey val="0"/>
              <c:showVal val="1"/>
              <c:showCatName val="0"/>
              <c:showSerName val="0"/>
              <c:showPercent val="0"/>
              <c:showBubbleSize val="0"/>
            </c:dLbl>
            <c:dLbl>
              <c:idx val="11"/>
              <c:layout>
                <c:manualLayout>
                  <c:x val="7.9955603469843567E-3"/>
                  <c:y val="-8.9403469536721743E-3"/>
                </c:manualLayout>
              </c:layout>
              <c:dLblPos val="outEnd"/>
              <c:showLegendKey val="0"/>
              <c:showVal val="1"/>
              <c:showCatName val="0"/>
              <c:showSerName val="0"/>
              <c:showPercent val="0"/>
              <c:showBubbleSize val="0"/>
            </c:dLbl>
            <c:dLbl>
              <c:idx val="12"/>
              <c:layout>
                <c:manualLayout>
                  <c:x val="0"/>
                  <c:y val="-2.7613722840857946E-2"/>
                </c:manualLayout>
              </c:layout>
              <c:dLblPos val="outEnd"/>
              <c:showLegendKey val="0"/>
              <c:showVal val="1"/>
              <c:showCatName val="0"/>
              <c:showSerName val="0"/>
              <c:showPercent val="0"/>
              <c:showBubbleSize val="0"/>
            </c:dLbl>
            <c:dLbl>
              <c:idx val="14"/>
              <c:layout>
                <c:manualLayout>
                  <c:x val="4.5295316525672379E-3"/>
                  <c:y val="3.9727282610384457E-4"/>
                </c:manualLayout>
              </c:layout>
              <c:dLblPos val="outEnd"/>
              <c:showLegendKey val="0"/>
              <c:showVal val="1"/>
              <c:showCatName val="0"/>
              <c:showSerName val="0"/>
              <c:showPercent val="0"/>
              <c:showBubbleSize val="0"/>
            </c:dLbl>
            <c:dLbl>
              <c:idx val="15"/>
              <c:layout>
                <c:manualLayout>
                  <c:x val="6.6476525789563113E-3"/>
                  <c:y val="1.3716318004628119E-2"/>
                </c:manualLayout>
              </c:layout>
              <c:dLblPos val="outEnd"/>
              <c:showLegendKey val="0"/>
              <c:showVal val="1"/>
              <c:showCatName val="0"/>
              <c:showSerName val="0"/>
              <c:showPercent val="0"/>
              <c:showBubbleSize val="0"/>
            </c:dLbl>
            <c:dLbl>
              <c:idx val="16"/>
              <c:layout>
                <c:manualLayout>
                  <c:x val="4.6216060080877261E-3"/>
                  <c:y val="-1.9723865877712032E-2"/>
                </c:manualLayout>
              </c:layout>
              <c:dLblPos val="outEnd"/>
              <c:showLegendKey val="0"/>
              <c:showVal val="1"/>
              <c:showCatName val="0"/>
              <c:showSerName val="0"/>
              <c:showPercent val="0"/>
              <c:showBubbleSize val="0"/>
            </c:dLbl>
            <c:dLbl>
              <c:idx val="17"/>
              <c:layout>
                <c:manualLayout>
                  <c:x val="1.3864818024263431E-2"/>
                  <c:y val="3.9447731755424065E-3"/>
                </c:manualLayout>
              </c:layout>
              <c:dLblPos val="outEnd"/>
              <c:showLegendKey val="0"/>
              <c:showVal val="1"/>
              <c:showCatName val="0"/>
              <c:showSerName val="0"/>
              <c:showPercent val="0"/>
              <c:showBubbleSize val="0"/>
            </c:dLbl>
            <c:spPr>
              <a:noFill/>
              <a:ln w="25400">
                <a:noFill/>
              </a:ln>
            </c:spPr>
            <c:txPr>
              <a:bodyPr/>
              <a:lstStyle/>
              <a:p>
                <a:pPr>
                  <a:defRPr sz="750" b="1" i="0" u="none" strike="noStrike" baseline="0">
                    <a:solidFill>
                      <a:srgbClr val="000000"/>
                    </a:solidFill>
                    <a:latin typeface="Verdana"/>
                    <a:ea typeface="Verdana"/>
                    <a:cs typeface="Verdana"/>
                  </a:defRPr>
                </a:pPr>
                <a:endParaRPr lang="es-ES"/>
              </a:p>
            </c:txPr>
            <c:showLegendKey val="0"/>
            <c:showVal val="1"/>
            <c:showCatName val="0"/>
            <c:showSerName val="0"/>
            <c:showPercent val="0"/>
            <c:showBubbleSize val="0"/>
            <c:showLeaderLines val="0"/>
          </c:dLbls>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TC!$C$4:$C$21</c:f>
              <c:numCache>
                <c:formatCode>0.00</c:formatCode>
                <c:ptCount val="18"/>
                <c:pt idx="0">
                  <c:v>1.42</c:v>
                </c:pt>
                <c:pt idx="1">
                  <c:v>1.32</c:v>
                </c:pt>
                <c:pt idx="2">
                  <c:v>1.29</c:v>
                </c:pt>
                <c:pt idx="3">
                  <c:v>1.43</c:v>
                </c:pt>
                <c:pt idx="4">
                  <c:v>1.35</c:v>
                </c:pt>
                <c:pt idx="5">
                  <c:v>1.32</c:v>
                </c:pt>
                <c:pt idx="6">
                  <c:v>1.37</c:v>
                </c:pt>
                <c:pt idx="7">
                  <c:v>1.56</c:v>
                </c:pt>
                <c:pt idx="8">
                  <c:v>1.43</c:v>
                </c:pt>
                <c:pt idx="9">
                  <c:v>1.41</c:v>
                </c:pt>
                <c:pt idx="10">
                  <c:v>1.43</c:v>
                </c:pt>
                <c:pt idx="11">
                  <c:v>1.39</c:v>
                </c:pt>
                <c:pt idx="12">
                  <c:v>1.41</c:v>
                </c:pt>
                <c:pt idx="13">
                  <c:v>1.37</c:v>
                </c:pt>
                <c:pt idx="14">
                  <c:v>1.53</c:v>
                </c:pt>
                <c:pt idx="15">
                  <c:v>1.27</c:v>
                </c:pt>
                <c:pt idx="16">
                  <c:v>1.38</c:v>
                </c:pt>
                <c:pt idx="17">
                  <c:v>1.46</c:v>
                </c:pt>
              </c:numCache>
            </c:numRef>
          </c:val>
        </c:ser>
        <c:dLbls>
          <c:showLegendKey val="0"/>
          <c:showVal val="0"/>
          <c:showCatName val="0"/>
          <c:showSerName val="0"/>
          <c:showPercent val="0"/>
          <c:showBubbleSize val="0"/>
        </c:dLbls>
        <c:gapWidth val="150"/>
        <c:axId val="288572928"/>
        <c:axId val="295910720"/>
      </c:barChart>
      <c:lineChart>
        <c:grouping val="standard"/>
        <c:varyColors val="0"/>
        <c:ser>
          <c:idx val="2"/>
          <c:order val="2"/>
          <c:tx>
            <c:v>España 2017</c:v>
          </c:tx>
          <c:spPr>
            <a:ln w="25400">
              <a:solidFill>
                <a:srgbClr val="000000"/>
              </a:solidFill>
              <a:prstDash val="solid"/>
            </a:ln>
          </c:spPr>
          <c:marker>
            <c:symbol val="none"/>
          </c:marker>
          <c:cat>
            <c:strRef>
              <c:f>TC!$A$4:$A$21</c:f>
              <c:strCache>
                <c:ptCount val="18"/>
                <c:pt idx="0">
                  <c:v>Andalucía</c:v>
                </c:pt>
                <c:pt idx="1">
                  <c:v>Aragón</c:v>
                </c:pt>
                <c:pt idx="2">
                  <c:v>Asturias</c:v>
                </c:pt>
                <c:pt idx="3">
                  <c:v>Illes Balears</c:v>
                </c:pt>
                <c:pt idx="4">
                  <c:v>Canarias</c:v>
                </c:pt>
                <c:pt idx="5">
                  <c:v>Cantabria</c:v>
                </c:pt>
                <c:pt idx="6">
                  <c:v>Castilla y León</c:v>
                </c:pt>
                <c:pt idx="7">
                  <c:v>Castilla-la Mancha</c:v>
                </c:pt>
                <c:pt idx="8">
                  <c:v>Cataluña</c:v>
                </c:pt>
                <c:pt idx="9">
                  <c:v>España</c:v>
                </c:pt>
                <c:pt idx="10">
                  <c:v>C . Valenciana</c:v>
                </c:pt>
                <c:pt idx="11">
                  <c:v>Extremadura</c:v>
                </c:pt>
                <c:pt idx="12">
                  <c:v>Galicia</c:v>
                </c:pt>
                <c:pt idx="13">
                  <c:v>Madrid</c:v>
                </c:pt>
                <c:pt idx="14">
                  <c:v>Murcia</c:v>
                </c:pt>
                <c:pt idx="15">
                  <c:v>Navarra</c:v>
                </c:pt>
                <c:pt idx="16">
                  <c:v>Pais Vasco</c:v>
                </c:pt>
                <c:pt idx="17">
                  <c:v>La Rioja </c:v>
                </c:pt>
              </c:strCache>
            </c:strRef>
          </c:cat>
          <c:val>
            <c:numRef>
              <c:f>TC!$D$4:$D$21</c:f>
              <c:numCache>
                <c:formatCode>#,##0.00</c:formatCode>
                <c:ptCount val="18"/>
                <c:pt idx="0">
                  <c:v>1.41</c:v>
                </c:pt>
                <c:pt idx="1">
                  <c:v>1.41</c:v>
                </c:pt>
                <c:pt idx="2">
                  <c:v>1.41</c:v>
                </c:pt>
                <c:pt idx="3">
                  <c:v>1.41</c:v>
                </c:pt>
                <c:pt idx="4">
                  <c:v>1.41</c:v>
                </c:pt>
                <c:pt idx="5">
                  <c:v>1.41</c:v>
                </c:pt>
                <c:pt idx="6">
                  <c:v>1.41</c:v>
                </c:pt>
                <c:pt idx="7">
                  <c:v>1.41</c:v>
                </c:pt>
                <c:pt idx="8">
                  <c:v>1.41</c:v>
                </c:pt>
                <c:pt idx="9">
                  <c:v>1.41</c:v>
                </c:pt>
                <c:pt idx="10">
                  <c:v>1.41</c:v>
                </c:pt>
                <c:pt idx="11">
                  <c:v>1.41</c:v>
                </c:pt>
                <c:pt idx="12">
                  <c:v>1.41</c:v>
                </c:pt>
                <c:pt idx="13">
                  <c:v>1.41</c:v>
                </c:pt>
                <c:pt idx="14">
                  <c:v>1.41</c:v>
                </c:pt>
                <c:pt idx="15">
                  <c:v>1.41</c:v>
                </c:pt>
                <c:pt idx="16">
                  <c:v>1.41</c:v>
                </c:pt>
                <c:pt idx="17">
                  <c:v>1.41</c:v>
                </c:pt>
              </c:numCache>
            </c:numRef>
          </c:val>
          <c:smooth val="0"/>
        </c:ser>
        <c:dLbls>
          <c:showLegendKey val="0"/>
          <c:showVal val="0"/>
          <c:showCatName val="0"/>
          <c:showSerName val="0"/>
          <c:showPercent val="0"/>
          <c:showBubbleSize val="0"/>
        </c:dLbls>
        <c:marker val="1"/>
        <c:smooth val="0"/>
        <c:axId val="288574464"/>
        <c:axId val="274203200"/>
      </c:lineChart>
      <c:catAx>
        <c:axId val="28857292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750" b="1" i="0" u="none" strike="noStrike" baseline="0">
                <a:solidFill>
                  <a:srgbClr val="000000"/>
                </a:solidFill>
                <a:latin typeface="Verdana"/>
                <a:ea typeface="Verdana"/>
                <a:cs typeface="Verdana"/>
              </a:defRPr>
            </a:pPr>
            <a:endParaRPr lang="es-ES"/>
          </a:p>
        </c:txPr>
        <c:crossAx val="295910720"/>
        <c:crosses val="autoZero"/>
        <c:auto val="0"/>
        <c:lblAlgn val="ctr"/>
        <c:lblOffset val="100"/>
        <c:tickLblSkip val="1"/>
        <c:tickMarkSkip val="1"/>
        <c:noMultiLvlLbl val="0"/>
      </c:catAx>
      <c:valAx>
        <c:axId val="295910720"/>
        <c:scaling>
          <c:orientation val="minMax"/>
          <c:max val="1.9"/>
          <c:min val="0"/>
        </c:scaling>
        <c:delete val="0"/>
        <c:axPos val="l"/>
        <c:numFmt formatCode="0.0" sourceLinked="0"/>
        <c:majorTickMark val="cross"/>
        <c:minorTickMark val="none"/>
        <c:tickLblPos val="nextTo"/>
        <c:spPr>
          <a:ln w="3175">
            <a:solidFill>
              <a:srgbClr val="000000"/>
            </a:solidFill>
            <a:prstDash val="solid"/>
          </a:ln>
        </c:spPr>
        <c:txPr>
          <a:bodyPr rot="0" vert="horz"/>
          <a:lstStyle/>
          <a:p>
            <a:pPr>
              <a:defRPr sz="750" b="1" i="0" u="none" strike="noStrike" baseline="0">
                <a:solidFill>
                  <a:srgbClr val="000000"/>
                </a:solidFill>
                <a:latin typeface="Verdana"/>
                <a:ea typeface="Verdana"/>
                <a:cs typeface="Verdana"/>
              </a:defRPr>
            </a:pPr>
            <a:endParaRPr lang="es-ES"/>
          </a:p>
        </c:txPr>
        <c:crossAx val="288572928"/>
        <c:crosses val="autoZero"/>
        <c:crossBetween val="between"/>
      </c:valAx>
      <c:catAx>
        <c:axId val="288574464"/>
        <c:scaling>
          <c:orientation val="minMax"/>
        </c:scaling>
        <c:delete val="1"/>
        <c:axPos val="b"/>
        <c:majorTickMark val="out"/>
        <c:minorTickMark val="none"/>
        <c:tickLblPos val="nextTo"/>
        <c:crossAx val="274203200"/>
        <c:crosses val="autoZero"/>
        <c:auto val="0"/>
        <c:lblAlgn val="ctr"/>
        <c:lblOffset val="100"/>
        <c:noMultiLvlLbl val="0"/>
      </c:catAx>
      <c:valAx>
        <c:axId val="274203200"/>
        <c:scaling>
          <c:orientation val="minMax"/>
        </c:scaling>
        <c:delete val="1"/>
        <c:axPos val="l"/>
        <c:numFmt formatCode="#,##0.00" sourceLinked="1"/>
        <c:majorTickMark val="out"/>
        <c:minorTickMark val="none"/>
        <c:tickLblPos val="nextTo"/>
        <c:crossAx val="288574464"/>
        <c:crosses val="autoZero"/>
        <c:crossBetween val="between"/>
      </c:valAx>
      <c:spPr>
        <a:solidFill>
          <a:srgbClr val="99CCFF"/>
        </a:solidFill>
        <a:ln w="12700">
          <a:solidFill>
            <a:srgbClr val="808080"/>
          </a:solidFill>
          <a:prstDash val="solid"/>
        </a:ln>
      </c:spPr>
    </c:plotArea>
    <c:legend>
      <c:legendPos val="r"/>
      <c:layout>
        <c:manualLayout>
          <c:xMode val="edge"/>
          <c:yMode val="edge"/>
          <c:x val="0.80589327547228173"/>
          <c:y val="0.36094674556213019"/>
          <c:w val="0.18024281626841698"/>
          <c:h val="0.17159763313609472"/>
        </c:manualLayout>
      </c:layout>
      <c:overlay val="0"/>
      <c:spPr>
        <a:solidFill>
          <a:srgbClr val="FFFFFF"/>
        </a:solidFill>
        <a:ln w="3175">
          <a:solidFill>
            <a:srgbClr val="000000"/>
          </a:solidFill>
          <a:prstDash val="solid"/>
        </a:ln>
      </c:spPr>
      <c:txPr>
        <a:bodyPr/>
        <a:lstStyle/>
        <a:p>
          <a:pPr>
            <a:defRPr sz="550" b="1" i="0" u="none" strike="noStrike" baseline="0">
              <a:solidFill>
                <a:srgbClr val="000000"/>
              </a:solidFill>
              <a:latin typeface="Verdana"/>
              <a:ea typeface="Verdana"/>
              <a:cs typeface="Verdana"/>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0.11529</cdr:x>
      <cdr:y>0.51976</cdr:y>
    </cdr:from>
    <cdr:to>
      <cdr:x>0.11677</cdr:x>
      <cdr:y>0.52609</cdr:y>
    </cdr:to>
    <cdr:sp macro="" textlink="">
      <cdr:nvSpPr>
        <cdr:cNvPr id="3073" name="Line 1025"/>
        <cdr:cNvSpPr>
          <a:spLocks xmlns:a="http://schemas.openxmlformats.org/drawingml/2006/main" noChangeShapeType="1"/>
        </cdr:cNvSpPr>
      </cdr:nvSpPr>
      <cdr:spPr bwMode="auto">
        <a:xfrm xmlns:a="http://schemas.openxmlformats.org/drawingml/2006/main" flipH="1">
          <a:off x="694680" y="1981541"/>
          <a:ext cx="4351" cy="1857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0.12278</cdr:x>
      <cdr:y>0.48243</cdr:y>
    </cdr:from>
    <cdr:to>
      <cdr:x>0.95008</cdr:x>
      <cdr:y>0.48437</cdr:y>
    </cdr:to>
    <cdr:sp macro="" textlink="">
      <cdr:nvSpPr>
        <cdr:cNvPr id="3075" name="Line 1027"/>
        <cdr:cNvSpPr>
          <a:spLocks xmlns:a="http://schemas.openxmlformats.org/drawingml/2006/main" noChangeShapeType="1"/>
        </cdr:cNvSpPr>
      </cdr:nvSpPr>
      <cdr:spPr bwMode="auto">
        <a:xfrm xmlns:a="http://schemas.openxmlformats.org/drawingml/2006/main">
          <a:off x="603552" y="1804725"/>
          <a:ext cx="4777934" cy="7088"/>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0.46185</cdr:x>
      <cdr:y>0.14069</cdr:y>
    </cdr:from>
    <cdr:to>
      <cdr:x>0.46185</cdr:x>
      <cdr:y>0.85099</cdr:y>
    </cdr:to>
    <cdr:sp macro="" textlink="">
      <cdr:nvSpPr>
        <cdr:cNvPr id="3076" name="Line 1028"/>
        <cdr:cNvSpPr>
          <a:spLocks xmlns:a="http://schemas.openxmlformats.org/drawingml/2006/main" noChangeShapeType="1"/>
        </cdr:cNvSpPr>
      </cdr:nvSpPr>
      <cdr:spPr bwMode="auto">
        <a:xfrm xmlns:a="http://schemas.openxmlformats.org/drawingml/2006/main" flipH="1">
          <a:off x="2562764" y="545045"/>
          <a:ext cx="0" cy="2617643"/>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2.xml><?xml version="1.0" encoding="utf-8"?>
<c:userShapes xmlns:c="http://schemas.openxmlformats.org/drawingml/2006/chart">
  <cdr:relSizeAnchor xmlns:cdr="http://schemas.openxmlformats.org/drawingml/2006/chartDrawing">
    <cdr:from>
      <cdr:x>0.11308</cdr:x>
      <cdr:y>0.51803</cdr:y>
    </cdr:from>
    <cdr:to>
      <cdr:x>0.1153</cdr:x>
      <cdr:y>0.52243</cdr:y>
    </cdr:to>
    <cdr:sp macro="" textlink="">
      <cdr:nvSpPr>
        <cdr:cNvPr id="3073" name="Line 1025"/>
        <cdr:cNvSpPr>
          <a:spLocks xmlns:a="http://schemas.openxmlformats.org/drawingml/2006/main" noChangeShapeType="1"/>
        </cdr:cNvSpPr>
      </cdr:nvSpPr>
      <cdr:spPr bwMode="auto">
        <a:xfrm xmlns:a="http://schemas.openxmlformats.org/drawingml/2006/main" flipH="1">
          <a:off x="694680" y="1973488"/>
          <a:ext cx="10152" cy="1847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0.12461</cdr:x>
      <cdr:y>0.48528</cdr:y>
    </cdr:from>
    <cdr:to>
      <cdr:x>0.94774</cdr:x>
      <cdr:y>0.48907</cdr:y>
    </cdr:to>
    <cdr:sp macro="" textlink="">
      <cdr:nvSpPr>
        <cdr:cNvPr id="3075" name="Line 1027"/>
        <cdr:cNvSpPr>
          <a:spLocks xmlns:a="http://schemas.openxmlformats.org/drawingml/2006/main" noChangeShapeType="1"/>
        </cdr:cNvSpPr>
      </cdr:nvSpPr>
      <cdr:spPr bwMode="auto">
        <a:xfrm xmlns:a="http://schemas.openxmlformats.org/drawingml/2006/main" flipV="1">
          <a:off x="611614" y="1783079"/>
          <a:ext cx="4745246" cy="12615"/>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0.57381</cdr:x>
      <cdr:y>0.13041</cdr:y>
    </cdr:from>
    <cdr:to>
      <cdr:x>0.57479</cdr:x>
      <cdr:y>0.82817</cdr:y>
    </cdr:to>
    <cdr:sp macro="" textlink="">
      <cdr:nvSpPr>
        <cdr:cNvPr id="3076" name="Line 1028"/>
        <cdr:cNvSpPr>
          <a:spLocks xmlns:a="http://schemas.openxmlformats.org/drawingml/2006/main" noChangeShapeType="1"/>
        </cdr:cNvSpPr>
      </cdr:nvSpPr>
      <cdr:spPr bwMode="auto">
        <a:xfrm xmlns:a="http://schemas.openxmlformats.org/drawingml/2006/main" flipH="1">
          <a:off x="3204542" y="547059"/>
          <a:ext cx="5504" cy="2432851"/>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3.xml><?xml version="1.0" encoding="utf-8"?>
<c:userShapes xmlns:c="http://schemas.openxmlformats.org/drawingml/2006/chart">
  <cdr:relSizeAnchor xmlns:cdr="http://schemas.openxmlformats.org/drawingml/2006/chartDrawing">
    <cdr:from>
      <cdr:x>0.13955</cdr:x>
      <cdr:y>0.42109</cdr:y>
    </cdr:from>
    <cdr:to>
      <cdr:x>0.95193</cdr:x>
      <cdr:y>0.42955</cdr:y>
    </cdr:to>
    <cdr:sp macro="" textlink="">
      <cdr:nvSpPr>
        <cdr:cNvPr id="3075" name="Line 1027"/>
        <cdr:cNvSpPr>
          <a:spLocks xmlns:a="http://schemas.openxmlformats.org/drawingml/2006/main" noChangeShapeType="1"/>
        </cdr:cNvSpPr>
      </cdr:nvSpPr>
      <cdr:spPr bwMode="auto">
        <a:xfrm xmlns:a="http://schemas.openxmlformats.org/drawingml/2006/main">
          <a:off x="701040" y="1554480"/>
          <a:ext cx="4680795" cy="30499"/>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0.41327</cdr:x>
      <cdr:y>0.12349</cdr:y>
    </cdr:from>
    <cdr:to>
      <cdr:x>0.41737</cdr:x>
      <cdr:y>0.80621</cdr:y>
    </cdr:to>
    <cdr:sp macro="" textlink="">
      <cdr:nvSpPr>
        <cdr:cNvPr id="3076" name="Line 1028"/>
        <cdr:cNvSpPr>
          <a:spLocks xmlns:a="http://schemas.openxmlformats.org/drawingml/2006/main" noChangeShapeType="1"/>
        </cdr:cNvSpPr>
      </cdr:nvSpPr>
      <cdr:spPr bwMode="auto">
        <a:xfrm xmlns:a="http://schemas.openxmlformats.org/drawingml/2006/main">
          <a:off x="2278207" y="470455"/>
          <a:ext cx="23033" cy="2486105"/>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4.xml><?xml version="1.0" encoding="utf-8"?>
<c:userShapes xmlns:c="http://schemas.openxmlformats.org/drawingml/2006/chart">
  <cdr:relSizeAnchor xmlns:cdr="http://schemas.openxmlformats.org/drawingml/2006/chartDrawing">
    <cdr:from>
      <cdr:x>0.10472</cdr:x>
      <cdr:y>0.51875</cdr:y>
    </cdr:from>
    <cdr:to>
      <cdr:x>0.10792</cdr:x>
      <cdr:y>0.52387</cdr:y>
    </cdr:to>
    <cdr:sp macro="" textlink="">
      <cdr:nvSpPr>
        <cdr:cNvPr id="3073" name="Line 1025"/>
        <cdr:cNvSpPr>
          <a:spLocks xmlns:a="http://schemas.openxmlformats.org/drawingml/2006/main" noChangeShapeType="1"/>
        </cdr:cNvSpPr>
      </cdr:nvSpPr>
      <cdr:spPr bwMode="auto">
        <a:xfrm xmlns:a="http://schemas.openxmlformats.org/drawingml/2006/main" flipH="1">
          <a:off x="638123" y="1967944"/>
          <a:ext cx="7251" cy="1847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0.12593</cdr:x>
      <cdr:y>0.43703</cdr:y>
    </cdr:from>
    <cdr:to>
      <cdr:x>0.9448</cdr:x>
      <cdr:y>0.43899</cdr:y>
    </cdr:to>
    <cdr:sp macro="" textlink="">
      <cdr:nvSpPr>
        <cdr:cNvPr id="3075" name="Line 1027"/>
        <cdr:cNvSpPr>
          <a:spLocks xmlns:a="http://schemas.openxmlformats.org/drawingml/2006/main" noChangeShapeType="1"/>
        </cdr:cNvSpPr>
      </cdr:nvSpPr>
      <cdr:spPr bwMode="auto">
        <a:xfrm xmlns:a="http://schemas.openxmlformats.org/drawingml/2006/main" flipV="1">
          <a:off x="594360" y="1592366"/>
          <a:ext cx="4744595" cy="7834"/>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0.4468</cdr:x>
      <cdr:y>0.12162</cdr:y>
    </cdr:from>
    <cdr:to>
      <cdr:x>0.4468</cdr:x>
      <cdr:y>0.82447</cdr:y>
    </cdr:to>
    <cdr:sp macro="" textlink="">
      <cdr:nvSpPr>
        <cdr:cNvPr id="3076" name="Line 1028"/>
        <cdr:cNvSpPr>
          <a:spLocks xmlns:a="http://schemas.openxmlformats.org/drawingml/2006/main" noChangeShapeType="1"/>
        </cdr:cNvSpPr>
      </cdr:nvSpPr>
      <cdr:spPr bwMode="auto">
        <a:xfrm xmlns:a="http://schemas.openxmlformats.org/drawingml/2006/main">
          <a:off x="2454187" y="488971"/>
          <a:ext cx="0" cy="2465728"/>
        </a:xfrm>
        <a:prstGeom xmlns:a="http://schemas.openxmlformats.org/drawingml/2006/main" prst="line">
          <a:avLst/>
        </a:prstGeom>
        <a:noFill xmlns:a="http://schemas.openxmlformats.org/drawingml/2006/main"/>
        <a:ln xmlns:a="http://schemas.openxmlformats.org/drawingml/2006/main" w="9525">
          <a:solidFill>
            <a:srgbClr val="FF66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5.xml><?xml version="1.0" encoding="utf-8"?>
<c:userShapes xmlns:c="http://schemas.openxmlformats.org/drawingml/2006/chart">
  <cdr:relSizeAnchor xmlns:cdr="http://schemas.openxmlformats.org/drawingml/2006/chartDrawing">
    <cdr:from>
      <cdr:x>0.10855</cdr:x>
      <cdr:y>0.46002</cdr:y>
    </cdr:from>
    <cdr:to>
      <cdr:x>0.93614</cdr:x>
      <cdr:y>0.46813</cdr:y>
    </cdr:to>
    <cdr:sp macro="" textlink="">
      <cdr:nvSpPr>
        <cdr:cNvPr id="3073" name="Line 1025"/>
        <cdr:cNvSpPr>
          <a:spLocks xmlns:a="http://schemas.openxmlformats.org/drawingml/2006/main" noChangeShapeType="1"/>
        </cdr:cNvSpPr>
      </cdr:nvSpPr>
      <cdr:spPr bwMode="auto">
        <a:xfrm xmlns:a="http://schemas.openxmlformats.org/drawingml/2006/main" flipV="1">
          <a:off x="531124" y="1902118"/>
          <a:ext cx="4767536" cy="32753"/>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0.41312</cdr:x>
      <cdr:y>0.13007</cdr:y>
    </cdr:from>
    <cdr:to>
      <cdr:x>0.4164</cdr:x>
      <cdr:y>0.82641</cdr:y>
    </cdr:to>
    <cdr:sp macro="" textlink="">
      <cdr:nvSpPr>
        <cdr:cNvPr id="3076" name="Line 1028"/>
        <cdr:cNvSpPr>
          <a:spLocks xmlns:a="http://schemas.openxmlformats.org/drawingml/2006/main" noChangeShapeType="1"/>
        </cdr:cNvSpPr>
      </cdr:nvSpPr>
      <cdr:spPr bwMode="auto">
        <a:xfrm xmlns:a="http://schemas.openxmlformats.org/drawingml/2006/main" flipH="1">
          <a:off x="2278734" y="562639"/>
          <a:ext cx="19798" cy="2822105"/>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s-ES"/>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D883-A182-4B8A-88DC-56660B16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21734</Words>
  <Characters>119541</Characters>
  <Application>Microsoft Office Word</Application>
  <DocSecurity>0</DocSecurity>
  <Lines>996</Lines>
  <Paragraphs>281</Paragraphs>
  <ScaleCrop>false</ScaleCrop>
  <HeadingPairs>
    <vt:vector size="2" baseType="variant">
      <vt:variant>
        <vt:lpstr>Título</vt:lpstr>
      </vt:variant>
      <vt:variant>
        <vt:i4>1</vt:i4>
      </vt:variant>
    </vt:vector>
  </HeadingPairs>
  <TitlesOfParts>
    <vt:vector size="1" baseType="lpstr">
      <vt:lpstr>El número de asuntos ingresados en los órganos judiciales españoles durante el año 2003 ha sido de  7</vt:lpstr>
    </vt:vector>
  </TitlesOfParts>
  <Company>CGPJ</Company>
  <LinksUpToDate>false</LinksUpToDate>
  <CharactersWithSpaces>140994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número de asuntos ingresados en los órganos judiciales españoles durante el año 2003 ha sido de  7</dc:title>
  <dc:creator>ivillan</dc:creator>
  <cp:lastModifiedBy>Ildefonso Villán Criado</cp:lastModifiedBy>
  <cp:revision>2</cp:revision>
  <cp:lastPrinted>2018-05-22T12:46:00Z</cp:lastPrinted>
  <dcterms:created xsi:type="dcterms:W3CDTF">2018-06-13T11:45:00Z</dcterms:created>
  <dcterms:modified xsi:type="dcterms:W3CDTF">2018-06-13T11:45:00Z</dcterms:modified>
</cp:coreProperties>
</file>